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563EB"/>
          <w:sz w:val="28"/>
        </w:rPr>
        <w:t>MicroPulse</w:t>
      </w:r>
    </w:p>
    <w:p>
      <w:pPr>
        <w:spacing w:after="320"/>
        <w:jc w:val="center"/>
      </w:pPr>
      <w:r>
        <w:rPr>
          <w:b/>
          <w:color w:val="1E3A8A"/>
          <w:sz w:val="56"/>
        </w:rPr>
        <w:t>Af hverju MicroPulse notar RPE</w:t>
        <w:br/>
        <w:t>til að meta innra álag</w:t>
      </w:r>
    </w:p>
    <w:p>
      <w:pPr>
        <w:spacing w:after="800"/>
        <w:jc w:val="center"/>
      </w:pPr>
      <w:r>
        <w:rPr>
          <w:i/>
          <w:color w:val="6B7280"/>
          <w:sz w:val="26"/>
        </w:rPr>
        <w:t>Fræðilegur grunnur, útfærsla og rannsóknarstoð</w:t>
      </w:r>
    </w:p>
    <w:p>
      <w:pPr>
        <w:jc w:val="center"/>
      </w:pPr>
      <w:r>
        <w:rPr>
          <w:color w:val="6B7280"/>
          <w:sz w:val="22"/>
        </w:rPr>
        <w:t>Breiðablik UBK · MicroPulse Readiness System</w:t>
      </w:r>
    </w:p>
    <w:p>
      <w:pPr>
        <w:jc w:val="center"/>
      </w:pPr>
      <w:r>
        <w:rPr>
          <w:color w:val="6B7280"/>
          <w:sz w:val="22"/>
        </w:rPr>
        <w:t>Apríl 2026</w:t>
      </w:r>
    </w:p>
    <w:p>
      <w:r>
        <w:br w:type="page"/>
      </w:r>
    </w:p>
    <w:p>
      <w:pPr>
        <w:pStyle w:val="Heading1"/>
      </w:pPr>
      <w:r>
        <w:t>1. Inngangur</w:t>
      </w:r>
    </w:p>
    <w:p>
      <w:pPr/>
      <w:r>
        <w:rPr>
          <w:b w:val="0"/>
          <w:i w:val="0"/>
        </w:rPr>
        <w:t>Nútíma íþróttavísindi byggja á samspili tveggja grundvallarþátta álagsgreiningar: ytra álags (external load) og innra álags (internal load). Ytra álag lýsir hlutlægu vinnumagni sem lagt er á líkamann — til dæmis Player Load frá hröðunarmælum, hlaupavegalengdum frá GPS og hröðunum/hægingum. Innra álag lýsir hins vegar lífeðlisfræðilegu og sálrænu svörun líkamans við þessu álagi: hversu erfitt æfingin fannst, hversu mikla streitu hún olli og hversu mikla bata líkaminn þarfnast.</w:t>
      </w:r>
    </w:p>
    <w:p>
      <w:pPr/>
      <w:r>
        <w:rPr>
          <w:b w:val="0"/>
          <w:i w:val="0"/>
        </w:rPr>
        <w:t>RPE (Rate of Perceived Exertion) er einfaldasta og best rannsakaða aðferðin til að meta innra álag. MicroPulse notar Borg CR-10 skalann, þar sem leikmenn gefa einkunn frá 1 (mjög auðvelt) til 10 (hámarksálag) eftir hverja æfingu eða leik. Þetta gildi er síðan margfaldað með lengd lotunnar í mínútum til að reikna session load (æfingarálag í handahófskenndum einingum).</w:t>
      </w:r>
    </w:p>
    <w:p>
      <w:pPr>
        <w:spacing w:before="120" w:after="120"/>
        <w:ind w:left="567"/>
      </w:pPr>
      <w:r>
        <w:rPr>
          <w:i/>
          <w:color w:val="2563EB"/>
          <w:sz w:val="21"/>
        </w:rPr>
        <w:t>TL (Training Load) = RPE × lengd æfingar í mínútum    —    Foster et al. (2001)</w:t>
      </w:r>
    </w:p>
    <w:p>
      <w:pPr/>
      <w:r>
        <w:rPr>
          <w:b w:val="0"/>
          <w:i w:val="0"/>
        </w:rPr>
        <w:t>Þessi grein útskýrir af hverju MicroPulse valdi RPE sem aðalmælikvarða innra álags, hvernig kerfið notar RPE-gögn í ákvörðunarvél sinni og hvaða rannsóknir styðja þessa nálgun.</w:t>
      </w:r>
    </w:p>
    <w:p>
      <w:pPr>
        <w:pStyle w:val="Heading1"/>
      </w:pPr>
      <w:r>
        <w:t>2. Fræðilegur grunnur RPE</w:t>
      </w:r>
    </w:p>
    <w:p>
      <w:pPr>
        <w:pStyle w:val="Heading2"/>
      </w:pPr>
      <w:r>
        <w:t>2.1 Uppruni og skilgreining</w:t>
      </w:r>
    </w:p>
    <w:p>
      <w:pPr/>
      <w:r>
        <w:rPr>
          <w:b w:val="0"/>
          <w:i w:val="0"/>
        </w:rPr>
        <w:t>Hugmyndin um RPE á rætur sínar að rekja til sænska lífeðlisfræðingsins Gunnar Borg sem kynnti fyrsta RPE-skalann árið 1962. Borg skilgreindi RPE sem meðvitaða skynjun á því hversu erfitt, þungt og erfitt líkamlegt álag er. Upprunalega var um 6–20 skala að ræða (Borg RPE scale), en síðar var hann endurbættur í CR-10 skalann (Category Ratio) sem gefur betri upplausn á lægra álagi og er einfaldari í notkun í hópaíþróttum.</w:t>
      </w:r>
    </w:p>
    <w:p>
      <w:pPr/>
      <w:r>
        <w:rPr>
          <w:b w:val="0"/>
          <w:i w:val="0"/>
        </w:rPr>
        <w:t>Foster og samstarfsmenn (2001) aðlöguðu CR-10 skalann að þjálfunareftirliti með session-RPE aðferðinni. Í stað þess að meta álag á hverjum drilli eða setti, metur leikmandinn eina tölu sem endurspeglar heildarákefð allrar lotunnar. Þetta er gert 15–30 mínútum eftir lok æfingar til að forðast ofáhrif frá síðustu æfingu og fá raunhæfara heildarmat.</w:t>
      </w:r>
    </w:p>
    <w:p>
      <w:pPr>
        <w:pStyle w:val="Heading2"/>
      </w:pPr>
      <w:r>
        <w:t>2.2 CR-10 skalinn í MicroPulse</w:t>
      </w:r>
    </w:p>
    <w:tbl>
      <w:tblPr>
        <w:tblW w:type="auto" w:w="0"/>
        <w:jc w:val="center"/>
        <w:tblLook w:firstColumn="1" w:firstRow="1" w:lastColumn="0" w:lastRow="0" w:noHBand="0" w:noVBand="1" w:val="04A0"/>
      </w:tblPr>
      <w:tblGrid>
        <w:gridCol w:w="3024"/>
        <w:gridCol w:w="3024"/>
        <w:gridCol w:w="3024"/>
      </w:tblGrid>
      <w:tr>
        <w:tc>
          <w:tcPr>
            <w:tcW w:type="dxa" w:w="1417"/>
            <w:shd w:val="clear" w:color="auto" w:fill="1E3A8A"/>
          </w:tcPr>
          <w:p>
            <w:pPr>
              <w:jc w:val="center"/>
            </w:pPr>
            <w:r/>
            <w:r>
              <w:rPr>
                <w:rFonts w:ascii="Arial" w:hAnsi="Arial"/>
                <w:b/>
                <w:color w:val="FFFFFF"/>
                <w:sz w:val="20"/>
              </w:rPr>
              <w:t>Einkunn</w:t>
            </w:r>
          </w:p>
        </w:tc>
        <w:tc>
          <w:tcPr>
            <w:tcW w:type="dxa" w:w="2551"/>
            <w:shd w:val="clear" w:color="auto" w:fill="1E3A8A"/>
          </w:tcPr>
          <w:p>
            <w:pPr>
              <w:jc w:val="center"/>
            </w:pPr>
            <w:r/>
            <w:r>
              <w:rPr>
                <w:rFonts w:ascii="Arial" w:hAnsi="Arial"/>
                <w:b/>
                <w:color w:val="FFFFFF"/>
                <w:sz w:val="20"/>
              </w:rPr>
              <w:t>Lýsing</w:t>
            </w:r>
          </w:p>
        </w:tc>
        <w:tc>
          <w:tcPr>
            <w:tcW w:type="dxa" w:w="5102"/>
            <w:shd w:val="clear" w:color="auto" w:fill="1E3A8A"/>
          </w:tcPr>
          <w:p>
            <w:pPr>
              <w:jc w:val="center"/>
            </w:pPr>
            <w:r/>
            <w:r>
              <w:rPr>
                <w:rFonts w:ascii="Arial" w:hAnsi="Arial"/>
                <w:b/>
                <w:color w:val="FFFFFF"/>
                <w:sz w:val="20"/>
              </w:rPr>
              <w:t>Dæmi</w:t>
            </w:r>
          </w:p>
        </w:tc>
      </w:tr>
      <w:tr>
        <w:tc>
          <w:tcPr>
            <w:tcW w:type="dxa" w:w="1417"/>
          </w:tcPr>
          <w:p>
            <w:r/>
            <w:r>
              <w:rPr>
                <w:rFonts w:ascii="Arial" w:hAnsi="Arial"/>
                <w:sz w:val="20"/>
              </w:rPr>
              <w:t>0</w:t>
            </w:r>
          </w:p>
        </w:tc>
        <w:tc>
          <w:tcPr>
            <w:tcW w:type="dxa" w:w="2551"/>
          </w:tcPr>
          <w:p>
            <w:r/>
            <w:r>
              <w:rPr>
                <w:rFonts w:ascii="Arial" w:hAnsi="Arial"/>
                <w:sz w:val="20"/>
              </w:rPr>
              <w:t>Hvíld</w:t>
            </w:r>
          </w:p>
        </w:tc>
        <w:tc>
          <w:tcPr>
            <w:tcW w:type="dxa" w:w="5102"/>
          </w:tcPr>
          <w:p>
            <w:r/>
            <w:r>
              <w:rPr>
                <w:rFonts w:ascii="Arial" w:hAnsi="Arial"/>
                <w:sz w:val="20"/>
              </w:rPr>
              <w:t>Ekkert álag</w:t>
            </w:r>
          </w:p>
        </w:tc>
      </w:tr>
      <w:tr>
        <w:tc>
          <w:tcPr>
            <w:tcW w:type="dxa" w:w="1417"/>
            <w:shd w:val="clear" w:color="auto" w:fill="F0F4FF"/>
          </w:tcPr>
          <w:p>
            <w:r/>
            <w:r>
              <w:rPr>
                <w:rFonts w:ascii="Arial" w:hAnsi="Arial"/>
                <w:sz w:val="20"/>
              </w:rPr>
              <w:t>1</w:t>
            </w:r>
          </w:p>
        </w:tc>
        <w:tc>
          <w:tcPr>
            <w:tcW w:type="dxa" w:w="2551"/>
            <w:shd w:val="clear" w:color="auto" w:fill="F0F4FF"/>
          </w:tcPr>
          <w:p>
            <w:r/>
            <w:r>
              <w:rPr>
                <w:rFonts w:ascii="Arial" w:hAnsi="Arial"/>
                <w:sz w:val="20"/>
              </w:rPr>
              <w:t>Mjög, mjög auðvelt</w:t>
            </w:r>
          </w:p>
        </w:tc>
        <w:tc>
          <w:tcPr>
            <w:tcW w:type="dxa" w:w="5102"/>
            <w:shd w:val="clear" w:color="auto" w:fill="F0F4FF"/>
          </w:tcPr>
          <w:p>
            <w:r/>
            <w:r>
              <w:rPr>
                <w:rFonts w:ascii="Arial" w:hAnsi="Arial"/>
                <w:sz w:val="20"/>
              </w:rPr>
              <w:t>Létt ganga, hitun</w:t>
            </w:r>
          </w:p>
        </w:tc>
      </w:tr>
      <w:tr>
        <w:tc>
          <w:tcPr>
            <w:tcW w:type="dxa" w:w="1417"/>
          </w:tcPr>
          <w:p>
            <w:r/>
            <w:r>
              <w:rPr>
                <w:rFonts w:ascii="Arial" w:hAnsi="Arial"/>
                <w:sz w:val="20"/>
              </w:rPr>
              <w:t>2</w:t>
            </w:r>
          </w:p>
        </w:tc>
        <w:tc>
          <w:tcPr>
            <w:tcW w:type="dxa" w:w="2551"/>
          </w:tcPr>
          <w:p>
            <w:r/>
            <w:r>
              <w:rPr>
                <w:rFonts w:ascii="Arial" w:hAnsi="Arial"/>
                <w:sz w:val="20"/>
              </w:rPr>
              <w:t>Auðvelt</w:t>
            </w:r>
          </w:p>
        </w:tc>
        <w:tc>
          <w:tcPr>
            <w:tcW w:type="dxa" w:w="5102"/>
          </w:tcPr>
          <w:p>
            <w:r/>
            <w:r>
              <w:rPr>
                <w:rFonts w:ascii="Arial" w:hAnsi="Arial"/>
                <w:sz w:val="20"/>
              </w:rPr>
              <w:t>Tækniæfing án þrýstings</w:t>
            </w:r>
          </w:p>
        </w:tc>
      </w:tr>
      <w:tr>
        <w:tc>
          <w:tcPr>
            <w:tcW w:type="dxa" w:w="1417"/>
            <w:shd w:val="clear" w:color="auto" w:fill="F0F4FF"/>
          </w:tcPr>
          <w:p>
            <w:r/>
            <w:r>
              <w:rPr>
                <w:rFonts w:ascii="Arial" w:hAnsi="Arial"/>
                <w:sz w:val="20"/>
              </w:rPr>
              <w:t>3</w:t>
            </w:r>
          </w:p>
        </w:tc>
        <w:tc>
          <w:tcPr>
            <w:tcW w:type="dxa" w:w="2551"/>
            <w:shd w:val="clear" w:color="auto" w:fill="F0F4FF"/>
          </w:tcPr>
          <w:p>
            <w:r/>
            <w:r>
              <w:rPr>
                <w:rFonts w:ascii="Arial" w:hAnsi="Arial"/>
                <w:sz w:val="20"/>
              </w:rPr>
              <w:t>Hóflegt</w:t>
            </w:r>
          </w:p>
        </w:tc>
        <w:tc>
          <w:tcPr>
            <w:tcW w:type="dxa" w:w="5102"/>
            <w:shd w:val="clear" w:color="auto" w:fill="F0F4FF"/>
          </w:tcPr>
          <w:p>
            <w:r/>
            <w:r>
              <w:rPr>
                <w:rFonts w:ascii="Arial" w:hAnsi="Arial"/>
                <w:sz w:val="20"/>
              </w:rPr>
              <w:t>Venjuleg æfing, góður hraði</w:t>
            </w:r>
          </w:p>
        </w:tc>
      </w:tr>
      <w:tr>
        <w:tc>
          <w:tcPr>
            <w:tcW w:type="dxa" w:w="1417"/>
          </w:tcPr>
          <w:p>
            <w:r/>
            <w:r>
              <w:rPr>
                <w:rFonts w:ascii="Arial" w:hAnsi="Arial"/>
                <w:sz w:val="20"/>
              </w:rPr>
              <w:t>4</w:t>
            </w:r>
          </w:p>
        </w:tc>
        <w:tc>
          <w:tcPr>
            <w:tcW w:type="dxa" w:w="2551"/>
          </w:tcPr>
          <w:p>
            <w:r/>
            <w:r>
              <w:rPr>
                <w:rFonts w:ascii="Arial" w:hAnsi="Arial"/>
                <w:sz w:val="20"/>
              </w:rPr>
              <w:t>Nokkuð erfitt</w:t>
            </w:r>
          </w:p>
        </w:tc>
        <w:tc>
          <w:tcPr>
            <w:tcW w:type="dxa" w:w="5102"/>
          </w:tcPr>
          <w:p>
            <w:r/>
            <w:r>
              <w:rPr>
                <w:rFonts w:ascii="Arial" w:hAnsi="Arial"/>
                <w:sz w:val="20"/>
              </w:rPr>
              <w:t>Markvisst álag, þreyta byrjar</w:t>
            </w:r>
          </w:p>
        </w:tc>
      </w:tr>
      <w:tr>
        <w:tc>
          <w:tcPr>
            <w:tcW w:type="dxa" w:w="1417"/>
            <w:shd w:val="clear" w:color="auto" w:fill="F0F4FF"/>
          </w:tcPr>
          <w:p>
            <w:r/>
            <w:r>
              <w:rPr>
                <w:rFonts w:ascii="Arial" w:hAnsi="Arial"/>
                <w:sz w:val="20"/>
              </w:rPr>
              <w:t>5</w:t>
            </w:r>
          </w:p>
        </w:tc>
        <w:tc>
          <w:tcPr>
            <w:tcW w:type="dxa" w:w="2551"/>
            <w:shd w:val="clear" w:color="auto" w:fill="F0F4FF"/>
          </w:tcPr>
          <w:p>
            <w:r/>
            <w:r>
              <w:rPr>
                <w:rFonts w:ascii="Arial" w:hAnsi="Arial"/>
                <w:sz w:val="20"/>
              </w:rPr>
              <w:t>Erfitt</w:t>
            </w:r>
          </w:p>
        </w:tc>
        <w:tc>
          <w:tcPr>
            <w:tcW w:type="dxa" w:w="5102"/>
            <w:shd w:val="clear" w:color="auto" w:fill="F0F4FF"/>
          </w:tcPr>
          <w:p>
            <w:r/>
            <w:r>
              <w:rPr>
                <w:rFonts w:ascii="Arial" w:hAnsi="Arial"/>
                <w:sz w:val="20"/>
              </w:rPr>
              <w:t>Há ákefð, hægt að halda áfram</w:t>
            </w:r>
          </w:p>
        </w:tc>
      </w:tr>
      <w:tr>
        <w:tc>
          <w:tcPr>
            <w:tcW w:type="dxa" w:w="1417"/>
          </w:tcPr>
          <w:p>
            <w:r/>
            <w:r>
              <w:rPr>
                <w:rFonts w:ascii="Arial" w:hAnsi="Arial"/>
                <w:sz w:val="20"/>
              </w:rPr>
              <w:t>6</w:t>
            </w:r>
          </w:p>
        </w:tc>
        <w:tc>
          <w:tcPr>
            <w:tcW w:type="dxa" w:w="2551"/>
          </w:tcPr>
          <w:p>
            <w:r/>
            <w:r>
              <w:rPr>
                <w:rFonts w:ascii="Arial" w:hAnsi="Arial"/>
                <w:sz w:val="20"/>
              </w:rPr>
              <w:t>—</w:t>
            </w:r>
          </w:p>
        </w:tc>
        <w:tc>
          <w:tcPr>
            <w:tcW w:type="dxa" w:w="5102"/>
          </w:tcPr>
          <w:p>
            <w:r/>
            <w:r>
              <w:rPr>
                <w:rFonts w:ascii="Arial" w:hAnsi="Arial"/>
                <w:sz w:val="20"/>
              </w:rPr>
              <w:t>—</w:t>
            </w:r>
          </w:p>
        </w:tc>
      </w:tr>
      <w:tr>
        <w:tc>
          <w:tcPr>
            <w:tcW w:type="dxa" w:w="1417"/>
            <w:shd w:val="clear" w:color="auto" w:fill="F0F4FF"/>
          </w:tcPr>
          <w:p>
            <w:r/>
            <w:r>
              <w:rPr>
                <w:rFonts w:ascii="Arial" w:hAnsi="Arial"/>
                <w:sz w:val="20"/>
              </w:rPr>
              <w:t>7</w:t>
            </w:r>
          </w:p>
        </w:tc>
        <w:tc>
          <w:tcPr>
            <w:tcW w:type="dxa" w:w="2551"/>
            <w:shd w:val="clear" w:color="auto" w:fill="F0F4FF"/>
          </w:tcPr>
          <w:p>
            <w:r/>
            <w:r>
              <w:rPr>
                <w:rFonts w:ascii="Arial" w:hAnsi="Arial"/>
                <w:sz w:val="20"/>
              </w:rPr>
              <w:t>Mjög erfitt</w:t>
            </w:r>
          </w:p>
        </w:tc>
        <w:tc>
          <w:tcPr>
            <w:tcW w:type="dxa" w:w="5102"/>
            <w:shd w:val="clear" w:color="auto" w:fill="F0F4FF"/>
          </w:tcPr>
          <w:p>
            <w:r/>
            <w:r>
              <w:rPr>
                <w:rFonts w:ascii="Arial" w:hAnsi="Arial"/>
                <w:sz w:val="20"/>
              </w:rPr>
              <w:t>Nálægt hámarki, þung öndun</w:t>
            </w:r>
          </w:p>
        </w:tc>
      </w:tr>
      <w:tr>
        <w:tc>
          <w:tcPr>
            <w:tcW w:type="dxa" w:w="1417"/>
          </w:tcPr>
          <w:p>
            <w:r/>
            <w:r>
              <w:rPr>
                <w:rFonts w:ascii="Arial" w:hAnsi="Arial"/>
                <w:sz w:val="20"/>
              </w:rPr>
              <w:t>8</w:t>
            </w:r>
          </w:p>
        </w:tc>
        <w:tc>
          <w:tcPr>
            <w:tcW w:type="dxa" w:w="2551"/>
          </w:tcPr>
          <w:p>
            <w:r/>
            <w:r>
              <w:rPr>
                <w:rFonts w:ascii="Arial" w:hAnsi="Arial"/>
                <w:sz w:val="20"/>
              </w:rPr>
              <w:t>—</w:t>
            </w:r>
          </w:p>
        </w:tc>
        <w:tc>
          <w:tcPr>
            <w:tcW w:type="dxa" w:w="5102"/>
          </w:tcPr>
          <w:p>
            <w:r/>
            <w:r>
              <w:rPr>
                <w:rFonts w:ascii="Arial" w:hAnsi="Arial"/>
                <w:sz w:val="20"/>
              </w:rPr>
              <w:t>—</w:t>
            </w:r>
          </w:p>
        </w:tc>
      </w:tr>
      <w:tr>
        <w:tc>
          <w:tcPr>
            <w:tcW w:type="dxa" w:w="1417"/>
            <w:shd w:val="clear" w:color="auto" w:fill="F0F4FF"/>
          </w:tcPr>
          <w:p>
            <w:r/>
            <w:r>
              <w:rPr>
                <w:rFonts w:ascii="Arial" w:hAnsi="Arial"/>
                <w:sz w:val="20"/>
              </w:rPr>
              <w:t>9</w:t>
            </w:r>
          </w:p>
        </w:tc>
        <w:tc>
          <w:tcPr>
            <w:tcW w:type="dxa" w:w="2551"/>
            <w:shd w:val="clear" w:color="auto" w:fill="F0F4FF"/>
          </w:tcPr>
          <w:p>
            <w:r/>
            <w:r>
              <w:rPr>
                <w:rFonts w:ascii="Arial" w:hAnsi="Arial"/>
                <w:sz w:val="20"/>
              </w:rPr>
              <w:t>—</w:t>
            </w:r>
          </w:p>
        </w:tc>
        <w:tc>
          <w:tcPr>
            <w:tcW w:type="dxa" w:w="5102"/>
            <w:shd w:val="clear" w:color="auto" w:fill="F0F4FF"/>
          </w:tcPr>
          <w:p>
            <w:r/>
            <w:r>
              <w:rPr>
                <w:rFonts w:ascii="Arial" w:hAnsi="Arial"/>
                <w:sz w:val="20"/>
              </w:rPr>
              <w:t>—</w:t>
            </w:r>
          </w:p>
        </w:tc>
      </w:tr>
      <w:tr>
        <w:tc>
          <w:tcPr>
            <w:tcW w:type="dxa" w:w="1417"/>
          </w:tcPr>
          <w:p>
            <w:r/>
            <w:r>
              <w:rPr>
                <w:rFonts w:ascii="Arial" w:hAnsi="Arial"/>
                <w:sz w:val="20"/>
              </w:rPr>
              <w:t>10</w:t>
            </w:r>
          </w:p>
        </w:tc>
        <w:tc>
          <w:tcPr>
            <w:tcW w:type="dxa" w:w="2551"/>
          </w:tcPr>
          <w:p>
            <w:r/>
            <w:r>
              <w:rPr>
                <w:rFonts w:ascii="Arial" w:hAnsi="Arial"/>
                <w:sz w:val="20"/>
              </w:rPr>
              <w:t>Hámark</w:t>
            </w:r>
          </w:p>
        </w:tc>
        <w:tc>
          <w:tcPr>
            <w:tcW w:type="dxa" w:w="5102"/>
          </w:tcPr>
          <w:p>
            <w:r/>
            <w:r>
              <w:rPr>
                <w:rFonts w:ascii="Arial" w:hAnsi="Arial"/>
                <w:sz w:val="20"/>
              </w:rPr>
              <w:t>Alger útþreyting, eins og leikur á útitíma</w:t>
            </w:r>
          </w:p>
        </w:tc>
      </w:tr>
    </w:tbl>
    <w:p>
      <w:pPr>
        <w:pStyle w:val="Heading2"/>
      </w:pPr>
      <w:r>
        <w:t>2.3 Af hverju huglægar mælingar?</w:t>
      </w:r>
    </w:p>
    <w:p>
      <w:pPr/>
      <w:r>
        <w:rPr>
          <w:b w:val="0"/>
          <w:i w:val="0"/>
        </w:rPr>
        <w:t>Eitt mikilvægasta framlagið til þessa sviðs er kerfisbundið yfirlit Saw, Main og Gastin (2016), birt í British Journal of Sports Medicine. Þeir fóru yfir 56 rannsóknir og komust að þeirri niðurstöðu að huglægar mælingar — eins og RPE, svefngæði og vöðvaverkur — voru næmari og samkvæmari en hlutlægar mælingar (blóðgildi, hjartsláttarbreytileiki) til að greina breytingar á líðan íþróttafólks í kjölfar þjálfunarálagsbreytinga.</w:t>
      </w:r>
    </w:p>
    <w:p>
      <w:pPr>
        <w:spacing w:before="120" w:after="120"/>
        <w:ind w:left="567"/>
      </w:pPr>
      <w:r>
        <w:rPr>
          <w:i/>
          <w:color w:val="2563EB"/>
          <w:sz w:val="21"/>
        </w:rPr>
        <w:t>“Subjective measures reflected acute and chronic training loads with superior sensitivity and consistency than objective measures.”</w:t>
        <w:br/>
        <w:t>— Saw, Main &amp; Gastin (2016), Br J Sports Med</w:t>
      </w:r>
    </w:p>
    <w:p>
      <w:pPr/>
      <w:r>
        <w:rPr>
          <w:b w:val="0"/>
          <w:i w:val="0"/>
        </w:rPr>
        <w:t>Þetta þýðir ekki að GPS og hröðunarmælar séu óþarfir — heldur að þeir geta ekki ein og sér sagt til um hvernig leikmanni líður. RPE bætir við þá vídd sem vantar: upplifun leikmansins sjálfs. Þegar GPS segir að álagið hafi verið lágt en leikmaður gefur háa RPE-einkunn, er það upplýsingar sem engin vél getur gefið okkur.</w:t>
      </w:r>
    </w:p>
    <w:p>
      <w:pPr>
        <w:pStyle w:val="Heading1"/>
      </w:pPr>
      <w:r>
        <w:t>3. Hvernig MicroPulse notar RPE</w:t>
      </w:r>
    </w:p>
    <w:p>
      <w:pPr>
        <w:pStyle w:val="Heading2"/>
      </w:pPr>
      <w:r>
        <w:t>3.1 Session Load: RPE × tími</w:t>
      </w:r>
    </w:p>
    <w:p>
      <w:pPr/>
      <w:r>
        <w:rPr>
          <w:b w:val="0"/>
          <w:i w:val="0"/>
        </w:rPr>
        <w:t>Grunnreikningurinn í MicroPulse er einfaldur: session load = RPE × tímalengd í mínútum. Ef leikmaður gefur RPE 7 eftir 90 mínútna æfingu er session load 630 AU (arbitrary units). Þetta er sami útreikningur og Foster et al. (2001) lögðu til og hefur verið staðfestur í fjölda rannsókna á knattspyrnu, körfubolta og öðrum hópaíþróttum.</w:t>
      </w:r>
    </w:p>
    <w:p>
      <w:pPr/>
      <w:r>
        <w:rPr>
          <w:b w:val="0"/>
          <w:i w:val="0"/>
        </w:rPr>
        <w:t>Session load safnast saman yfir daga og vikur og myndar grunn að tveimur mikilvægum mælikvörðum: acute load (síðustu 7 dagar) og chronic load (síðustu 28 dagar). Hlutfallið milli þeirra — ACWR (Acute:Chronic Workload Ratio) — er einn af lykilþáttum meiðslaforvarna í MicroPulse.</w:t>
      </w:r>
    </w:p>
    <w:p>
      <w:pPr>
        <w:pStyle w:val="Heading2"/>
      </w:pPr>
      <w:r>
        <w:t>3.2 RPE z-skor: einstaklingsmiðuð greining</w:t>
      </w:r>
    </w:p>
    <w:p>
      <w:pPr/>
      <w:r>
        <w:rPr>
          <w:b w:val="0"/>
          <w:i w:val="0"/>
        </w:rPr>
        <w:t>MicroPulse geymur RPE-sögu hvers leikmanns og reiknar rúllandi grunnlínu (baseline) yfir undanfarna 28 daga. Út frá þessari grunnlínu reiknar kerfið z-skor sem sýnir hversu langt RPE dagsins er frá venjulegu gildi leikmansins.</w:t>
      </w:r>
    </w:p>
    <w:p>
      <w:pPr/>
      <w:r>
        <w:rPr>
          <w:b w:val="0"/>
          <w:i w:val="0"/>
        </w:rPr>
        <w:t>Z-skorið er reiknað sem: z = (RPE í dag − meðaltal) ÷ staðalfrávik. Ef leikmaður sem venjulega gefur RPE 5–6 gefur skyndilega RPE 9, þá verður z-skorið hátt og gefur til kynna óvenjulegt álag — jafnvel þótt RPE 9 sé eðlilegt fyrir aðra leikmenn. Þetta er lykilatriðið: MicroPulse ber hvern leikmand saman við sjálfan sig, ekki við aðra.</w:t>
      </w:r>
    </w:p>
    <w:p>
      <w:pPr/>
      <w:r>
        <w:rPr>
          <w:b w:val="0"/>
          <w:i w:val="0"/>
        </w:rPr>
        <w:t>Lágmarksfjöldi mælinga er 4 áður en z-skor er reiknað, til að tryggja tölfræðilega þýðingu. Þetta kemur í veg fyrir rangar viðvaranir hjá nýjum leikmönnum sem hafa ekki ennþá nóga RPE-sögu.</w:t>
      </w:r>
    </w:p>
    <w:p>
      <w:pPr>
        <w:pStyle w:val="Heading2"/>
      </w:pPr>
      <w:r>
        <w:t>3.3 Perceived Mismatch Detection: RPE vs. GPS</w:t>
      </w:r>
    </w:p>
    <w:p>
      <w:pPr/>
      <w:r>
        <w:rPr>
          <w:b w:val="0"/>
          <w:i w:val="0"/>
        </w:rPr>
        <w:t>Ein öflugasta notkun RPE í MicroPulse er perceived mismatch greining. Kerfið ber saman RPE-einkunn og GPS-álagsmat (neuromuscular burden score) og greinir misræmi:</w:t>
      </w:r>
    </w:p>
    <w:tbl>
      <w:tblPr>
        <w:tblW w:type="auto" w:w="0"/>
        <w:jc w:val="center"/>
        <w:tblLook w:firstColumn="1" w:firstRow="1" w:lastColumn="0" w:lastRow="0" w:noHBand="0" w:noVBand="1" w:val="04A0"/>
      </w:tblPr>
      <w:tblGrid>
        <w:gridCol w:w="3024"/>
        <w:gridCol w:w="3024"/>
        <w:gridCol w:w="3024"/>
      </w:tblGrid>
      <w:tr>
        <w:tc>
          <w:tcPr>
            <w:tcW w:type="dxa" w:w="1984"/>
            <w:shd w:val="clear" w:color="auto" w:fill="1E3A8A"/>
          </w:tcPr>
          <w:p>
            <w:pPr>
              <w:jc w:val="center"/>
            </w:pPr>
            <w:r/>
            <w:r>
              <w:rPr>
                <w:rFonts w:ascii="Arial" w:hAnsi="Arial"/>
                <w:b/>
                <w:color w:val="FFFFFF"/>
                <w:sz w:val="20"/>
              </w:rPr>
              <w:t>Mynstur</w:t>
            </w:r>
          </w:p>
        </w:tc>
        <w:tc>
          <w:tcPr>
            <w:tcW w:type="dxa" w:w="3969"/>
            <w:shd w:val="clear" w:color="auto" w:fill="1E3A8A"/>
          </w:tcPr>
          <w:p>
            <w:pPr>
              <w:jc w:val="center"/>
            </w:pPr>
            <w:r/>
            <w:r>
              <w:rPr>
                <w:rFonts w:ascii="Arial" w:hAnsi="Arial"/>
                <w:b/>
                <w:color w:val="FFFFFF"/>
                <w:sz w:val="20"/>
              </w:rPr>
              <w:t>Merking</w:t>
            </w:r>
          </w:p>
        </w:tc>
        <w:tc>
          <w:tcPr>
            <w:tcW w:type="dxa" w:w="3118"/>
            <w:shd w:val="clear" w:color="auto" w:fill="1E3A8A"/>
          </w:tcPr>
          <w:p>
            <w:pPr>
              <w:jc w:val="center"/>
            </w:pPr>
            <w:r/>
            <w:r>
              <w:rPr>
                <w:rFonts w:ascii="Arial" w:hAnsi="Arial"/>
                <w:b/>
                <w:color w:val="FFFFFF"/>
                <w:sz w:val="20"/>
              </w:rPr>
              <w:t>Aðgerð</w:t>
            </w:r>
          </w:p>
        </w:tc>
      </w:tr>
      <w:tr>
        <w:tc>
          <w:tcPr>
            <w:tcW w:type="dxa" w:w="1984"/>
          </w:tcPr>
          <w:p>
            <w:r/>
            <w:r>
              <w:rPr>
                <w:rFonts w:ascii="Arial" w:hAnsi="Arial"/>
                <w:sz w:val="20"/>
              </w:rPr>
              <w:t>Hátt RPE + lágt GPS</w:t>
            </w:r>
          </w:p>
        </w:tc>
        <w:tc>
          <w:tcPr>
            <w:tcW w:type="dxa" w:w="3969"/>
          </w:tcPr>
          <w:p>
            <w:r/>
            <w:r>
              <w:rPr>
                <w:rFonts w:ascii="Arial" w:hAnsi="Arial"/>
                <w:sz w:val="20"/>
              </w:rPr>
              <w:t>Leikmaður upplifir meira álag en GPS mælir. Getur bent til sálræns álags, svefnleysis eða byrjandi veikinda.</w:t>
            </w:r>
          </w:p>
        </w:tc>
        <w:tc>
          <w:tcPr>
            <w:tcW w:type="dxa" w:w="3118"/>
          </w:tcPr>
          <w:p>
            <w:r/>
            <w:r>
              <w:rPr>
                <w:rFonts w:ascii="Arial" w:hAnsi="Arial"/>
                <w:sz w:val="20"/>
              </w:rPr>
              <w:t>Skoða líðan nánar</w:t>
            </w:r>
          </w:p>
        </w:tc>
      </w:tr>
      <w:tr>
        <w:tc>
          <w:tcPr>
            <w:tcW w:type="dxa" w:w="1984"/>
            <w:shd w:val="clear" w:color="auto" w:fill="F0F4FF"/>
          </w:tcPr>
          <w:p>
            <w:r/>
            <w:r>
              <w:rPr>
                <w:rFonts w:ascii="Arial" w:hAnsi="Arial"/>
                <w:sz w:val="20"/>
              </w:rPr>
              <w:t>Lágt RPE + hátt GPS</w:t>
            </w:r>
          </w:p>
        </w:tc>
        <w:tc>
          <w:tcPr>
            <w:tcW w:type="dxa" w:w="3969"/>
            <w:shd w:val="clear" w:color="auto" w:fill="F0F4FF"/>
          </w:tcPr>
          <w:p>
            <w:r/>
            <w:r>
              <w:rPr>
                <w:rFonts w:ascii="Arial" w:hAnsi="Arial"/>
                <w:sz w:val="20"/>
              </w:rPr>
              <w:t>Leikmaður undir-tilkynnir álag. Getur bent til vanmats á eigin þreytu eða félagslegs þrýstings.</w:t>
            </w:r>
          </w:p>
        </w:tc>
        <w:tc>
          <w:tcPr>
            <w:tcW w:type="dxa" w:w="3118"/>
            <w:shd w:val="clear" w:color="auto" w:fill="F0F4FF"/>
          </w:tcPr>
          <w:p>
            <w:r/>
            <w:r>
              <w:rPr>
                <w:rFonts w:ascii="Arial" w:hAnsi="Arial"/>
                <w:sz w:val="20"/>
              </w:rPr>
              <w:t>Ræða við leikmand</w:t>
            </w:r>
          </w:p>
        </w:tc>
      </w:tr>
      <w:tr>
        <w:tc>
          <w:tcPr>
            <w:tcW w:type="dxa" w:w="1984"/>
          </w:tcPr>
          <w:p>
            <w:r/>
            <w:r>
              <w:rPr>
                <w:rFonts w:ascii="Arial" w:hAnsi="Arial"/>
                <w:sz w:val="20"/>
              </w:rPr>
              <w:t>RPE og GPS samræmast</w:t>
            </w:r>
          </w:p>
        </w:tc>
        <w:tc>
          <w:tcPr>
            <w:tcW w:type="dxa" w:w="3969"/>
          </w:tcPr>
          <w:p>
            <w:r/>
            <w:r>
              <w:rPr>
                <w:rFonts w:ascii="Arial" w:hAnsi="Arial"/>
                <w:sz w:val="20"/>
              </w:rPr>
              <w:t>Innra og ytra álag eru í jafnvægi. Leikmaðurinn skynjar álagið eðlilega.</w:t>
            </w:r>
          </w:p>
        </w:tc>
        <w:tc>
          <w:tcPr>
            <w:tcW w:type="dxa" w:w="3118"/>
          </w:tcPr>
          <w:p>
            <w:r/>
            <w:r>
              <w:rPr>
                <w:rFonts w:ascii="Arial" w:hAnsi="Arial"/>
                <w:sz w:val="20"/>
              </w:rPr>
              <w:t>Eðlilegt ástand</w:t>
            </w:r>
          </w:p>
        </w:tc>
      </w:tr>
    </w:tbl>
    <w:p>
      <w:pPr/>
      <w:r>
        <w:rPr>
          <w:b w:val="0"/>
          <w:i w:val="0"/>
        </w:rPr>
        <w:t>MicroPulse varpar GPS neuromuscular burden (0–1) yfir á vænt RPE-gildi með aðlöguðum formúlum: burden 0.0 samsvarar RPE ~3.5 (bataæfing), burden 0.5 samsvarar RPE ~6.5 (hörð æfing) og burden 1.0 samsvarar RPE ~9.0 (hámarksálag á leikjadegi). Ef munurinn milli vænts og skráðs RPE er meiri en 2.0 stig, telst hann athyglisverður (notable); ef meiri en 3.5 stig, telst hann verulegur (significant).</w:t>
      </w:r>
    </w:p>
    <w:p>
      <w:pPr>
        <w:pStyle w:val="Heading2"/>
      </w:pPr>
      <w:r>
        <w:t>3.4 RPE Discrepancy: leikmaður vs. lið</w:t>
      </w:r>
    </w:p>
    <w:p>
      <w:pPr/>
      <w:r>
        <w:rPr>
          <w:b w:val="0"/>
          <w:i w:val="0"/>
        </w:rPr>
        <w:t>Auk GPS-samanburðar ber MicroPulse RPE hvers leikmanns saman við miðgildi liðsfélaga. Ef leikmaður gefur RPE 3 þegar miðgildi liðsins er 8, þá er sterk vísbending um misræmi sem þjálfarinn þarf að skoða.</w:t>
      </w:r>
    </w:p>
    <w:p>
      <w:pPr/>
      <w:r>
        <w:rPr>
          <w:b w:val="0"/>
          <w:i w:val="0"/>
        </w:rPr>
        <w:t>Til að þessi samanburður sé marktækur krefst kerfið lágmark 4 liðsfélaga sem hafi skilað inn RPE fyrir sama dag. Viðmiðunarmörkin eru þau sömu: ±2.0 stig er athyglisvert, ±3.5 stig er verulegt.</w:t>
      </w:r>
    </w:p>
    <w:p>
      <w:pPr>
        <w:pStyle w:val="Heading2"/>
      </w:pPr>
      <w:r>
        <w:t>3.5 Þjálfunarsértæk RPE-viðmið</w:t>
      </w:r>
    </w:p>
    <w:p>
      <w:pPr/>
      <w:r>
        <w:rPr>
          <w:b w:val="0"/>
          <w:i w:val="0"/>
        </w:rPr>
        <w:t>MicroPulse aðlagar perceived mismatch þröskuldinn eftir tegund lotu. Á leikjadegi (match) er þröskuldurinn hækkaður í 1.5 z-stig vegna þess að hátt RPE er eðlilegt. Á batadegi (recovery) er þröskuldurinn lækkaður í 0.5 z-stig — jafnvel lítil hækkun er athyglisverð þegar leikmaður á að vera að jafna sig. Þetta tryggir að kerfið gefur ekki rangar viðvaranir á erfiðum dögum og missir ekki af raunverulegum vandamálum á léttum dögum.</w:t>
      </w:r>
    </w:p>
    <w:p>
      <w:pPr>
        <w:pStyle w:val="Heading1"/>
      </w:pPr>
      <w:r>
        <w:t>4. RPE í ákvörðunarvél MicroPulse</w:t>
      </w:r>
    </w:p>
    <w:p>
      <w:pPr/>
      <w:r>
        <w:rPr>
          <w:b w:val="0"/>
          <w:i w:val="0"/>
        </w:rPr>
        <w:t>Ákvörðunarvél MicroPulse (decision engine) sameinar mörg álagssígnöl í eitt heildarmat á ástandi leikmanns. RPE gegnir þar tveimur lykilhlutverkum:</w:t>
      </w:r>
    </w:p>
    <w:p>
      <w:pPr>
        <w:pStyle w:val="Heading2"/>
      </w:pPr>
      <w:r>
        <w:t>4.1 Metabolic Load Flag: INVESTIGATE_PERCEIVED_LOAD</w:t>
      </w:r>
    </w:p>
    <w:p>
      <w:pPr/>
      <w:r>
        <w:rPr>
          <w:b w:val="0"/>
          <w:i w:val="0"/>
        </w:rPr>
        <w:t>Þegar RPE z-skor er hátt (leikmandinum fannst æfingin mun erfiðari en venjulega) en GPS-álag er í eðlilegu horfi, skilar metabolic load greiningin fánanum INVESTIGATE_PERCEIVED_LOAD. Þetta segir þjálfaranum: “Leikmandinum leið ekki vel í þessari æfingu og ástæðan er ekki líkamleg — skoðaðu sálræna þætti, svefn eða veikindi.”</w:t>
      </w:r>
    </w:p>
    <w:p>
      <w:pPr>
        <w:pStyle w:val="Heading2"/>
      </w:pPr>
      <w:r>
        <w:t>4.2 Vægi RPE í heildarmati</w:t>
      </w:r>
    </w:p>
    <w:p>
      <w:pPr/>
      <w:r>
        <w:rPr>
          <w:b w:val="0"/>
          <w:i w:val="0"/>
        </w:rPr>
        <w:t>RPE fer ekki beint inn í neuromuscular burden score — sá útreikningur byggir eingöngu á GPS/Catapult gögnum (HIR spike, decel spike, density stress o.fl.). Hins vegar gegnir RPE lykilhlutverki á tvo aðra vegu: (1) í gegnum session load (RPE × tími) sem matar inn í ACWR álagshlutfallið, og (2) sem sjálfstætt viðvörunarmerki þegar perceived mismatch greinist. Þegar GPS-gögn vantar (t.d. innanhússæfing) er RPE-grundað session load eini innri álagsmælikvarðinn og verður því enn mikilvægara.</w:t>
      </w:r>
    </w:p>
    <w:p>
      <w:pPr/>
      <w:r>
        <w:rPr>
          <w:b w:val="0"/>
          <w:i w:val="0"/>
        </w:rPr>
        <w:t>Kerfið notar RPE einnig til að reikna session load sem matar inn í ACWR (Acute:Chronic Workload Ratio). ACWR-hlutfallið hjálpar þjálfaranum að sjá hvort þjálfunarálagið hefur hækkað of hratt og hvort hætta sé á meiðslum. Rannsóknir hafa sýnt að ACWR yfir 1.5 eykur meiðslahættu verulega (Gabbett, 2016).</w:t>
      </w:r>
    </w:p>
    <w:p>
      <w:pPr>
        <w:pStyle w:val="Heading1"/>
      </w:pPr>
      <w:r>
        <w:t>5. Rannsóknarstoð</w:t>
      </w:r>
    </w:p>
    <w:p>
      <w:pPr/>
      <w:r>
        <w:rPr>
          <w:b w:val="0"/>
          <w:i w:val="0"/>
        </w:rPr>
        <w:t>Eftirfarandi tafla sýnir helstu rannsóknir úr research-safni MicroPulse sem styðja notkun RPE til álagseftirlits:</w:t>
      </w:r>
    </w:p>
    <w:tbl>
      <w:tblPr>
        <w:tblW w:type="auto" w:w="0"/>
        <w:jc w:val="center"/>
        <w:tblLook w:firstColumn="1" w:firstRow="1" w:lastColumn="0" w:lastRow="0" w:noHBand="0" w:noVBand="1" w:val="04A0"/>
      </w:tblPr>
      <w:tblGrid>
        <w:gridCol w:w="1814"/>
        <w:gridCol w:w="1814"/>
        <w:gridCol w:w="1814"/>
        <w:gridCol w:w="1814"/>
        <w:gridCol w:w="1814"/>
      </w:tblGrid>
      <w:tr>
        <w:tc>
          <w:tcPr>
            <w:tcW w:type="dxa" w:w="1701"/>
            <w:shd w:val="clear" w:color="auto" w:fill="1E3A8A"/>
          </w:tcPr>
          <w:p>
            <w:pPr>
              <w:jc w:val="center"/>
            </w:pPr>
            <w:r/>
            <w:r>
              <w:rPr>
                <w:rFonts w:ascii="Arial" w:hAnsi="Arial"/>
                <w:b/>
                <w:color w:val="FFFFFF"/>
                <w:sz w:val="20"/>
              </w:rPr>
              <w:t>Höfundar</w:t>
            </w:r>
          </w:p>
        </w:tc>
        <w:tc>
          <w:tcPr>
            <w:tcW w:type="dxa" w:w="680"/>
            <w:shd w:val="clear" w:color="auto" w:fill="1E3A8A"/>
          </w:tcPr>
          <w:p>
            <w:pPr>
              <w:jc w:val="center"/>
            </w:pPr>
            <w:r/>
            <w:r>
              <w:rPr>
                <w:rFonts w:ascii="Arial" w:hAnsi="Arial"/>
                <w:b/>
                <w:color w:val="FFFFFF"/>
                <w:sz w:val="20"/>
              </w:rPr>
              <w:t>Ár</w:t>
            </w:r>
          </w:p>
        </w:tc>
        <w:tc>
          <w:tcPr>
            <w:tcW w:type="dxa" w:w="1701"/>
            <w:shd w:val="clear" w:color="auto" w:fill="1E3A8A"/>
          </w:tcPr>
          <w:p>
            <w:pPr>
              <w:jc w:val="center"/>
            </w:pPr>
            <w:r/>
            <w:r>
              <w:rPr>
                <w:rFonts w:ascii="Arial" w:hAnsi="Arial"/>
                <w:b/>
                <w:color w:val="FFFFFF"/>
                <w:sz w:val="20"/>
              </w:rPr>
              <w:t>Tímarit</w:t>
            </w:r>
          </w:p>
        </w:tc>
        <w:tc>
          <w:tcPr>
            <w:tcW w:type="dxa" w:w="3402"/>
            <w:shd w:val="clear" w:color="auto" w:fill="1E3A8A"/>
          </w:tcPr>
          <w:p>
            <w:pPr>
              <w:jc w:val="center"/>
            </w:pPr>
            <w:r/>
            <w:r>
              <w:rPr>
                <w:rFonts w:ascii="Arial" w:hAnsi="Arial"/>
                <w:b/>
                <w:color w:val="FFFFFF"/>
                <w:sz w:val="20"/>
              </w:rPr>
              <w:t>Lykilniðurstaða</w:t>
            </w:r>
          </w:p>
        </w:tc>
        <w:tc>
          <w:tcPr>
            <w:tcW w:type="dxa" w:w="1587"/>
            <w:shd w:val="clear" w:color="auto" w:fill="1E3A8A"/>
          </w:tcPr>
          <w:p>
            <w:pPr>
              <w:jc w:val="center"/>
            </w:pPr>
            <w:r/>
            <w:r>
              <w:rPr>
                <w:rFonts w:ascii="Arial" w:hAnsi="Arial"/>
                <w:b/>
                <w:color w:val="FFFFFF"/>
                <w:sz w:val="20"/>
              </w:rPr>
              <w:t>Áræðanleiki</w:t>
            </w:r>
          </w:p>
        </w:tc>
      </w:tr>
      <w:tr>
        <w:tc>
          <w:tcPr>
            <w:tcW w:type="dxa" w:w="1701"/>
          </w:tcPr>
          <w:p>
            <w:r/>
            <w:r>
              <w:rPr>
                <w:rFonts w:ascii="Arial" w:hAnsi="Arial"/>
                <w:sz w:val="20"/>
              </w:rPr>
              <w:t>Haddad et al.</w:t>
            </w:r>
          </w:p>
        </w:tc>
        <w:tc>
          <w:tcPr>
            <w:tcW w:type="dxa" w:w="680"/>
          </w:tcPr>
          <w:p>
            <w:r/>
            <w:r>
              <w:rPr>
                <w:rFonts w:ascii="Arial" w:hAnsi="Arial"/>
                <w:sz w:val="20"/>
              </w:rPr>
              <w:t>2017</w:t>
            </w:r>
          </w:p>
        </w:tc>
        <w:tc>
          <w:tcPr>
            <w:tcW w:type="dxa" w:w="1701"/>
          </w:tcPr>
          <w:p>
            <w:r/>
            <w:r>
              <w:rPr>
                <w:rFonts w:ascii="Arial" w:hAnsi="Arial"/>
                <w:sz w:val="20"/>
              </w:rPr>
              <w:t>Front. Neurosci.</w:t>
            </w:r>
          </w:p>
        </w:tc>
        <w:tc>
          <w:tcPr>
            <w:tcW w:type="dxa" w:w="3402"/>
          </w:tcPr>
          <w:p>
            <w:r/>
            <w:r>
              <w:rPr>
                <w:rFonts w:ascii="Arial" w:hAnsi="Arial"/>
                <w:sz w:val="20"/>
              </w:rPr>
              <w:t>Kerfisbundið yfirlit: 36 rannsóknir staðfesta réttmæti session-RPE á öllum aldurshópum og íþróttum.</w:t>
            </w:r>
          </w:p>
        </w:tc>
        <w:tc>
          <w:tcPr>
            <w:tcW w:type="dxa" w:w="1587"/>
          </w:tcPr>
          <w:p>
            <w:r/>
            <w:r>
              <w:rPr>
                <w:rFonts w:ascii="Arial" w:hAnsi="Arial"/>
                <w:sz w:val="20"/>
              </w:rPr>
              <w:t>Mjög hár</w:t>
            </w:r>
          </w:p>
        </w:tc>
      </w:tr>
      <w:tr>
        <w:tc>
          <w:tcPr>
            <w:tcW w:type="dxa" w:w="1701"/>
            <w:shd w:val="clear" w:color="auto" w:fill="F0F4FF"/>
          </w:tcPr>
          <w:p>
            <w:r/>
            <w:r>
              <w:rPr>
                <w:rFonts w:ascii="Arial" w:hAnsi="Arial"/>
                <w:sz w:val="20"/>
              </w:rPr>
              <w:t>Saw, Main &amp; Gastin</w:t>
            </w:r>
          </w:p>
        </w:tc>
        <w:tc>
          <w:tcPr>
            <w:tcW w:type="dxa" w:w="680"/>
            <w:shd w:val="clear" w:color="auto" w:fill="F0F4FF"/>
          </w:tcPr>
          <w:p>
            <w:r/>
            <w:r>
              <w:rPr>
                <w:rFonts w:ascii="Arial" w:hAnsi="Arial"/>
                <w:sz w:val="20"/>
              </w:rPr>
              <w:t>2016</w:t>
            </w:r>
          </w:p>
        </w:tc>
        <w:tc>
          <w:tcPr>
            <w:tcW w:type="dxa" w:w="1701"/>
            <w:shd w:val="clear" w:color="auto" w:fill="F0F4FF"/>
          </w:tcPr>
          <w:p>
            <w:r/>
            <w:r>
              <w:rPr>
                <w:rFonts w:ascii="Arial" w:hAnsi="Arial"/>
                <w:sz w:val="20"/>
              </w:rPr>
              <w:t>Br J Sports Med</w:t>
            </w:r>
          </w:p>
        </w:tc>
        <w:tc>
          <w:tcPr>
            <w:tcW w:type="dxa" w:w="3402"/>
            <w:shd w:val="clear" w:color="auto" w:fill="F0F4FF"/>
          </w:tcPr>
          <w:p>
            <w:r/>
            <w:r>
              <w:rPr>
                <w:rFonts w:ascii="Arial" w:hAnsi="Arial"/>
                <w:sz w:val="20"/>
              </w:rPr>
              <w:t>Huglægar mælingar eru næmari en hlutlægar mælingar til að greina álagsbreytingar.</w:t>
            </w:r>
          </w:p>
        </w:tc>
        <w:tc>
          <w:tcPr>
            <w:tcW w:type="dxa" w:w="1587"/>
            <w:shd w:val="clear" w:color="auto" w:fill="F0F4FF"/>
          </w:tcPr>
          <w:p>
            <w:r/>
            <w:r>
              <w:rPr>
                <w:rFonts w:ascii="Arial" w:hAnsi="Arial"/>
                <w:sz w:val="20"/>
              </w:rPr>
              <w:t>Mjög hár</w:t>
            </w:r>
          </w:p>
        </w:tc>
      </w:tr>
      <w:tr>
        <w:tc>
          <w:tcPr>
            <w:tcW w:type="dxa" w:w="1701"/>
          </w:tcPr>
          <w:p>
            <w:r/>
            <w:r>
              <w:rPr>
                <w:rFonts w:ascii="Arial" w:hAnsi="Arial"/>
                <w:sz w:val="20"/>
              </w:rPr>
              <w:t>Izzo &amp; Giovannelli</w:t>
            </w:r>
          </w:p>
        </w:tc>
        <w:tc>
          <w:tcPr>
            <w:tcW w:type="dxa" w:w="680"/>
          </w:tcPr>
          <w:p>
            <w:r/>
            <w:r>
              <w:rPr>
                <w:rFonts w:ascii="Arial" w:hAnsi="Arial"/>
                <w:sz w:val="20"/>
              </w:rPr>
              <w:t>2018</w:t>
            </w:r>
          </w:p>
        </w:tc>
        <w:tc>
          <w:tcPr>
            <w:tcW w:type="dxa" w:w="1701"/>
          </w:tcPr>
          <w:p>
            <w:r/>
            <w:r>
              <w:rPr>
                <w:rFonts w:ascii="Arial" w:hAnsi="Arial"/>
                <w:sz w:val="20"/>
              </w:rPr>
              <w:t>J Sports Science</w:t>
            </w:r>
          </w:p>
        </w:tc>
        <w:tc>
          <w:tcPr>
            <w:tcW w:type="dxa" w:w="3402"/>
          </w:tcPr>
          <w:p>
            <w:r/>
            <w:r>
              <w:rPr>
                <w:rFonts w:ascii="Arial" w:hAnsi="Arial"/>
                <w:sz w:val="20"/>
              </w:rPr>
              <w:t>Sterk fylgni (r=0.87) milli session-RPE og GPS high-intensity distance í knattspyrnu.</w:t>
            </w:r>
          </w:p>
        </w:tc>
        <w:tc>
          <w:tcPr>
            <w:tcW w:type="dxa" w:w="1587"/>
          </w:tcPr>
          <w:p>
            <w:r/>
            <w:r>
              <w:rPr>
                <w:rFonts w:ascii="Arial" w:hAnsi="Arial"/>
                <w:sz w:val="20"/>
              </w:rPr>
              <w:t>Meðal</w:t>
            </w:r>
          </w:p>
        </w:tc>
      </w:tr>
      <w:tr>
        <w:tc>
          <w:tcPr>
            <w:tcW w:type="dxa" w:w="1701"/>
            <w:shd w:val="clear" w:color="auto" w:fill="F0F4FF"/>
          </w:tcPr>
          <w:p>
            <w:r/>
            <w:r>
              <w:rPr>
                <w:rFonts w:ascii="Arial" w:hAnsi="Arial"/>
                <w:sz w:val="20"/>
              </w:rPr>
              <w:t>Lupo et al.</w:t>
            </w:r>
          </w:p>
        </w:tc>
        <w:tc>
          <w:tcPr>
            <w:tcW w:type="dxa" w:w="680"/>
            <w:shd w:val="clear" w:color="auto" w:fill="F0F4FF"/>
          </w:tcPr>
          <w:p>
            <w:r/>
            <w:r>
              <w:rPr>
                <w:rFonts w:ascii="Arial" w:hAnsi="Arial"/>
                <w:sz w:val="20"/>
              </w:rPr>
              <w:t>2017</w:t>
            </w:r>
          </w:p>
        </w:tc>
        <w:tc>
          <w:tcPr>
            <w:tcW w:type="dxa" w:w="1701"/>
            <w:shd w:val="clear" w:color="auto" w:fill="F0F4FF"/>
          </w:tcPr>
          <w:p>
            <w:r/>
            <w:r>
              <w:rPr>
                <w:rFonts w:ascii="Arial" w:hAnsi="Arial"/>
                <w:sz w:val="20"/>
              </w:rPr>
              <w:t>Biol. Sport</w:t>
            </w:r>
          </w:p>
        </w:tc>
        <w:tc>
          <w:tcPr>
            <w:tcW w:type="dxa" w:w="3402"/>
            <w:shd w:val="clear" w:color="auto" w:fill="F0F4FF"/>
          </w:tcPr>
          <w:p>
            <w:r/>
            <w:r>
              <w:rPr>
                <w:rFonts w:ascii="Arial" w:hAnsi="Arial"/>
                <w:sz w:val="20"/>
              </w:rPr>
              <w:t>Session-RPE virkar í körfubolta óháð lengd æfinga (r=0.67–0.95 vs. Edwards HR).</w:t>
            </w:r>
          </w:p>
        </w:tc>
        <w:tc>
          <w:tcPr>
            <w:tcW w:type="dxa" w:w="1587"/>
            <w:shd w:val="clear" w:color="auto" w:fill="F0F4FF"/>
          </w:tcPr>
          <w:p>
            <w:r/>
            <w:r>
              <w:rPr>
                <w:rFonts w:ascii="Arial" w:hAnsi="Arial"/>
                <w:sz w:val="20"/>
              </w:rPr>
              <w:t>Hár</w:t>
            </w:r>
          </w:p>
        </w:tc>
      </w:tr>
      <w:tr>
        <w:tc>
          <w:tcPr>
            <w:tcW w:type="dxa" w:w="1701"/>
          </w:tcPr>
          <w:p>
            <w:r/>
            <w:r>
              <w:rPr>
                <w:rFonts w:ascii="Arial" w:hAnsi="Arial"/>
                <w:sz w:val="20"/>
              </w:rPr>
              <w:t>Dantas et al.</w:t>
            </w:r>
          </w:p>
        </w:tc>
        <w:tc>
          <w:tcPr>
            <w:tcW w:type="dxa" w:w="680"/>
          </w:tcPr>
          <w:p>
            <w:r/>
            <w:r>
              <w:rPr>
                <w:rFonts w:ascii="Arial" w:hAnsi="Arial"/>
                <w:sz w:val="20"/>
              </w:rPr>
              <w:t>2015</w:t>
            </w:r>
          </w:p>
        </w:tc>
        <w:tc>
          <w:tcPr>
            <w:tcW w:type="dxa" w:w="1701"/>
          </w:tcPr>
          <w:p>
            <w:r/>
            <w:r>
              <w:rPr>
                <w:rFonts w:ascii="Arial" w:hAnsi="Arial"/>
                <w:sz w:val="20"/>
              </w:rPr>
              <w:t>J Strength Cond Res</w:t>
            </w:r>
          </w:p>
        </w:tc>
        <w:tc>
          <w:tcPr>
            <w:tcW w:type="dxa" w:w="3402"/>
          </w:tcPr>
          <w:p>
            <w:r/>
            <w:r>
              <w:rPr>
                <w:rFonts w:ascii="Arial" w:hAnsi="Arial"/>
                <w:sz w:val="20"/>
              </w:rPr>
              <w:t>RPE fylgnist sterkt (r=0.82) við blóðmjólkursýru; RPE 4.3≈2mmol/L, RPE 6.5≈4mmol/L.</w:t>
            </w:r>
          </w:p>
        </w:tc>
        <w:tc>
          <w:tcPr>
            <w:tcW w:type="dxa" w:w="1587"/>
          </w:tcPr>
          <w:p>
            <w:r/>
            <w:r>
              <w:rPr>
                <w:rFonts w:ascii="Arial" w:hAnsi="Arial"/>
                <w:sz w:val="20"/>
              </w:rPr>
              <w:t>Hár</w:t>
            </w:r>
          </w:p>
        </w:tc>
      </w:tr>
      <w:tr>
        <w:tc>
          <w:tcPr>
            <w:tcW w:type="dxa" w:w="1701"/>
            <w:shd w:val="clear" w:color="auto" w:fill="F0F4FF"/>
          </w:tcPr>
          <w:p>
            <w:r/>
            <w:r>
              <w:rPr>
                <w:rFonts w:ascii="Arial" w:hAnsi="Arial"/>
                <w:sz w:val="20"/>
              </w:rPr>
              <w:t>Seiler &amp; Hetlelid</w:t>
            </w:r>
          </w:p>
        </w:tc>
        <w:tc>
          <w:tcPr>
            <w:tcW w:type="dxa" w:w="680"/>
            <w:shd w:val="clear" w:color="auto" w:fill="F0F4FF"/>
          </w:tcPr>
          <w:p>
            <w:r/>
            <w:r>
              <w:rPr>
                <w:rFonts w:ascii="Arial" w:hAnsi="Arial"/>
                <w:sz w:val="20"/>
              </w:rPr>
              <w:t>2005</w:t>
            </w:r>
          </w:p>
        </w:tc>
        <w:tc>
          <w:tcPr>
            <w:tcW w:type="dxa" w:w="1701"/>
            <w:shd w:val="clear" w:color="auto" w:fill="F0F4FF"/>
          </w:tcPr>
          <w:p>
            <w:r/>
            <w:r>
              <w:rPr>
                <w:rFonts w:ascii="Arial" w:hAnsi="Arial"/>
                <w:sz w:val="20"/>
              </w:rPr>
              <w:t>Med Sci Sports Exerc</w:t>
            </w:r>
          </w:p>
        </w:tc>
        <w:tc>
          <w:tcPr>
            <w:tcW w:type="dxa" w:w="3402"/>
            <w:shd w:val="clear" w:color="auto" w:fill="F0F4FF"/>
          </w:tcPr>
          <w:p>
            <w:r/>
            <w:r>
              <w:rPr>
                <w:rFonts w:ascii="Arial" w:hAnsi="Arial"/>
                <w:sz w:val="20"/>
              </w:rPr>
              <w:t>RPE endurspeglar skynjað álag í bilæfingum, óháð VO₂ og laktat.</w:t>
            </w:r>
          </w:p>
        </w:tc>
        <w:tc>
          <w:tcPr>
            <w:tcW w:type="dxa" w:w="1587"/>
            <w:shd w:val="clear" w:color="auto" w:fill="F0F4FF"/>
          </w:tcPr>
          <w:p>
            <w:r/>
            <w:r>
              <w:rPr>
                <w:rFonts w:ascii="Arial" w:hAnsi="Arial"/>
                <w:sz w:val="20"/>
              </w:rPr>
              <w:t>Hár</w:t>
            </w:r>
          </w:p>
        </w:tc>
      </w:tr>
      <w:tr>
        <w:tc>
          <w:tcPr>
            <w:tcW w:type="dxa" w:w="1701"/>
          </w:tcPr>
          <w:p>
            <w:r/>
            <w:r>
              <w:rPr>
                <w:rFonts w:ascii="Arial" w:hAnsi="Arial"/>
                <w:sz w:val="20"/>
              </w:rPr>
              <w:t>Seiler &amp; Sjursen</w:t>
            </w:r>
          </w:p>
        </w:tc>
        <w:tc>
          <w:tcPr>
            <w:tcW w:type="dxa" w:w="680"/>
          </w:tcPr>
          <w:p>
            <w:r/>
            <w:r>
              <w:rPr>
                <w:rFonts w:ascii="Arial" w:hAnsi="Arial"/>
                <w:sz w:val="20"/>
              </w:rPr>
              <w:t>2004</w:t>
            </w:r>
          </w:p>
        </w:tc>
        <w:tc>
          <w:tcPr>
            <w:tcW w:type="dxa" w:w="1701"/>
          </w:tcPr>
          <w:p>
            <w:r/>
            <w:r>
              <w:rPr>
                <w:rFonts w:ascii="Arial" w:hAnsi="Arial"/>
                <w:sz w:val="20"/>
              </w:rPr>
              <w:t>Scand J Med Sci Sports</w:t>
            </w:r>
          </w:p>
        </w:tc>
        <w:tc>
          <w:tcPr>
            <w:tcW w:type="dxa" w:w="3402"/>
          </w:tcPr>
          <w:p>
            <w:r/>
            <w:r>
              <w:rPr>
                <w:rFonts w:ascii="Arial" w:hAnsi="Arial"/>
                <w:sz w:val="20"/>
              </w:rPr>
              <w:t>Íþróttafólk stýrir sjálft ákefð eftir RPE; meðal-RPE ~17 (Borg 6–20) á öllum bilæfingum.</w:t>
            </w:r>
          </w:p>
        </w:tc>
        <w:tc>
          <w:tcPr>
            <w:tcW w:type="dxa" w:w="1587"/>
          </w:tcPr>
          <w:p>
            <w:r/>
            <w:r>
              <w:rPr>
                <w:rFonts w:ascii="Arial" w:hAnsi="Arial"/>
                <w:sz w:val="20"/>
              </w:rPr>
              <w:t>Hár</w:t>
            </w:r>
          </w:p>
        </w:tc>
      </w:tr>
      <w:tr>
        <w:tc>
          <w:tcPr>
            <w:tcW w:type="dxa" w:w="1701"/>
            <w:shd w:val="clear" w:color="auto" w:fill="F0F4FF"/>
          </w:tcPr>
          <w:p>
            <w:r/>
            <w:r>
              <w:rPr>
                <w:rFonts w:ascii="Arial" w:hAnsi="Arial"/>
                <w:sz w:val="20"/>
              </w:rPr>
              <w:t>Cotter et al.</w:t>
            </w:r>
          </w:p>
        </w:tc>
        <w:tc>
          <w:tcPr>
            <w:tcW w:type="dxa" w:w="680"/>
            <w:shd w:val="clear" w:color="auto" w:fill="F0F4FF"/>
          </w:tcPr>
          <w:p>
            <w:r/>
            <w:r>
              <w:rPr>
                <w:rFonts w:ascii="Arial" w:hAnsi="Arial"/>
                <w:sz w:val="20"/>
              </w:rPr>
              <w:t>2017</w:t>
            </w:r>
          </w:p>
        </w:tc>
        <w:tc>
          <w:tcPr>
            <w:tcW w:type="dxa" w:w="1701"/>
            <w:shd w:val="clear" w:color="auto" w:fill="F0F4FF"/>
          </w:tcPr>
          <w:p>
            <w:r/>
            <w:r>
              <w:rPr>
                <w:rFonts w:ascii="Arial" w:hAnsi="Arial"/>
                <w:sz w:val="20"/>
              </w:rPr>
              <w:t>J Strength Cond Res</w:t>
            </w:r>
          </w:p>
        </w:tc>
        <w:tc>
          <w:tcPr>
            <w:tcW w:type="dxa" w:w="3402"/>
            <w:shd w:val="clear" w:color="auto" w:fill="F0F4FF"/>
          </w:tcPr>
          <w:p>
            <w:r/>
            <w:r>
              <w:rPr>
                <w:rFonts w:ascii="Arial" w:hAnsi="Arial"/>
                <w:sz w:val="20"/>
              </w:rPr>
              <w:t>RPE hækkar línulega með styrktaræfingaálagi (40% vs 70% 1RM).</w:t>
            </w:r>
          </w:p>
        </w:tc>
        <w:tc>
          <w:tcPr>
            <w:tcW w:type="dxa" w:w="1587"/>
            <w:shd w:val="clear" w:color="auto" w:fill="F0F4FF"/>
          </w:tcPr>
          <w:p>
            <w:r/>
            <w:r>
              <w:rPr>
                <w:rFonts w:ascii="Arial" w:hAnsi="Arial"/>
                <w:sz w:val="20"/>
              </w:rPr>
              <w:t>Meðal</w:t>
            </w:r>
          </w:p>
        </w:tc>
      </w:tr>
      <w:tr>
        <w:tc>
          <w:tcPr>
            <w:tcW w:type="dxa" w:w="1701"/>
          </w:tcPr>
          <w:p>
            <w:r/>
            <w:r>
              <w:rPr>
                <w:rFonts w:ascii="Arial" w:hAnsi="Arial"/>
                <w:sz w:val="20"/>
              </w:rPr>
              <w:t>Li et al.</w:t>
            </w:r>
          </w:p>
        </w:tc>
        <w:tc>
          <w:tcPr>
            <w:tcW w:type="dxa" w:w="680"/>
          </w:tcPr>
          <w:p>
            <w:r/>
            <w:r>
              <w:rPr>
                <w:rFonts w:ascii="Arial" w:hAnsi="Arial"/>
                <w:sz w:val="20"/>
              </w:rPr>
              <w:t>2025</w:t>
            </w:r>
          </w:p>
        </w:tc>
        <w:tc>
          <w:tcPr>
            <w:tcW w:type="dxa" w:w="1701"/>
          </w:tcPr>
          <w:p>
            <w:r/>
            <w:r>
              <w:rPr>
                <w:rFonts w:ascii="Arial" w:hAnsi="Arial"/>
                <w:sz w:val="20"/>
              </w:rPr>
              <w:t>J Sports Sci Med</w:t>
            </w:r>
          </w:p>
        </w:tc>
        <w:tc>
          <w:tcPr>
            <w:tcW w:type="dxa" w:w="3402"/>
          </w:tcPr>
          <w:p>
            <w:r/>
            <w:r>
              <w:rPr>
                <w:rFonts w:ascii="Arial" w:hAnsi="Arial"/>
                <w:sz w:val="20"/>
              </w:rPr>
              <w:t>Aukin æfingatíðni lækkar RPE þrátt fyrir sama heildarmagn (VBT rannsókn).</w:t>
            </w:r>
          </w:p>
        </w:tc>
        <w:tc>
          <w:tcPr>
            <w:tcW w:type="dxa" w:w="1587"/>
          </w:tcPr>
          <w:p>
            <w:r/>
            <w:r>
              <w:rPr>
                <w:rFonts w:ascii="Arial" w:hAnsi="Arial"/>
                <w:sz w:val="20"/>
              </w:rPr>
              <w:t>Meðal-hár</w:t>
            </w:r>
          </w:p>
        </w:tc>
      </w:tr>
    </w:tbl>
    <w:p>
      <w:pPr>
        <w:pStyle w:val="Heading1"/>
      </w:pPr>
      <w:r>
        <w:t>6. Kostir og takmarkanir RPE</w:t>
      </w:r>
    </w:p>
    <w:p>
      <w:pPr>
        <w:pStyle w:val="Heading2"/>
      </w:pPr>
      <w:r>
        <w:t>6.1 Kostir</w:t>
      </w:r>
    </w:p>
    <w:p>
      <w:pPr/>
      <w:r>
        <w:rPr>
          <w:b w:val="0"/>
          <w:i w:val="0"/>
        </w:rPr>
        <w:t>Einföld og ódýr: RPE krefst eingöngu þess að leikmaður svari einni spurningu. Enginn búnaður, engin blóðsýni, enginn sérstakur hugbúnaður. Í MicroPulse fer þetta fram á símanum á leikmandasíðunni eftir hverja lotu.</w:t>
      </w:r>
    </w:p>
    <w:p>
      <w:pPr/>
      <w:r>
        <w:rPr>
          <w:b w:val="0"/>
          <w:i w:val="0"/>
        </w:rPr>
        <w:t>Heildrænni en GPS: RPE tekur til allra álagsþátta — ekki aðeins hreyfinga heldur einnig sálrænt álag, svefnleysi, veikindi og persónulega streitu sem GPS-mælar skynja ekki. Rannsóknin eftir Saw et al. (2016) staðfesti að þessi heildrænni nálgun er raunverulega næmari en hlutlægar mælingar.</w:t>
      </w:r>
    </w:p>
    <w:p>
      <w:pPr/>
      <w:r>
        <w:rPr>
          <w:b w:val="0"/>
          <w:i w:val="0"/>
        </w:rPr>
        <w:t>Einstaklingsbundin: Tveir leikmenn geta æft nákvæmlega sömu æfingu en upplifað hana mjög ólíkt. RPE fangar þennan mun. MicroPulse eykur þetta enn frekar með z-skori sem ber leikmandinn saman við eigin sögu.</w:t>
      </w:r>
    </w:p>
    <w:p>
      <w:pPr/>
      <w:r>
        <w:rPr>
          <w:b w:val="0"/>
          <w:i w:val="0"/>
        </w:rPr>
        <w:t>Virkar innandyra: Þegar GPS er ekki tiltækt — í sal, líkamsræktarstofu eða á innivelli — er RPE enn fullgilt álagssígnöl. Þetta er sérstaklega mikilvægt fyrir körfuboltadeild Breiðabliks þar sem allar æfingar eru innanhúss.</w:t>
      </w:r>
    </w:p>
    <w:p>
      <w:pPr>
        <w:pStyle w:val="Heading2"/>
      </w:pPr>
      <w:r>
        <w:t>6.2 Takmarkanir</w:t>
      </w:r>
    </w:p>
    <w:p>
      <w:pPr/>
      <w:r>
        <w:rPr>
          <w:b w:val="0"/>
          <w:i w:val="0"/>
        </w:rPr>
        <w:t>Huglægni: RPE byggir á skynjun leikmans og getur verið undir áhrifum félagslegs þrýstings, skapbreytinga og reynslu. Sumir leikmenn hafa tilhneigingu til að gefa alltaf háar eða lágar einkunnir. MicroPulse dregur úr þessum áhrifum með z-skori (ber við eigin sögu) og RPE discrepancy greiningu (ber við lið og GPS).</w:t>
      </w:r>
    </w:p>
    <w:p>
      <w:pPr/>
      <w:r>
        <w:rPr>
          <w:b w:val="0"/>
          <w:i w:val="0"/>
        </w:rPr>
        <w:t>Fylgni (compliance): RPE virkar aðeins ef leikmenn skila inn. MicroPulse notar sjálfvirk áminningarskilaboð (push notifications) og fylgnieftirlit til að tryggja hátt svarhlutfall. Þjálfarar sjá strax hvaða leikmenn hafa ekki skilað inn.</w:t>
      </w:r>
    </w:p>
    <w:p>
      <w:pPr/>
      <w:r>
        <w:rPr>
          <w:b w:val="0"/>
          <w:i w:val="0"/>
        </w:rPr>
        <w:t>Ekki bein mæling: RPE er proxy-mæling á innra álagi, ekki bein mæling á lífeðlisfræðilegri streitu eins og laktat eða VO₂. Haddad et al. (2017) mæla með að nota RPE samhliða öðrum mælingum þegar mögulegt er — nákvæmlega sú nálgun sem MicroPulse tekur með GPS + RPE samþættingu.</w:t>
      </w:r>
    </w:p>
    <w:p>
      <w:pPr>
        <w:pStyle w:val="Heading1"/>
      </w:pPr>
      <w:r>
        <w:t>7. Niðurlag</w:t>
      </w:r>
    </w:p>
    <w:p>
      <w:pPr/>
      <w:r>
        <w:rPr>
          <w:b w:val="0"/>
          <w:i w:val="0"/>
        </w:rPr>
        <w:t>RPE er hornsteinn innra álagsgreiningar í MicroPulse. Aðferðin er ekki ný — hún á rætur í rannsóknum Borg (1962) og Foster (2001) — en MicroPulse nýtir hana á nýjan og öflugri hátt. Með því að reikna einstaklingsmiðuð z-skor, bera RPE saman við GPS-búrðarskor og liðsmiðgildi, og aðlaga þröskulda eftir tegund æfinga, verður einföld spurning (“Hversu erfitt fannst þér?”) að öflugu greiningartæki.</w:t>
      </w:r>
    </w:p>
    <w:p>
      <w:pPr/>
      <w:r>
        <w:rPr>
          <w:b w:val="0"/>
          <w:i w:val="0"/>
        </w:rPr>
        <w:t>Rannsóknir úr safni MicroPulse styðja þessa nálgun eindregið: session-RPE hefur verið staðfest í knattspyrnu (Izzo &amp; Giovannelli, 2018), körfubolta (Lupo et al., 2017), úthreyfingum (Seiler &amp; Hetlelid, 2005; Dantas et al., 2015) og almennri íþróttaeftirlitsfræði (Haddad et al., 2017; Saw et al., 2016). Samsetning huglægra og hlutlægra mælinga gefur fullkomnari mynd en hvor um sig og er nákvæmlega sú hugmyndafræði sem MicroPulse byggir á.</w:t>
      </w:r>
    </w:p>
    <w:p>
      <w:pPr>
        <w:pStyle w:val="Heading1"/>
      </w:pPr>
      <w:r>
        <w:t>8. Heimildir</w:t>
      </w:r>
    </w:p>
    <w:p>
      <w:pPr>
        <w:spacing w:after="80"/>
        <w:ind w:left="567" w:hanging="567"/>
      </w:pPr>
      <w:r>
        <w:rPr>
          <w:sz w:val="19"/>
        </w:rPr>
        <w:t>Borg, G. (1962). Physical performance and perceived exertion. Lund, Sweden: Gleerup.</w:t>
      </w:r>
    </w:p>
    <w:p>
      <w:pPr>
        <w:spacing w:after="80"/>
        <w:ind w:left="567" w:hanging="567"/>
      </w:pPr>
      <w:r>
        <w:rPr>
          <w:sz w:val="19"/>
        </w:rPr>
        <w:t>Cotter, J.A., Garver, M.J., Dinyer, T.K., Fairman, C.M. &amp; Focht, B.C. (2017). Ratings of perceived exertion during acute resistance exercise performed at imposed and self-selected loads in recreationally trained women. J Strength Cond Res, 31(8), 2313–2318.</w:t>
      </w:r>
    </w:p>
    <w:p>
      <w:pPr>
        <w:spacing w:after="80"/>
        <w:ind w:left="567" w:hanging="567"/>
      </w:pPr>
      <w:r>
        <w:rPr>
          <w:sz w:val="19"/>
        </w:rPr>
        <w:t>Dantas, J.L., Doria, C., Rossi, H., Rosa, G., Pietrangelo, T., Fanò-Illic, G. &amp; Nakamura, F.Y. (2015). Determination of blood lactate training zone boundaries with rating of perceived exertion in runners. J Strength Cond Res, 29(2), 315–320.</w:t>
      </w:r>
    </w:p>
    <w:p>
      <w:pPr>
        <w:spacing w:after="80"/>
        <w:ind w:left="567" w:hanging="567"/>
      </w:pPr>
      <w:r>
        <w:rPr>
          <w:sz w:val="19"/>
        </w:rPr>
        <w:t>Focht, B.C. (2007). Perceived exertion and training load during self-selected and imposed-intensity resistance exercise in untrained women. J Strength Cond Res, 21(1), 183–187.</w:t>
      </w:r>
    </w:p>
    <w:p>
      <w:pPr>
        <w:spacing w:after="80"/>
        <w:ind w:left="567" w:hanging="567"/>
      </w:pPr>
      <w:r>
        <w:rPr>
          <w:sz w:val="19"/>
        </w:rPr>
        <w:t>Foster, C., Florhaug, J.A., Franklin, J. et al. (2001). A new approach to monitoring exercise training. J Strength Cond Res, 15(1), 109–115.</w:t>
      </w:r>
    </w:p>
    <w:p>
      <w:pPr>
        <w:spacing w:after="80"/>
        <w:ind w:left="567" w:hanging="567"/>
      </w:pPr>
      <w:r>
        <w:rPr>
          <w:sz w:val="19"/>
        </w:rPr>
        <w:t>Haddad, M., Stylianides, G., Djaoui, L., Dellal, A. &amp; Chamari, K. (2017). Session-RPE method for training load monitoring: Validity, ecological usefulness, and influencing factors. Frontiers in Neuroscience, 11, 612.</w:t>
      </w:r>
    </w:p>
    <w:p>
      <w:pPr>
        <w:spacing w:after="80"/>
        <w:ind w:left="567" w:hanging="567"/>
      </w:pPr>
      <w:r>
        <w:rPr>
          <w:sz w:val="19"/>
        </w:rPr>
        <w:t>Izzo, R. &amp; Giovannelli, M. (2018). Session RPE and speed high intensity distance in meters (D_SHI mt): A valid method to analyze training load in soccer players. J Sports Science, 6, 159–164.</w:t>
      </w:r>
    </w:p>
    <w:p>
      <w:pPr>
        <w:spacing w:after="80"/>
        <w:ind w:left="567" w:hanging="567"/>
      </w:pPr>
      <w:r>
        <w:rPr>
          <w:sz w:val="19"/>
        </w:rPr>
        <w:t>Li, Z., Li, R., Zheng, J., Chen, Z., Zhang, X. &amp; Bai, J. (2025). Impact of training frequency on mechanical output and perceived exertion of resistance training with velocity loss monitoring. J Sports Sci Med, 24, 861–870.</w:t>
      </w:r>
    </w:p>
    <w:p>
      <w:pPr>
        <w:spacing w:after="80"/>
        <w:ind w:left="567" w:hanging="567"/>
      </w:pPr>
      <w:r>
        <w:rPr>
          <w:sz w:val="19"/>
        </w:rPr>
        <w:t>Lupo, C., Tessitore, A., Gasperi, L. &amp; Gomez, M.A.R. (2017). Session-RPE for quantifying the load of different youth basketball training sessions. Biology of Sport, 34(1), 11–17.</w:t>
      </w:r>
    </w:p>
    <w:p>
      <w:pPr>
        <w:spacing w:after="80"/>
        <w:ind w:left="567" w:hanging="567"/>
      </w:pPr>
      <w:r>
        <w:rPr>
          <w:sz w:val="19"/>
        </w:rPr>
        <w:t>Saw, A.E., Main, L.C. &amp; Gastin, P.B. (2016). Monitoring the athlete training response: subjective self-reported measures trump commonly used objective measures: a systematic review. Br J Sports Med, 50, 281–291.</w:t>
      </w:r>
    </w:p>
    <w:p>
      <w:pPr>
        <w:spacing w:after="80"/>
        <w:ind w:left="567" w:hanging="567"/>
      </w:pPr>
      <w:r>
        <w:rPr>
          <w:sz w:val="19"/>
        </w:rPr>
        <w:t>Seiler, S. &amp; Hetlelid, K.J. (2005). The impact of rest duration on work intensity and RPE during interval training. Med Sci Sports Exerc, 37(9), 1601–1607.</w:t>
      </w:r>
    </w:p>
    <w:p>
      <w:pPr>
        <w:spacing w:after="80"/>
        <w:ind w:left="567" w:hanging="567"/>
      </w:pPr>
      <w:r>
        <w:rPr>
          <w:sz w:val="19"/>
        </w:rPr>
        <w:t>Seiler, S. &amp; Sjursen, J.E. (2004). Effect of work duration on physiological and rating scale of perceived exertion responses during self-paced interval training. Scand J Med Sci Sports, 14, 318–325.</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MicroPulse · Breiðablik UBK · Apríl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Arial" w:hAnsi="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E3A8A"/>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E3A8A"/>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7415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