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0EA5A4"/>
          <w:sz w:val="32"/>
          <w:szCs w:val="32"/>
        </w:rPr>
        <w:t xml:space="preserve">MicroPulse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Persónuverndarstefna</w:t>
      </w:r>
    </w:p>
    <w:p>
      <w:pPr>
        <w:pBdr>
          <w:bottom w:val="single" w:color="0EA5A4" w:sz="6" w:space="4"/>
        </w:pBdr>
        <w:spacing w:after="80" w:before="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Útgáfa 1.0  ·  Gildir frá 14. apríl 2026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ÁBYRGÐARAÐILI OG VINNSLUAÐILI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Ábyrgðaraðili</w:t>
            </w:r>
          </w:p>
        </w:tc>
        <w:tc>
          <w:tcPr>
            <w:tcW w:type="dxa" w:w="7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Viðskiptavinur (klúbbur/félag) sem notar MicroPulse fyrir eigin leikmenn.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Vinnsluaðili</w:t>
            </w:r>
          </w:p>
        </w:tc>
        <w:tc>
          <w:tcPr>
            <w:tcW w:type="dxa" w:w="7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MicroPulse ehf.  ·  Helgi Guðfinnsson  ·  helgi@metabolic.is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Staðsetning gagna</w:t>
            </w:r>
          </w:p>
        </w:tc>
        <w:tc>
          <w:tcPr>
            <w:tcW w:type="dxa" w:w="7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Supabase EU (Frankfurt). Engin gögn fara úr EES.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HVAÐA GÖGN ERU UNNIN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Grunnupplýsingar leikmanns: nafn, fæðingardagur, félag, staða (ekki kennitala).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Daglegt inntak leikmanns: svefn, þreyta, sársauki (heilsuflokkur — sérflokkur skv. GDPR gr. 9).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Æfingaálag: RPE, mínútur, æfingategund — færð inn af þjálfara eða leikmanni.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Leikjagögn: mínútur, gul/rauð spjöld, stöður — færð inn af þjálfara.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Tækniupplýsingar: log-in tímar, notandavafri, IP — eingöngu til öryggis og bilanagreiningar.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VINNSLUHEIMILDIR (GDPR GR. 6 OG 9)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Grunngögn og álagsgögn: samningur milli klúbbs og leikmanns (gr. 6(1)(b)) og lögmætir hagsmunir klúbbs í að fylgjast með álagi (gr. 6(1)(f)).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Heilsuflokkur (svefn, sársauki): skýrt samþykki leikmanns skv. gr. 9(2)(a) — leikmaður merkir sjálfur við í vefappinu.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Miðlun til landsliða eða annarra liða: aðskilið, skýrt samþykki í gegnum player_consents kerfið.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Samþykki fyrir ólögráða (undir 18 ára) veitt af foreldri/forráðamanni — kerfið blokkar sjálfkrafa aðgang án þess.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RÉTTINDI LEIKMANNS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Aðgangur: leikmaður sér öll eigin gögn í vefappinu (PlayerAccessPanel) hvenær sem er.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Afturköllun samþykkis: hvenær sem er með einum smelli í vefappinu — kerfið virkir breytinguna samstundis.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Útflutningur gagna: CSV/JSON útflutningur innan 14 daga að beiðni (gr. 20).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Eyðing: rétturinn til að gleymast (gr. 17) — gögn eyðast innan 30 daga frá beiðni, nema lögbundin geymsluskylda eigi við.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Kvörtun: má senda á Persónuvernd (www.personuvernd.is).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ÖRYGGI OG SKRÁNING AÐGANGS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Row-Level Security (RLS) tryggir að leikmaður sér eingöngu eigin gögn og þjálfari eingöngu sitt lið.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Allur aðgangur að leikmannagögnum skráður í append-only audit log (player_access_audit) — uppfyllir GDPR gr. 30.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Dulkóðun á ferli (TLS 1.3) og í hvíld (AES-256 á Supabase diskum).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Tvíþætt auðkenning (2FA) í boði fyrir þjálfara og kerfisstjóra.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GEYMSLUTÍMI OG EYÐING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Virk gögn leikmanns: á meðan leikmaður er skráður hjá klúbbi.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Eftir að leikmaður hættir: gögn nafnlaus gerð innan 180 daga nema leikmaður óski eftir eyðingu.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Nafnlaus samanburðargögn: ótímabundið en án persónuauðkenna.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Audit log: 5 ár skv. góðri vinnslu.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TENGILIÐUR VEGNA PERSÓNUVERNDAR</w:t>
      </w:r>
    </w:p>
    <w:p>
      <w:pPr>
        <w:spacing w:after="20" w:before="2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Fyrirspurnir, beiðnir um aðgang eða eyðingu: helgi@metabolic.is</w:t>
      </w:r>
    </w:p>
    <w:p>
      <w:pPr>
        <w:spacing w:after="20" w:before="2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4"/>
          <w:szCs w:val="14"/>
        </w:rPr>
        <w:t xml:space="preserve">Svarað innan 30 daga skv. GDPR gr. 12.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Persónuverndarstefna</dc:title>
  <dc:creator>MicroPulse</dc:creator>
  <cp:lastModifiedBy>Un-named</cp:lastModifiedBy>
  <cp:revision>1</cp:revision>
  <dcterms:created xsi:type="dcterms:W3CDTF">2026-04-14T16:49:28.037Z</dcterms:created>
  <dcterms:modified xsi:type="dcterms:W3CDTF">2026-04-14T16:49:28.037Z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