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left"/>
      </w:pPr>
      <w:r>
        <w:rPr>
          <w:b/>
          <w:bCs/>
          <w:color w:val="C8931C"/>
          <w:sz w:val="20"/>
          <w:szCs w:val="20"/>
        </w:rPr>
        <w:t xml:space="preserve">MICROPULSE · RANNSÓKNARYFIRLIT</w:t>
      </w:r>
    </w:p>
    <w:p>
      <w:pPr>
        <w:spacing w:after="120"/>
        <w:jc w:val="left"/>
      </w:pPr>
      <w:r>
        <w:rPr>
          <w:b/>
          <w:bCs/>
          <w:color w:val="1F3A68"/>
          <w:sz w:val="44"/>
          <w:szCs w:val="44"/>
        </w:rPr>
        <w:t xml:space="preserve">Vísindalegur grunnur álagseftirlits</w:t>
      </w:r>
    </w:p>
    <w:p>
      <w:pPr>
        <w:spacing w:after="320"/>
        <w:jc w:val="left"/>
      </w:pPr>
      <w:r>
        <w:rPr>
          <w:i/>
          <w:iCs/>
          <w:color w:val="555555"/>
          <w:sz w:val="24"/>
          <w:szCs w:val="24"/>
        </w:rPr>
        <w:t xml:space="preserve">Subjective wellness, ACWR og indoor þjálfunarálag — hvað segja rannsóknirnar?</w:t>
      </w:r>
    </w:p>
    <w:p>
      <w:pPr>
        <w:pBdr>
          <w:bottom w:val="single" w:color="1F3A68" w:sz="12" w:space="6"/>
        </w:pBdr>
        <w:spacing w:after="260"/>
      </w:pPr>
      <w:r>
        <w:t xml:space="preserve"/>
      </w:r>
    </w:p>
    <w:p>
      <w:pPr>
        <w:pStyle w:val="Heading2"/>
        <w:spacing w:after="120" w:before="260"/>
      </w:pPr>
      <w:r>
        <w:rPr>
          <w:b/>
          <w:bCs/>
          <w:color w:val="1F3A68"/>
          <w:sz w:val="26"/>
          <w:szCs w:val="26"/>
        </w:rPr>
        <w:t xml:space="preserve">Samantekt</w:t>
      </w:r>
    </w:p>
    <w:p>
      <w:pPr>
        <w:spacing w:after="140" w:line="300"/>
      </w:pPr>
      <w:r>
        <w:rPr>
          <w:color w:val="1A1A1A"/>
        </w:rPr>
        <w:t xml:space="preserve">Þetta skjal tekur saman niðurstöður þriggja lykilrannsókna úr Research-möppunni og tengir þær við þær ákvarðanir sem liggja að baki MicroPulse álagskerfinu. Markmiðið er að þjálfarar og viðskiptavinir sjái að kerfið er byggt á vísindalegum grunni — ekki á tilviljunum.</w:t>
      </w:r>
    </w:p>
    <w:p>
      <w:pPr>
        <w:spacing w:after="140" w:line="300"/>
      </w:pPr>
      <w:r>
        <w:rPr>
          <w:color w:val="1A1A1A"/>
        </w:rPr>
        <w:t xml:space="preserve">Þrjár rannsóknir eru grunnurinn:</w:t>
      </w:r>
    </w:p>
    <w:p>
      <w:pPr>
        <w:pStyle w:val="ListParagraph"/>
        <w:numPr>
          <w:ilvl w:val="0"/>
          <w:numId w:val="2"/>
        </w:numPr>
        <w:spacing w:after="100" w:line="280"/>
      </w:pPr>
      <w:r>
        <w:rPr>
          <w:color w:val="1A1A1A"/>
        </w:rPr>
        <w:t xml:space="preserve">Saw, Main &amp; Gastin (2016). Subjective self-reported measures trump commonly used objective measures: a systematic review. Br J Sports Med 50:281-291.</w:t>
      </w:r>
    </w:p>
    <w:p>
      <w:pPr>
        <w:pStyle w:val="ListParagraph"/>
        <w:numPr>
          <w:ilvl w:val="0"/>
          <w:numId w:val="2"/>
        </w:numPr>
        <w:spacing w:after="100" w:line="280"/>
      </w:pPr>
      <w:r>
        <w:rPr>
          <w:color w:val="1A1A1A"/>
        </w:rPr>
        <w:t xml:space="preserve">Gabbett (2018). Debunking the myths about training load, injury and performance. Br J Sports Med.</w:t>
      </w:r>
    </w:p>
    <w:p>
      <w:pPr>
        <w:pStyle w:val="ListParagraph"/>
        <w:numPr>
          <w:ilvl w:val="0"/>
          <w:numId w:val="2"/>
        </w:numPr>
        <w:spacing w:after="100" w:line="280"/>
      </w:pPr>
      <w:r>
        <w:rPr>
          <w:color w:val="1A1A1A"/>
        </w:rPr>
        <w:t xml:space="preserve">Impellizzeri, McCall, Ward, Bornn &amp; Coutts (2020). Training Load and Its Role in Injury Prevention, Part 2: Conceptual and Methodologic Pitfalls. J Athl Train 55(9):893-901.</w:t>
      </w:r>
    </w:p>
    <w:p>
      <w:pPr>
        <w:pStyle w:val="Heading1"/>
        <w:spacing w:after="160" w:before="360"/>
      </w:pPr>
      <w:r>
        <w:rPr>
          <w:b/>
          <w:bCs/>
          <w:color w:val="1F3A68"/>
          <w:sz w:val="32"/>
          <w:szCs w:val="32"/>
        </w:rPr>
        <w:t xml:space="preserve">1. Huglægar mælingar slá við lífefnafræðilegum</w:t>
      </w:r>
    </w:p>
    <w:p>
      <w:pPr>
        <w:spacing w:after="140" w:line="300"/>
      </w:pPr>
      <w:r>
        <w:rPr>
          <w:color w:val="1A1A1A"/>
        </w:rPr>
        <w:t xml:space="preserve">Saw og félagar gerðu kerfisbundna yfirlitsgrein þar sem 56 rannsóknir voru teknar saman. Þeir báru saman hvað er næmast og stöðugast á að endurspegla breytingar á álagi íþróttamanna: huglæg sjálfsmat (well-being spurningalistar) eða hlutlægir mælikvarðar eins og hjartsláttur, kortisól, kreatín kínasi og hjartsláttarbreytileiki.</w:t>
      </w:r>
    </w:p>
    <w:p>
      <w:pPr>
        <w:pStyle w:val="Heading2"/>
        <w:spacing w:after="120" w:before="260"/>
      </w:pPr>
      <w:r>
        <w:rPr>
          <w:b/>
          <w:bCs/>
          <w:color w:val="1F3A68"/>
          <w:sz w:val="26"/>
          <w:szCs w:val="26"/>
        </w:rPr>
        <w:t xml:space="preserve">Helstu niðurstöður</w:t>
      </w:r>
    </w:p>
    <w:p>
      <w:pPr>
        <w:pStyle w:val="ListParagraph"/>
        <w:numPr>
          <w:ilvl w:val="0"/>
          <w:numId w:val="2"/>
        </w:numPr>
        <w:spacing w:after="100" w:line="280"/>
      </w:pPr>
      <w:r>
        <w:rPr>
          <w:color w:val="1A1A1A"/>
        </w:rPr>
        <w:t xml:space="preserve">Huglægar mælingar svöruðu stöðugt bráðabreytingum í álagi: vellíðan minnkaði þegar álag jókst snögglega og jókst aftur þegar álag minnkaði.</w:t>
      </w:r>
    </w:p>
    <w:p>
      <w:pPr>
        <w:pStyle w:val="ListParagraph"/>
        <w:numPr>
          <w:ilvl w:val="0"/>
          <w:numId w:val="2"/>
        </w:numPr>
        <w:spacing w:after="100" w:line="280"/>
      </w:pPr>
      <w:r>
        <w:rPr>
          <w:color w:val="1A1A1A"/>
        </w:rPr>
        <w:t xml:space="preserve">Huglægar mælingar svöruðu einnig krónísku álagi (mánuðum saman) — sem gerir þær mikilvægar til að greina ofþjálfun snemma.</w:t>
      </w:r>
    </w:p>
    <w:p>
      <w:pPr>
        <w:pStyle w:val="ListParagraph"/>
        <w:numPr>
          <w:ilvl w:val="0"/>
          <w:numId w:val="2"/>
        </w:numPr>
        <w:spacing w:after="100" w:line="280"/>
      </w:pPr>
      <w:r>
        <w:rPr>
          <w:color w:val="1A1A1A"/>
        </w:rPr>
        <w:t xml:space="preserve">Hlutlægir lífmerkingar (kortisól, kreatín kínasi, HRV, hjartsláttur í hvíld) svöruðu illa bráðabreytingum og voru ósamkvæmir milli rannsókna.</w:t>
      </w:r>
    </w:p>
    <w:p>
      <w:pPr>
        <w:pStyle w:val="ListParagraph"/>
        <w:numPr>
          <w:ilvl w:val="0"/>
          <w:numId w:val="2"/>
        </w:numPr>
        <w:spacing w:after="100" w:line="280"/>
      </w:pPr>
      <w:r>
        <w:rPr>
          <w:color w:val="1A1A1A"/>
        </w:rPr>
        <w:t xml:space="preserve">Sterk huglæg merki fundust í: þróttur/vigour, þreyta, líkamlegir kvillar/meiðsli, ótengd álagsstreita, líkamleg endurheimt, almenn líðan, „í formi" tilfinning.</w:t>
      </w:r>
    </w:p>
    <w:p>
      <w:pPr>
        <w:pStyle w:val="ListParagraph"/>
        <w:numPr>
          <w:ilvl w:val="0"/>
          <w:numId w:val="2"/>
        </w:numPr>
        <w:spacing w:after="100" w:line="280"/>
      </w:pPr>
      <w:r>
        <w:rPr>
          <w:color w:val="1A1A1A"/>
        </w:rPr>
        <w:t xml:space="preserve">Þunglyndisskalar (POMS depression) voru EKKI næmir — ber að sleppa í daglegri vöktun.</w:t>
      </w:r>
    </w:p>
    <w:p>
      <w:pPr>
        <w:pBdr>
          <w:left w:val="single" w:color="C8931C" w:sz="18" w:space="12"/>
        </w:pBdr>
        <w:spacing w:after="180" w:before="140"/>
        <w:ind w:left="400" w:right="400"/>
      </w:pPr>
      <w:r>
        <w:rPr>
          <w:i/>
          <w:iCs/>
          <w:color w:val="1A1A1A"/>
        </w:rPr>
        <w:t xml:space="preserve">„Subjective well-being responded consistently to stress imposed by training, deteriorating with increased and chronic training and improving with reduced training. There was negligible evidence for an association between subjective and objective measures."</w:t>
      </w:r>
      <w:r>
        <w:rPr>
          <w:color w:val="666666"/>
          <w:sz w:val="20"/>
          <w:szCs w:val="20"/>
        </w:rPr>
        <w:t xml:space="preserve">  — Saw et al. 2016</w:t>
      </w:r>
    </w:p>
    <w:p>
      <w:pPr>
        <w:pStyle w:val="Heading2"/>
        <w:spacing w:after="120" w:before="260"/>
      </w:pPr>
      <w:r>
        <w:rPr>
          <w:b/>
          <w:bCs/>
          <w:color w:val="1F3A68"/>
          <w:sz w:val="26"/>
          <w:szCs w:val="26"/>
        </w:rPr>
        <w:t xml:space="preserve">Hvað þýðir þetta fyrir MicroPulse?</w:t>
      </w:r>
    </w:p>
    <w:p>
      <w:pPr>
        <w:spacing w:after="140" w:line="300"/>
      </w:pPr>
      <w:r>
        <w:rPr>
          <w:color w:val="1A1A1A"/>
        </w:rPr>
        <w:t xml:space="preserve">Readiness-kerfið í MicroPulse (daglegt sjálfsmat leikmanna á svefni, þreytu, vöðvaverkjum, streitu, skapi) er í samræmi við bestu fáanlegu vísindi. Þetta er ekki „mjúk gögn" — þetta eru næmustu gögnin sem til eru til að fanga bráðar og krónískar álagsbreytingar. Hlutlæg GPS/FMP gögn mæla álagið sem var LAGT Á leikmanninn; huglægu gögnin mæla hvernig hann BREGST við því. Þetta tvennt er viðbót hvort við annað — ekki valkostir.</w:t>
      </w:r>
    </w:p>
    <w:p>
      <w:pPr>
        <w:spacing w:after="140" w:line="300"/>
      </w:pPr>
      <w:r>
        <w:rPr>
          <w:color w:val="1A1A1A"/>
        </w:rPr>
        <w:t xml:space="preserve">Ráðlegging Saw er að nota daglegt huglægt sjálfsmat ásamt sjaldnari hlutlægum mælingum (t.d. vikulega eða mánaðarlega). Þetta passar nákvæmlega inn í þann flæðiferil sem MicroPulse styður: daglegt readiness + daglegt GPS/FMP + vikulegt sRPE.</w:t>
      </w:r>
    </w:p>
    <w:p>
      <w:pPr>
        <w:pStyle w:val="Heading1"/>
        <w:spacing w:after="160" w:before="360"/>
      </w:pPr>
      <w:r>
        <w:rPr>
          <w:b/>
          <w:bCs/>
          <w:color w:val="1F3A68"/>
          <w:sz w:val="32"/>
          <w:szCs w:val="32"/>
        </w:rPr>
        <w:t xml:space="preserve">2. ACWR og álagskorridorinn — raunveruleikinn er flóknari</w:t>
      </w:r>
    </w:p>
    <w:p>
      <w:pPr>
        <w:spacing w:after="140" w:line="300"/>
      </w:pPr>
      <w:r>
        <w:rPr>
          <w:color w:val="1A1A1A"/>
        </w:rPr>
        <w:t xml:space="preserve">Acute:chronic workload ratio (ACWR) er vinsælt hugtak: hlutfall bráðaálags (1 vika) á móti krónísku álagi (4 vikur). Mikið hefur verið skrifað um „sweet spot" á milli 0.8 og 1.3. MicroPulse notar svipað hugtak — ±15% korridor umhverfis viðmiðunarvikuna. Hvað segja rannsóknirnar núna?</w:t>
      </w:r>
    </w:p>
    <w:p>
      <w:pPr>
        <w:pStyle w:val="Heading2"/>
        <w:spacing w:after="120" w:before="260"/>
      </w:pPr>
      <w:r>
        <w:rPr>
          <w:b/>
          <w:bCs/>
          <w:color w:val="1F3A68"/>
          <w:sz w:val="26"/>
          <w:szCs w:val="26"/>
        </w:rPr>
        <w:t xml:space="preserve">Gabbett (2018) — Debunking the Myths</w:t>
      </w:r>
    </w:p>
    <w:p>
      <w:pPr>
        <w:spacing w:after="140" w:line="300"/>
      </w:pPr>
      <w:r>
        <w:rPr>
          <w:color w:val="1A1A1A"/>
        </w:rPr>
        <w:t xml:space="preserve">Gabbett, sem upphaflega vinsældaði ACWR, skrifaði 2018 grein þar sem hann „debunkar" fimm algengum goðsögnum sem practitioners hafa tileinkað sér: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Goðsögn</w:t>
            </w:r>
          </w:p>
        </w:tc>
        <w:tc>
          <w:tcPr>
            <w:tcW w:type="dxa" w:w="5826"/>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Raunveruleikinn</w:t>
            </w:r>
          </w:p>
        </w:tc>
      </w:tr>
      <w:tr>
        <w:tc>
          <w:tcPr>
            <w:tcW w:type="dxa" w:w="32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Álag útskýrir öll meiðsli</w:t>
            </w:r>
          </w:p>
        </w:tc>
        <w:tc>
          <w:tcPr>
            <w:tcW w:type="dxa" w:w="58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Svefn &lt; 8 klst → 1.7× meiðslahætta. Streita, kvíði, fullkomnunarárátta og sjálfsásökun auka hættuna líka. Álag er aðeins einn þáttur.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10% regla er töfratala</w:t>
            </w:r>
          </w:p>
        </w:tc>
        <w:tc>
          <w:tcPr>
            <w:tcW w:type="dxa" w:w="58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Engin töfratala. Íþróttamaður með HÁTT krónískt álag þolir stóra bráðaaukningu; íþróttamaður með LÁGT krónískt álag þolir minna.</w:t>
            </w:r>
          </w:p>
        </w:tc>
      </w:tr>
      <w:tr>
        <w:tc>
          <w:tcPr>
            <w:tcW w:type="dxa" w:w="32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Forðist alla „spikes"</w:t>
            </w:r>
          </w:p>
        </w:tc>
        <w:tc>
          <w:tcPr>
            <w:tcW w:type="dxa" w:w="58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„Troughs" (álagsfall) auka meiðslahættu líka. Sjokk-míkrósyklar geta verið nauðsynlegir fyrir aðlögun.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ACWR 1.5 er galdratala</w:t>
            </w:r>
          </w:p>
        </w:tc>
        <w:tc>
          <w:tcPr>
            <w:tcW w:type="dxa" w:w="58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Meðaltal. Sumir meiðast við 1.3, aðrir þola 2.0 vel. Aldur, meiðslasaga, styrkur, loftháð þol og HRV eru mótarar.</w:t>
            </w:r>
          </w:p>
        </w:tc>
      </w:tr>
      <w:tr>
        <w:tc>
          <w:tcPr>
            <w:tcW w:type="dxa" w:w="32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Það er allt um hlutfallið</w:t>
            </w:r>
          </w:p>
        </w:tc>
        <w:tc>
          <w:tcPr>
            <w:tcW w:type="dxa" w:w="58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Hátt krónískt álag (vel þjálfaðir leikmenn) VERNDAR — jafnvel við mikla bráðaaukningu. Lágt krónískt álag er sjálfstæður áhættuþáttur.</w:t>
            </w:r>
          </w:p>
        </w:tc>
      </w:tr>
    </w:tbl>
    <w:p>
      <w:pPr>
        <w:spacing w:after="160"/>
      </w:pPr>
      <w:r>
        <w:t xml:space="preserve"/>
      </w:r>
    </w:p>
    <w:p>
      <w:pPr>
        <w:pBdr>
          <w:left w:val="single" w:color="C8931C" w:sz="18" w:space="12"/>
        </w:pBdr>
        <w:spacing w:after="180" w:before="140"/>
        <w:ind w:left="400" w:right="400"/>
      </w:pPr>
      <w:r>
        <w:rPr>
          <w:i/>
          <w:iCs/>
          <w:color w:val="1A1A1A"/>
        </w:rPr>
        <w:t xml:space="preserve">„High chronic workloads were associated with lower injury rates, as long as those workloads were achieved safely. Rapid increases in workload and low chronic workloads are associated with greater injury risk."</w:t>
      </w:r>
      <w:r>
        <w:rPr>
          <w:color w:val="666666"/>
          <w:sz w:val="20"/>
          <w:szCs w:val="20"/>
        </w:rPr>
        <w:t xml:space="preserve">  — Gabbett 2018</w:t>
      </w:r>
    </w:p>
    <w:p>
      <w:pPr>
        <w:pStyle w:val="Heading2"/>
        <w:spacing w:after="120" w:before="260"/>
      </w:pPr>
      <w:r>
        <w:rPr>
          <w:b/>
          <w:bCs/>
          <w:color w:val="1F3A68"/>
          <w:sz w:val="26"/>
          <w:szCs w:val="26"/>
        </w:rPr>
        <w:t xml:space="preserve">Impellizzeri o.fl. (2020) — Methodological Pitfalls</w:t>
      </w:r>
    </w:p>
    <w:p>
      <w:pPr>
        <w:spacing w:after="140" w:line="300"/>
      </w:pPr>
      <w:r>
        <w:rPr>
          <w:color w:val="1A1A1A"/>
        </w:rPr>
        <w:t xml:space="preserve">Á sama tíma hafa vísindamenn komið með harða gagnrýni á ACWR sem tæki til að spá fyrir um meiðsli. Helstu atriðin:</w:t>
      </w:r>
    </w:p>
    <w:p>
      <w:pPr>
        <w:pStyle w:val="ListParagraph"/>
        <w:numPr>
          <w:ilvl w:val="0"/>
          <w:numId w:val="2"/>
        </w:numPr>
        <w:spacing w:after="100" w:line="280"/>
      </w:pPr>
      <w:r>
        <w:rPr>
          <w:color w:val="1A1A1A"/>
        </w:rPr>
        <w:t xml:space="preserve">Hlutfallið (ratio) normaliserar EKKI rétt — stærðfræðileg tenging (mathematical coupling) býr til bjögun.</w:t>
      </w:r>
    </w:p>
    <w:p>
      <w:pPr>
        <w:pStyle w:val="ListParagraph"/>
        <w:numPr>
          <w:ilvl w:val="0"/>
          <w:numId w:val="2"/>
        </w:numPr>
        <w:spacing w:after="100" w:line="280"/>
      </w:pPr>
      <w:r>
        <w:rPr>
          <w:color w:val="1A1A1A"/>
        </w:rPr>
        <w:t xml:space="preserve">Bornn o.fl. hermdu tilviljanakennd álagsgögn sem HÖFÐU ENGIN tengsl við meiðsli — samt birtist „sweet spot" mynstur í greiningunni. Þetta er statistiskt „artifact".</w:t>
      </w:r>
    </w:p>
    <w:p>
      <w:pPr>
        <w:pStyle w:val="ListParagraph"/>
        <w:numPr>
          <w:ilvl w:val="0"/>
          <w:numId w:val="2"/>
        </w:numPr>
        <w:spacing w:after="100" w:line="280"/>
      </w:pPr>
      <w:r>
        <w:rPr>
          <w:color w:val="1A1A1A"/>
        </w:rPr>
        <w:t xml:space="preserve">Australian Institute of Sport (AIS) gaf út formlega tilkynningu 2020 þar sem ACWR var EKKI mælt með sem tæki til að spá fyrir um meiðsli.</w:t>
      </w:r>
    </w:p>
    <w:p>
      <w:pPr>
        <w:pStyle w:val="ListParagraph"/>
        <w:numPr>
          <w:ilvl w:val="0"/>
          <w:numId w:val="2"/>
        </w:numPr>
        <w:spacing w:after="100" w:line="280"/>
      </w:pPr>
      <w:r>
        <w:rPr>
          <w:color w:val="1A1A1A"/>
        </w:rPr>
        <w:t xml:space="preserve">Höfundarnir leggja til að practitioners snúi sér aftur að hefðbundnum þjálfunarreglum: progressive overload, aðlaga álag eftir viðbragði leikmanns, nota huglægt sjálfsmat sem leiðbeinandi þátt.</w:t>
      </w:r>
    </w:p>
    <w:p>
      <w:pPr>
        <w:pBdr>
          <w:left w:val="single" w:color="C8931C" w:sz="18" w:space="12"/>
        </w:pBdr>
        <w:spacing w:after="180" w:before="140"/>
        <w:ind w:left="400" w:right="400"/>
      </w:pPr>
      <w:r>
        <w:rPr>
          <w:i/>
          <w:iCs/>
          <w:color w:val="1A1A1A"/>
        </w:rPr>
        <w:t xml:space="preserve">„The idea that new metrics such as ACWR are strongly and consistently associated with injury is not actually supported by evidence. Practitioners should rely on traditional training principles and knowledge of physiological mechanisms."</w:t>
      </w:r>
      <w:r>
        <w:rPr>
          <w:color w:val="666666"/>
          <w:sz w:val="20"/>
          <w:szCs w:val="20"/>
        </w:rPr>
        <w:t xml:space="preserve">  — Impellizzeri et al. 2020</w:t>
      </w:r>
    </w:p>
    <w:p>
      <w:pPr>
        <w:pStyle w:val="Heading2"/>
        <w:spacing w:after="120" w:before="260"/>
      </w:pPr>
      <w:r>
        <w:rPr>
          <w:b/>
          <w:bCs/>
          <w:color w:val="1F3A68"/>
          <w:sz w:val="26"/>
          <w:szCs w:val="26"/>
        </w:rPr>
        <w:t xml:space="preserve">Hvað þýðir þetta fyrir MicroPulse?</w:t>
      </w:r>
    </w:p>
    <w:p>
      <w:pPr>
        <w:spacing w:after="140" w:line="300"/>
      </w:pPr>
      <w:r>
        <w:rPr>
          <w:color w:val="1A1A1A"/>
        </w:rPr>
        <w:t xml:space="preserve">Álagskorridorinn (±15%) í MicroPulse er góð hagnýt „rule of thumb" til að leiðbeina þjálfara um hvað er hófleg vikuleg aukning — en kerfið setur hann ALDREI fram sem meiðslaspá. Þetta er mjög mikilvægt: við seljum ekki falska vissu.</w:t>
      </w:r>
    </w:p>
    <w:p>
      <w:pPr>
        <w:spacing w:after="140" w:line="300"/>
      </w:pPr>
      <w:r>
        <w:rPr>
          <w:color w:val="1A1A1A"/>
        </w:rPr>
        <w:t xml:space="preserve">Það sem MicroPulse gerir RÉTT skv. þessum rannsóknum:</w:t>
      </w:r>
    </w:p>
    <w:p>
      <w:pPr>
        <w:pStyle w:val="ListParagraph"/>
        <w:numPr>
          <w:ilvl w:val="0"/>
          <w:numId w:val="2"/>
        </w:numPr>
        <w:spacing w:after="100" w:line="280"/>
      </w:pPr>
      <w:r>
        <w:rPr>
          <w:color w:val="1A1A1A"/>
        </w:rPr>
        <w:t xml:space="preserve">Setur lágmarksviðmið (ekki bara hámark) — lágt krónískt álag er líka áhættuþáttur.</w:t>
      </w:r>
    </w:p>
    <w:p>
      <w:pPr>
        <w:pStyle w:val="ListParagraph"/>
        <w:numPr>
          <w:ilvl w:val="0"/>
          <w:numId w:val="2"/>
        </w:numPr>
        <w:spacing w:after="100" w:line="280"/>
      </w:pPr>
      <w:r>
        <w:rPr>
          <w:color w:val="1A1A1A"/>
        </w:rPr>
        <w:t xml:space="preserve">Leyfir þjálfara að stilla mesocycle fasa (build/maintain/taper) — álagsaðlögun fylgir æfingastefnu, ekki stífum reglum.</w:t>
      </w:r>
    </w:p>
    <w:p>
      <w:pPr>
        <w:pStyle w:val="ListParagraph"/>
        <w:numPr>
          <w:ilvl w:val="0"/>
          <w:numId w:val="2"/>
        </w:numPr>
        <w:spacing w:after="100" w:line="280"/>
      </w:pPr>
      <w:r>
        <w:rPr>
          <w:color w:val="1A1A1A"/>
        </w:rPr>
        <w:t xml:space="preserve">Skilur vikuna niður í daga og sýnir uppsafnað álag — það gerir kleift að leiðrétta innan vikunnar í stað þess að bregðast við eftir á.</w:t>
      </w:r>
    </w:p>
    <w:p>
      <w:pPr>
        <w:pStyle w:val="ListParagraph"/>
        <w:numPr>
          <w:ilvl w:val="0"/>
          <w:numId w:val="2"/>
        </w:numPr>
        <w:spacing w:after="100" w:line="280"/>
      </w:pPr>
      <w:r>
        <w:rPr>
          <w:color w:val="1A1A1A"/>
        </w:rPr>
        <w:t xml:space="preserve">Sýnir readiness-gögn samhliða álagsgögnum — Gabbett leggur áherslu á að kombinera load + wellbeing + physical preparedness.</w:t>
      </w:r>
    </w:p>
    <w:p>
      <w:pPr>
        <w:pStyle w:val="Heading1"/>
        <w:spacing w:after="160" w:before="360"/>
      </w:pPr>
      <w:r>
        <w:rPr>
          <w:b/>
          <w:bCs/>
          <w:color w:val="1F3A68"/>
          <w:sz w:val="32"/>
          <w:szCs w:val="32"/>
        </w:rPr>
        <w:t xml:space="preserve">3. Indoor þjálfun — þekkt takmörkun sem MicroPulse leysir</w:t>
      </w:r>
    </w:p>
    <w:p>
      <w:pPr>
        <w:spacing w:after="140" w:line="300"/>
      </w:pPr>
      <w:r>
        <w:rPr>
          <w:color w:val="1A1A1A"/>
        </w:rPr>
        <w:t xml:space="preserve">Impellizzeri o.fl. benda beinlínis á veikleika í flestum ACWR-rannsóknum: þær nota GPS-gögn sem geta ekki mælt innanhússæfingar.</w:t>
      </w:r>
    </w:p>
    <w:p>
      <w:pPr>
        <w:pBdr>
          <w:left w:val="single" w:color="C8931C" w:sz="18" w:space="12"/>
        </w:pBdr>
        <w:spacing w:after="180" w:before="140"/>
        <w:ind w:left="400" w:right="400"/>
      </w:pPr>
      <w:r>
        <w:rPr>
          <w:i/>
          <w:iCs/>
          <w:color w:val="1A1A1A"/>
        </w:rPr>
        <w:t xml:space="preserve">„One obvious limitation of GPS is that it cannot be used to quantify any indoor training (eg gym training). Why most authors who used GPS failed to quantify or acknowledge this point is unknown."</w:t>
      </w:r>
      <w:r>
        <w:rPr>
          <w:color w:val="666666"/>
          <w:sz w:val="20"/>
          <w:szCs w:val="20"/>
        </w:rPr>
        <w:t xml:space="preserve">  — Impellizzeri et al. 2020</w:t>
      </w:r>
    </w:p>
    <w:p>
      <w:pPr>
        <w:spacing w:after="140" w:line="300"/>
      </w:pPr>
      <w:r>
        <w:rPr>
          <w:color w:val="1A1A1A"/>
        </w:rPr>
        <w:t xml:space="preserve">Þetta er nákvæmlega sá punktur sem drífur nýju indoor-virknina í MicroPulse. Íslensk félög spila stóran hluta vetrarins innanhúss. Ef við reiðum okkur á GPS (Total Distance, Velocity Band 5/6, o.s.frv.) sem aðeins virka utanhúss, missum við sýnileika á álagi akkúrat þegar æfingarnar eru mikilvægastar fyrir undirbúningstímabil.</w:t>
      </w:r>
    </w:p>
    <w:p>
      <w:pPr>
        <w:pStyle w:val="Heading2"/>
        <w:spacing w:after="120" w:before="260"/>
      </w:pPr>
      <w:r>
        <w:rPr>
          <w:b/>
          <w:bCs/>
          <w:color w:val="1F3A68"/>
          <w:sz w:val="26"/>
          <w:szCs w:val="26"/>
        </w:rPr>
        <w:t xml:space="preserve">Lausnin í MicroPulse</w:t>
      </w:r>
    </w:p>
    <w:p>
      <w:pPr>
        <w:spacing w:after="140" w:line="300"/>
      </w:pPr>
      <w:r>
        <w:rPr>
          <w:color w:val="1A1A1A"/>
        </w:rPr>
        <w:t xml:space="preserve">Þegar team_settings.indoor_mode er virkt, skiptir kerfið sjálfkrafa yfir í Catapult FMP/IMA mælikvarða sem Vector S7 nemar skila úr innanhússæfingum: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tblHeader/>
        </w:trPr>
        <w:tc>
          <w:tcPr>
            <w:tcW w:type="dxa" w:w="2300"/>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KPI</w:t>
            </w:r>
          </w:p>
        </w:tc>
        <w:tc>
          <w:tcPr>
            <w:tcW w:type="dxa" w:w="4000"/>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Hvað mælir það</w:t>
            </w:r>
          </w:p>
        </w:tc>
        <w:tc>
          <w:tcPr>
            <w:tcW w:type="dxa" w:w="2726"/>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Sambærilegt við (utanhúss)</w:t>
            </w:r>
          </w:p>
        </w:tc>
      </w:tr>
      <w:tr>
        <w:tc>
          <w:tcPr>
            <w:tcW w:type="dxa" w:w="23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Player Load (t/m³)</w:t>
            </w:r>
          </w:p>
        </w:tc>
        <w:tc>
          <w:tcPr>
            <w:tcW w:type="dxa" w:w="40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Heildaraccelerometer álag</w:t>
            </w:r>
          </w:p>
        </w:tc>
        <w:tc>
          <w:tcPr>
            <w:tcW w:type="dxa" w:w="27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Total Distance</w:t>
            </w:r>
          </w:p>
        </w:tc>
      </w:tr>
      <w:tr>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FMP Dynamic High (s)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Tími í hárri ákefð með snöggum stefnubreytingum</w:t>
            </w:r>
          </w:p>
        </w:tc>
        <w:tc>
          <w:tcPr>
            <w:tcW w:type="dxa" w:w="27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Velocity Band 5</w:t>
            </w:r>
          </w:p>
        </w:tc>
      </w:tr>
      <w:tr>
        <w:tc>
          <w:tcPr>
            <w:tcW w:type="dxa" w:w="23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FMP Dynamic Medium (s)</w:t>
            </w:r>
          </w:p>
        </w:tc>
        <w:tc>
          <w:tcPr>
            <w:tcW w:type="dxa" w:w="40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Tími í meðalákefð dýnamískrar vinnu</w:t>
            </w:r>
          </w:p>
        </w:tc>
        <w:tc>
          <w:tcPr>
            <w:tcW w:type="dxa" w:w="27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w:t>
            </w:r>
          </w:p>
        </w:tc>
      </w:tr>
      <w:tr>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FMP Running High (s)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Tími í háhraða hlaupi (indoor próxí)</w:t>
            </w:r>
          </w:p>
        </w:tc>
        <w:tc>
          <w:tcPr>
            <w:tcW w:type="dxa" w:w="27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Velocity Band 6</w:t>
            </w:r>
          </w:p>
        </w:tc>
      </w:tr>
      <w:tr>
        <w:tc>
          <w:tcPr>
            <w:tcW w:type="dxa" w:w="23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IMA Total</w:t>
            </w:r>
          </w:p>
        </w:tc>
        <w:tc>
          <w:tcPr>
            <w:tcW w:type="dxa" w:w="40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Heildarfjöldi ákafra accel/decel/change-of-direction</w:t>
            </w:r>
          </w:p>
        </w:tc>
        <w:tc>
          <w:tcPr>
            <w:tcW w:type="dxa" w:w="27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Accel/Decel B2.3</w:t>
            </w:r>
          </w:p>
        </w:tc>
      </w:tr>
    </w:tbl>
    <w:p>
      <w:pPr>
        <w:spacing w:after="160"/>
      </w:pPr>
      <w:r>
        <w:t xml:space="preserve"/>
      </w:r>
    </w:p>
    <w:p>
      <w:pPr>
        <w:spacing w:after="140" w:line="300"/>
      </w:pPr>
      <w:r>
        <w:rPr>
          <w:color w:val="1A1A1A"/>
        </w:rPr>
        <w:t xml:space="preserve">Þessi nálgun er byggð á útgáfum Catapult/Football Movement Profile (FMP) sem notaðar eru á háu plani í bæði innanhúss körfubolta og fótbolta (Monitoring Training Loads in Basketball — Narrative Review; Monitoring and Interpreting External Load in Basketball). Þegar 90-mín keppnisleikur fer fram innanhúss, þá getur hann ýtt vikulegu álagi upp um 15-25%. Þess vegna býður MicroPulse nú upp á „exclude match days from baseline" valkostinn — til að fá hreinan „dæmigerður æfingadagur" viðmið án keppnismengunar.</w:t>
      </w:r>
    </w:p>
    <w:p>
      <w:pPr>
        <w:pStyle w:val="Heading1"/>
        <w:spacing w:after="160" w:before="360"/>
      </w:pPr>
      <w:r>
        <w:rPr>
          <w:b/>
          <w:bCs/>
          <w:color w:val="1F3A68"/>
          <w:sz w:val="32"/>
          <w:szCs w:val="32"/>
        </w:rPr>
        <w:t xml:space="preserve">4. Outdoor þjálfun — GPS-breytur í MicroPulse</w:t>
      </w:r>
    </w:p>
    <w:p>
      <w:pPr>
        <w:spacing w:after="140" w:line="300"/>
      </w:pPr>
      <w:r>
        <w:rPr>
          <w:color w:val="1A1A1A"/>
        </w:rPr>
        <w:t xml:space="preserve">Fyrir lið sem spila aðallega utanhúss (fótbolti á grasi, rugby, ástralsk reglur) er GPS gullstandallinn. MicroPulse fylgir sömu breytum og notaðar eru í stærstu álagsrannsóknunum á elítuplani — þar á meðal rannsóknin á Enska úrvalsdeildinni sem sýndi 5-7× aukna meiðslahættu við skyndilega stökk í ACWR.</w:t>
      </w:r>
    </w:p>
    <w:p>
      <w:pPr>
        <w:pBdr>
          <w:left w:val="single" w:color="C8931C" w:sz="18" w:space="12"/>
        </w:pBdr>
        <w:spacing w:after="180" w:before="140"/>
        <w:ind w:left="400" w:right="400"/>
      </w:pPr>
      <w:r>
        <w:rPr>
          <w:i/>
          <w:iCs/>
          <w:color w:val="1A1A1A"/>
        </w:rPr>
        <w:t xml:space="preserve">„Spikes in acute:chronic workload ratio (ACWR) associated with a 5-7 times greater injury rate in English Premier League football players: a comprehensive 3-year study."</w:t>
      </w:r>
      <w:r>
        <w:rPr>
          <w:color w:val="666666"/>
          <w:sz w:val="20"/>
          <w:szCs w:val="20"/>
        </w:rPr>
        <w:t xml:space="preserve">  — Bowen et al. 2020, Br J Sports Med</w:t>
      </w:r>
    </w:p>
    <w:p>
      <w:pPr>
        <w:pStyle w:val="Heading2"/>
        <w:spacing w:after="120" w:before="260"/>
      </w:pPr>
      <w:r>
        <w:rPr>
          <w:b/>
          <w:bCs/>
          <w:color w:val="1F3A68"/>
          <w:sz w:val="26"/>
          <w:szCs w:val="26"/>
        </w:rPr>
        <w:t xml:space="preserve">Lykilmælikvarðar sem MicroPulse fylgir utanhúss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KPI</w:t>
            </w:r>
          </w:p>
        </w:tc>
        <w:tc>
          <w:tcPr>
            <w:tcW w:type="dxa" w:w="3500"/>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Hvað mælir það</w:t>
            </w:r>
          </w:p>
        </w:tc>
        <w:tc>
          <w:tcPr>
            <w:tcW w:type="dxa" w:w="3326"/>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Vísindagrunnur</w:t>
            </w:r>
          </w:p>
        </w:tc>
      </w:tr>
      <w:tr>
        <w:tc>
          <w:tcPr>
            <w:tcW w:type="dxa" w:w="22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Total Distance (m)</w:t>
            </w:r>
          </w:p>
        </w:tc>
        <w:tc>
          <w:tcPr>
            <w:tcW w:type="dxa" w:w="35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Heildarvegalengd á æfingu/leik</w:t>
            </w:r>
          </w:p>
        </w:tc>
        <w:tc>
          <w:tcPr>
            <w:tcW w:type="dxa" w:w="33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Malone o.fl. 2018 — fótbolti; Hulin o.fl. 2016 — rugby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Player Load (AU)</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Accelerometer-byggt heildarálag; fangar ákafa í ekki-hlaupandi hreyfingum</w:t>
            </w:r>
          </w:p>
        </w:tc>
        <w:tc>
          <w:tcPr>
            <w:tcW w:type="dxa" w:w="3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Bowen o.fl. 2017 — EPL æskugeiri</w:t>
            </w:r>
          </w:p>
        </w:tc>
      </w:tr>
      <w:tr>
        <w:tc>
          <w:tcPr>
            <w:tcW w:type="dxa" w:w="22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Velocity Band 5 (5.5-7.0 m/s)</w:t>
            </w:r>
          </w:p>
        </w:tc>
        <w:tc>
          <w:tcPr>
            <w:tcW w:type="dxa" w:w="35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Tími/vegalengd í háhraðahlaupi</w:t>
            </w:r>
          </w:p>
        </w:tc>
        <w:tc>
          <w:tcPr>
            <w:tcW w:type="dxa" w:w="33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High-speed running as injury risk factor — Malone o.fl. 2018</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Velocity Band 6 (&gt;7.0 m/s)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Sprettur — mesta ákefð</w:t>
            </w:r>
          </w:p>
        </w:tc>
        <w:tc>
          <w:tcPr>
            <w:tcW w:type="dxa" w:w="3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Colby o.fl. 2018 — sprint exposure og meiðsli</w:t>
            </w:r>
          </w:p>
        </w:tc>
      </w:tr>
      <w:tr>
        <w:tc>
          <w:tcPr>
            <w:tcW w:type="dxa" w:w="22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Accel B2.3 (&gt;2.3 m/s²)</w:t>
            </w:r>
          </w:p>
        </w:tc>
        <w:tc>
          <w:tcPr>
            <w:tcW w:type="dxa" w:w="35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Fjöldi kraftmikilla hröðunar</w:t>
            </w:r>
          </w:p>
        </w:tc>
        <w:tc>
          <w:tcPr>
            <w:tcW w:type="dxa" w:w="33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Delecroix o.fl. 2018 — workload og non-contact meiðsli</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Decel B2.3 (&gt;−2.3 m/s²)</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Fjöldi kraftmikilla hemlana — mest excentrísk álag</w:t>
            </w:r>
          </w:p>
        </w:tc>
        <w:tc>
          <w:tcPr>
            <w:tcW w:type="dxa" w:w="3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Harper o.fl. — decelerations og hamstring álag</w:t>
            </w:r>
          </w:p>
        </w:tc>
      </w:tr>
    </w:tbl>
    <w:p>
      <w:pPr>
        <w:spacing w:after="160"/>
      </w:pPr>
      <w:r>
        <w:t xml:space="preserve"/>
      </w:r>
    </w:p>
    <w:p>
      <w:pPr>
        <w:pStyle w:val="Heading2"/>
        <w:spacing w:after="120" w:before="260"/>
      </w:pPr>
      <w:r>
        <w:rPr>
          <w:b/>
          <w:bCs/>
          <w:color w:val="1F3A68"/>
          <w:sz w:val="26"/>
          <w:szCs w:val="26"/>
        </w:rPr>
        <w:t xml:space="preserve">Afhverju þessir 6 KPI-ar?</w:t>
      </w:r>
    </w:p>
    <w:p>
      <w:pPr>
        <w:spacing w:after="140" w:line="300"/>
      </w:pPr>
      <w:r>
        <w:rPr>
          <w:color w:val="1A1A1A"/>
        </w:rPr>
        <w:t xml:space="preserve">Bowen o.fl. (2020) greindu 3 ár af EPL gögnum og fundu að skyndileg hækkun ACWR (bráðaálag / 4-vikna meðaltal) yfir 1.5 tengdist 5-7× aukinni meiðslahættu. Þetta mynstur sást bæði í Total Distance og Player Load. Velocity Band 5/6 eru sérstaklega tengd hamstring meiðslum skv. Malone o.fl. — hlaupendur sem skyndilega auka háhraðahlaup sitt eru í meiri áhættu en þeir sem hafa viðhaldið krónísku háhraðaálagi.</w:t>
      </w:r>
    </w:p>
    <w:p>
      <w:pPr>
        <w:spacing w:after="140" w:line="300"/>
      </w:pPr>
      <w:r>
        <w:rPr>
          <w:color w:val="1A1A1A"/>
        </w:rPr>
        <w:t xml:space="preserve">Accelerations og decelerations (B2.3 þröskuldurinn) eru settir með vegna þess að Total Distance einn og sér nær ekki „stop-start" eðli fótboltans. Leikmaður sem hleypur 8 km í miklum stefnubreytingum fær mun meira mechanical álag en leikmaður sem hleypur sömu vegalengd í beinum línum.</w:t>
      </w:r>
    </w:p>
    <w:p>
      <w:pPr>
        <w:pStyle w:val="Heading2"/>
        <w:spacing w:after="120" w:before="260"/>
      </w:pPr>
      <w:r>
        <w:rPr>
          <w:b/>
          <w:bCs/>
          <w:color w:val="1F3A68"/>
          <w:sz w:val="26"/>
          <w:szCs w:val="26"/>
        </w:rPr>
        <w:t xml:space="preserve">Samhengi við readiness í outdoor mode</w:t>
      </w:r>
    </w:p>
    <w:p>
      <w:pPr>
        <w:spacing w:after="140" w:line="300"/>
      </w:pPr>
      <w:r>
        <w:rPr>
          <w:color w:val="1A1A1A"/>
        </w:rPr>
        <w:t xml:space="preserve">Í outdoor mode virka sömu Saw/Gabbett-meginreglur: readiness-gögn (svefn, þreyta, vöðvaverkir) eru sýnd samhliða álagsgröfunum. Hátt Player Load + lágt readiness = rauður fáni sama hvort liðið er úti eða inni. Muninn liggur bara í hvaða sensor/mælikvarði fangar ákafann.</w:t>
      </w:r>
    </w:p>
    <w:p>
      <w:pPr>
        <w:spacing w:after="140" w:line="300"/>
      </w:pPr>
      <w:r>
        <w:rPr>
          <w:color w:val="1A1A1A"/>
        </w:rPr>
        <w:t xml:space="preserve">Korridorinn (±15%) virkar eins í báðum modes: kerfið ber saman þessa viku við 8-vikna rolling baseline og varar við ef stökkið er of stórt — eða ef fallið er of mikið (undertraining áhættuþátturinn sem Gabbett varar við).</w:t>
      </w:r>
    </w:p>
    <w:p>
      <w:pPr>
        <w:pStyle w:val="Heading1"/>
        <w:spacing w:after="160" w:before="360"/>
      </w:pPr>
      <w:r>
        <w:rPr>
          <w:b/>
          <w:bCs/>
          <w:color w:val="1F3A68"/>
          <w:sz w:val="32"/>
          <w:szCs w:val="32"/>
        </w:rPr>
        <w:t xml:space="preserve">5. Tillögur til þjálfara byggðar á rannsóknunum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Svið</w:t>
            </w:r>
          </w:p>
        </w:tc>
        <w:tc>
          <w:tcPr>
            <w:tcW w:type="dxa" w:w="6526"/>
            <w:tcBorders>
              <w:top w:val="single" w:color="CCCCCC" w:sz="1"/>
              <w:left w:val="single" w:color="CCCCCC" w:sz="1"/>
              <w:bottom w:val="single" w:color="CCCCCC" w:sz="1"/>
              <w:right w:val="single" w:color="CCCCCC" w:sz="1"/>
            </w:tcBorders>
            <w:shd w:fill="1F3A68" w:val="clear"/>
            <w:tcMar>
              <w:top w:type="dxa" w:w="100"/>
              <w:left w:type="dxa" w:w="140"/>
              <w:bottom w:type="dxa" w:w="100"/>
              <w:right w:type="dxa" w:w="140"/>
            </w:tcMar>
          </w:tcPr>
          <w:p>
            <w:pPr>
              <w:spacing w:after="0"/>
            </w:pPr>
            <w:r>
              <w:rPr>
                <w:b/>
                <w:bCs/>
                <w:color w:val="FFFFFF"/>
              </w:rPr>
              <w:t xml:space="preserve">Ráðlegging</w:t>
            </w:r>
          </w:p>
        </w:tc>
      </w:tr>
      <w:tr>
        <w:tc>
          <w:tcPr>
            <w:tcW w:type="dxa" w:w="25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Daglegt readiness</w:t>
            </w:r>
          </w:p>
        </w:tc>
        <w:tc>
          <w:tcPr>
            <w:tcW w:type="dxa" w:w="65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Nota huglægt sjálfsmat daglega. Skala: svefn, þreyta, vöðvaverkir, streita, skap. Ekki hoppa yfir.</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GPS / FMP</w:t>
            </w:r>
          </w:p>
        </w:tc>
        <w:tc>
          <w:tcPr>
            <w:tcW w:type="dxa" w:w="65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Fylgja daglega en TÚLKA í samhengi við readiness. Hátt álag + lágt readiness = rauður fáni, jafnvel þó ACWR sé innan korridors.</w:t>
            </w:r>
          </w:p>
        </w:tc>
      </w:tr>
      <w:tr>
        <w:tc>
          <w:tcPr>
            <w:tcW w:type="dxa" w:w="25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Álagskorridor</w:t>
            </w:r>
          </w:p>
        </w:tc>
        <w:tc>
          <w:tcPr>
            <w:tcW w:type="dxa" w:w="65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Nota sem leiðbeinandi tæki, ekki meiðslaspá. Búast við að fá frávik reglulega — það er eðlilegt.</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Sjokk-míkrósyklar</w:t>
            </w:r>
          </w:p>
        </w:tc>
        <w:tc>
          <w:tcPr>
            <w:tcW w:type="dxa" w:w="65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Leyfilegt og gagnlegt. Gabbett leggur áherslu á að troughs eru líka áhættuþáttur.</w:t>
            </w:r>
          </w:p>
        </w:tc>
      </w:tr>
      <w:tr>
        <w:tc>
          <w:tcPr>
            <w:tcW w:type="dxa" w:w="25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Lágmarksálag</w:t>
            </w:r>
          </w:p>
        </w:tc>
        <w:tc>
          <w:tcPr>
            <w:tcW w:type="dxa" w:w="65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Ekki bara forðast „too much". Of lítið álag er sjálfstæður áhættuþáttur. Viðhaldið krónísku álagi.</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Taper fyrir leik</w:t>
            </w:r>
          </w:p>
        </w:tc>
        <w:tc>
          <w:tcPr>
            <w:tcW w:type="dxa" w:w="65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Minnka álag 20-40% vikuna fyrir mikilvægan leik. Huglæg vellíðan batnar fljótt við taper — notið sem merki.</w:t>
            </w:r>
          </w:p>
        </w:tc>
      </w:tr>
      <w:tr>
        <w:tc>
          <w:tcPr>
            <w:tcW w:type="dxa" w:w="2500"/>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Einstaklingsaðlögun</w:t>
            </w:r>
          </w:p>
        </w:tc>
        <w:tc>
          <w:tcPr>
            <w:tcW w:type="dxa" w:w="6526"/>
            <w:tcBorders>
              <w:top w:val="single" w:color="CCCCCC" w:sz="1"/>
              <w:left w:val="single" w:color="CCCCCC" w:sz="1"/>
              <w:bottom w:val="single" w:color="CCCCCC" w:sz="1"/>
              <w:right w:val="single" w:color="CCCCCC" w:sz="1"/>
            </w:tcBorders>
            <w:shd w:fill="E8EEF5" w:val="clear"/>
            <w:tcMar>
              <w:top w:type="dxa" w:w="100"/>
              <w:left w:type="dxa" w:w="140"/>
              <w:bottom w:type="dxa" w:w="100"/>
              <w:right w:type="dxa" w:w="140"/>
            </w:tcMar>
          </w:tcPr>
          <w:p>
            <w:pPr>
              <w:spacing w:after="0"/>
            </w:pPr>
            <w:r>
              <w:rPr>
                <w:b w:val="false"/>
                <w:bCs w:val="false"/>
                <w:color w:val="1A1A1A"/>
              </w:rPr>
              <w:t xml:space="preserve">Aldur, meiðslasaga, styrkur, HRV og loftháð þol eru mótarar. Ekki sama viðmið fyrir alla.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Indoor mode</w:t>
            </w:r>
          </w:p>
        </w:tc>
        <w:tc>
          <w:tcPr>
            <w:tcW w:type="dxa" w:w="65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b w:val="false"/>
                <w:bCs w:val="false"/>
                <w:color w:val="1A1A1A"/>
              </w:rPr>
              <w:t xml:space="preserve">Virkja þegar liðið æfir reglulega innanhúss. GPS gildin eru dead zone — FMP/IMA eru lausnin.</w:t>
            </w:r>
          </w:p>
        </w:tc>
      </w:tr>
    </w:tbl>
    <w:p>
      <w:pPr>
        <w:pStyle w:val="Heading1"/>
        <w:spacing w:after="160" w:before="360"/>
      </w:pPr>
      <w:r>
        <w:rPr>
          <w:b/>
          <w:bCs/>
          <w:color w:val="1F3A68"/>
          <w:sz w:val="32"/>
          <w:szCs w:val="32"/>
        </w:rPr>
        <w:t xml:space="preserve">6. Niðurstaða</w:t>
      </w:r>
    </w:p>
    <w:p>
      <w:pPr>
        <w:spacing w:after="140" w:line="300"/>
      </w:pPr>
      <w:r>
        <w:rPr>
          <w:color w:val="1A1A1A"/>
        </w:rPr>
        <w:t xml:space="preserve">Ofangreindar rannsóknir styðja þrjár kjarnaákvarðanir í MicroPulse:</w:t>
      </w:r>
    </w:p>
    <w:p>
      <w:pPr>
        <w:pStyle w:val="ListParagraph"/>
        <w:numPr>
          <w:ilvl w:val="0"/>
          <w:numId w:val="2"/>
        </w:numPr>
        <w:spacing w:after="100" w:line="280"/>
      </w:pPr>
      <w:r>
        <w:rPr>
          <w:color w:val="1A1A1A"/>
        </w:rPr>
        <w:t xml:space="preserve">Daglegt huglægt sjálfsmat er EKKI „aukaatriði" — það er næmasta gagnið sem við getum safnað.</w:t>
      </w:r>
    </w:p>
    <w:p>
      <w:pPr>
        <w:pStyle w:val="ListParagraph"/>
        <w:numPr>
          <w:ilvl w:val="0"/>
          <w:numId w:val="2"/>
        </w:numPr>
        <w:spacing w:after="100" w:line="280"/>
      </w:pPr>
      <w:r>
        <w:rPr>
          <w:color w:val="1A1A1A"/>
        </w:rPr>
        <w:t xml:space="preserve">Álagskorridorinn er hagnýtt tæki en á ekki að vera kynntur sem meiðslaspá. Við sýnum hann sem leiðbeiningu.</w:t>
      </w:r>
    </w:p>
    <w:p>
      <w:pPr>
        <w:pStyle w:val="ListParagraph"/>
        <w:numPr>
          <w:ilvl w:val="0"/>
          <w:numId w:val="2"/>
        </w:numPr>
        <w:spacing w:after="100" w:line="280"/>
      </w:pPr>
      <w:r>
        <w:rPr>
          <w:color w:val="1A1A1A"/>
        </w:rPr>
        <w:t xml:space="preserve">Indoor mode með FMP/IMA er ekki „feature" — það er leiðrétting á þekktri takmörkun sem hefur hrjáð ACWR-rannsóknir í mörg ár.</w:t>
      </w:r>
    </w:p>
    <w:p>
      <w:pPr>
        <w:spacing w:after="140" w:line="300"/>
      </w:pPr>
      <w:r>
        <w:rPr>
          <w:color w:val="1A1A1A"/>
        </w:rPr>
        <w:t xml:space="preserve">MicroPulse er ekki „svartur kassi" sem spáir fyrir um meiðsli. Það er ákvarðanastyrkjandi kerfi sem færir þjálfaranum næmustu gögnin sem vísindin hafa staðfest — huglæg líðan, objective álag, individual stillingar og indoor-leiðrétting — og lætur hann taka lokaákvörðunina.</w:t>
      </w:r>
    </w:p>
    <w:p>
      <w:pPr>
        <w:pBdr>
          <w:left w:val="single" w:color="C8931C" w:sz="18" w:space="12"/>
        </w:pBdr>
        <w:spacing w:after="180" w:before="140"/>
        <w:ind w:left="400" w:right="400"/>
      </w:pPr>
      <w:r>
        <w:rPr>
          <w:i/>
          <w:iCs/>
          <w:color w:val="1A1A1A"/>
        </w:rPr>
        <w:t xml:space="preserve">„Training load measures cannot tell us whether the variations are increasing or decreasing the injury risk; we recommend that practitioners still rely on their expert knowledge and experience."</w:t>
      </w:r>
      <w:r>
        <w:rPr>
          <w:color w:val="666666"/>
          <w:sz w:val="20"/>
          <w:szCs w:val="20"/>
        </w:rPr>
        <w:t xml:space="preserve">  — Impellizzeri et al. 2020</w:t>
      </w:r>
    </w:p>
    <w:p>
      <w:pPr>
        <w:spacing w:after="140" w:line="300"/>
      </w:pPr>
      <w:r>
        <w:rPr>
          <w:color w:val="1A1A1A"/>
        </w:rPr>
        <w:t xml:space="preserve">Þetta er sú heimspeki sem liggur að baki MicroPulse: tækið styður þjálfarann, það kemur ekki í staðinn fyrir hann.</w:t>
      </w:r>
    </w:p>
    <w:p>
      <w:pPr>
        <w:pStyle w:val="Heading1"/>
        <w:spacing w:after="160" w:before="360"/>
      </w:pPr>
      <w:r>
        <w:rPr>
          <w:b/>
          <w:bCs/>
          <w:color w:val="1F3A68"/>
          <w:sz w:val="32"/>
          <w:szCs w:val="32"/>
        </w:rPr>
        <w:t xml:space="preserve">Heimildaskrá</w:t>
      </w:r>
    </w:p>
    <w:p>
      <w:pPr>
        <w:pStyle w:val="ListParagraph"/>
        <w:numPr>
          <w:ilvl w:val="0"/>
          <w:numId w:val="2"/>
        </w:numPr>
        <w:spacing w:after="100" w:line="280"/>
      </w:pPr>
      <w:r>
        <w:rPr>
          <w:color w:val="1A1A1A"/>
        </w:rPr>
        <w:t xml:space="preserve">Saw AE, Main LC, Gastin PB. Monitoring the athlete training response: subjective self-reported measures trump commonly used objective measures: a systematic review. Br J Sports Med. 2016;50:281-291.</w:t>
      </w:r>
    </w:p>
    <w:p>
      <w:pPr>
        <w:pStyle w:val="ListParagraph"/>
        <w:numPr>
          <w:ilvl w:val="0"/>
          <w:numId w:val="2"/>
        </w:numPr>
        <w:spacing w:after="100" w:line="280"/>
      </w:pPr>
      <w:r>
        <w:rPr>
          <w:color w:val="1A1A1A"/>
        </w:rPr>
        <w:t xml:space="preserve">Gabbett TJ. Debunking the myths about training load, injury and performance: empirical evidence, hot topics and recommendations for practitioners. Br J Sports Med. 2018.</w:t>
      </w:r>
    </w:p>
    <w:p>
      <w:pPr>
        <w:pStyle w:val="ListParagraph"/>
        <w:numPr>
          <w:ilvl w:val="0"/>
          <w:numId w:val="2"/>
        </w:numPr>
        <w:spacing w:after="100" w:line="280"/>
      </w:pPr>
      <w:r>
        <w:rPr>
          <w:color w:val="1A1A1A"/>
        </w:rPr>
        <w:t xml:space="preserve">Impellizzeri FM, McCall A, Ward P, Bornn L, Coutts AJ. Training Load and Its Role in Injury Prevention, Part 2: Conceptual and Methodologic Pitfalls. J Athl Train. 2020;55(9):893-901.</w:t>
      </w:r>
    </w:p>
    <w:p>
      <w:pPr>
        <w:pStyle w:val="ListParagraph"/>
        <w:numPr>
          <w:ilvl w:val="0"/>
          <w:numId w:val="2"/>
        </w:numPr>
        <w:spacing w:after="100" w:line="280"/>
      </w:pPr>
      <w:r>
        <w:rPr>
          <w:color w:val="1A1A1A"/>
        </w:rPr>
        <w:t xml:space="preserve">Gabbett TJ, et al. The training—injury prevention paradox: should athletes be training smarter and harder? Br J Sports Med. 2016;50:273-280.</w:t>
      </w:r>
    </w:p>
    <w:p>
      <w:pPr>
        <w:pStyle w:val="ListParagraph"/>
        <w:numPr>
          <w:ilvl w:val="0"/>
          <w:numId w:val="2"/>
        </w:numPr>
        <w:spacing w:after="100" w:line="280"/>
      </w:pPr>
      <w:r>
        <w:rPr>
          <w:color w:val="1A1A1A"/>
        </w:rPr>
        <w:t xml:space="preserve">Fox JL, et al. Monitoring Training Loads in Basketball: A Narrative Review and Practical Guide. Int J Sports Physiol Perform.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Bls. </w:t>
    </w:r>
    <w:r>
      <w:rPr>
        <w:color w:val="666666"/>
        <w:sz w:val="16"/>
        <w:szCs w:val="16"/>
      </w:rPr>
      <w:fldChar w:fldCharType="begin"/>
      <w:instrText xml:space="preserve">PAGE</w:instrText>
      <w:fldChar w:fldCharType="separate"/>
      <w:fldChar w:fldCharType="end"/>
    </w:r>
    <w:r>
      <w:rPr>
        <w:color w:val="666666"/>
        <w:sz w:val="16"/>
        <w:szCs w:val="16"/>
      </w:rPr>
      <w:t xml:space="preserve"> · Metabolic / Breiðablik Readiness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8" w:sz="6" w:space="4"/>
      </w:pBdr>
      <w:jc w:val="left"/>
    </w:pPr>
    <w:r>
      <w:rPr>
        <w:b/>
        <w:bCs/>
        <w:color w:val="1F3A68"/>
        <w:sz w:val="16"/>
        <w:szCs w:val="16"/>
      </w:rPr>
      <w:t xml:space="preserve">MICROPULSE · RANNSÓKNARYFIRLIT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8"/>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A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2026-04-11T21:31:22.743Z</dcterms:created>
  <dcterms:modified xsi:type="dcterms:W3CDTF">2026-04-11T21:31:22.743Z</dcterms:modified>
</cp:coreProperties>
</file>

<file path=docProps/custom.xml><?xml version="1.0" encoding="utf-8"?>
<Properties xmlns="http://schemas.openxmlformats.org/officeDocument/2006/custom-properties" xmlns:vt="http://schemas.openxmlformats.org/officeDocument/2006/docPropsVTypes"/>
</file>