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B9F0A" w14:textId="7DD1A59B" w:rsidR="004369A2" w:rsidRPr="00A419E7" w:rsidRDefault="004369A2" w:rsidP="00A419E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5732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Ferguson C, Rossiter HB, Whipp BJ, Cathcart AJ, Murgatroyd SR, Ward SA. Effect of recovery duration from prior exhaustive exercise on the parameters of the power-duration relationship. J Appl Physiol (1985). 2010 Apr;108(4):866-74.</w:t>
      </w:r>
    </w:p>
    <w:p w14:paraId="1DBACDDC" w14:textId="227831A9" w:rsidR="004369A2" w:rsidRDefault="004369A2"/>
    <w:p w14:paraId="60FA2333" w14:textId="6F3FFB0B" w:rsidR="00A419E7" w:rsidRDefault="00A419E7" w:rsidP="00A419E7">
      <w:pPr>
        <w:pStyle w:val="NormalWeb"/>
      </w:pPr>
      <w:r>
        <w:rPr>
          <w:rFonts w:ascii="Times" w:hAnsi="Times"/>
          <w:sz w:val="20"/>
          <w:szCs w:val="20"/>
        </w:rPr>
        <w:t>CP is generally agreed to represent the highest sustainable work rate (WR) for which steady states of pulmonary O</w:t>
      </w:r>
      <w:r>
        <w:rPr>
          <w:rFonts w:ascii="Times" w:hAnsi="Times"/>
          <w:position w:val="-2"/>
          <w:sz w:val="14"/>
          <w:szCs w:val="14"/>
        </w:rPr>
        <w:t xml:space="preserve">2 </w:t>
      </w:r>
      <w:r>
        <w:rPr>
          <w:rFonts w:ascii="Times" w:hAnsi="Times"/>
          <w:sz w:val="20"/>
          <w:szCs w:val="20"/>
        </w:rPr>
        <w:t>uptake (V</w:t>
      </w:r>
      <w:r>
        <w:rPr>
          <w:rFonts w:ascii="Times" w:hAnsi="Times"/>
          <w:position w:val="6"/>
          <w:sz w:val="20"/>
          <w:szCs w:val="20"/>
        </w:rPr>
        <w:t xml:space="preserve"> </w:t>
      </w:r>
      <w:r>
        <w:rPr>
          <w:rFonts w:ascii="Times" w:hAnsi="Times"/>
          <w:sz w:val="14"/>
          <w:szCs w:val="14"/>
        </w:rPr>
        <w:t>O</w:t>
      </w:r>
      <w:r>
        <w:rPr>
          <w:rFonts w:ascii="Times" w:hAnsi="Times"/>
          <w:position w:val="-2"/>
          <w:sz w:val="14"/>
          <w:szCs w:val="14"/>
        </w:rPr>
        <w:t>2</w:t>
      </w:r>
      <w:r>
        <w:rPr>
          <w:rFonts w:ascii="Times" w:hAnsi="Times"/>
          <w:sz w:val="20"/>
          <w:szCs w:val="20"/>
        </w:rPr>
        <w:t>) and the elevated blood lactate ([L</w:t>
      </w:r>
      <w:r>
        <w:rPr>
          <w:rFonts w:ascii="Universal" w:hAnsi="Universal"/>
          <w:position w:val="8"/>
          <w:sz w:val="14"/>
          <w:szCs w:val="14"/>
        </w:rPr>
        <w:t>􏰩</w:t>
      </w:r>
      <w:r>
        <w:rPr>
          <w:rFonts w:ascii="Times" w:hAnsi="Times"/>
          <w:sz w:val="20"/>
          <w:szCs w:val="20"/>
        </w:rPr>
        <w:t>]) and proton ([H</w:t>
      </w:r>
      <w:r>
        <w:rPr>
          <w:rFonts w:ascii="Universal" w:hAnsi="Universal"/>
          <w:position w:val="8"/>
          <w:sz w:val="14"/>
          <w:szCs w:val="14"/>
        </w:rPr>
        <w:t>􏰬</w:t>
      </w:r>
      <w:r>
        <w:rPr>
          <w:rFonts w:ascii="Times" w:hAnsi="Times"/>
          <w:sz w:val="20"/>
          <w:szCs w:val="20"/>
        </w:rPr>
        <w:t>]) con- centration responses can be achieved</w:t>
      </w:r>
      <w:r w:rsidRPr="00A419E7">
        <w:rPr>
          <w:rFonts w:ascii="Times" w:hAnsi="Times"/>
          <w:sz w:val="20"/>
          <w:szCs w:val="20"/>
        </w:rPr>
        <w:t xml:space="preserve"> </w:t>
      </w:r>
      <w:r>
        <w:rPr>
          <w:rFonts w:ascii="Times" w:hAnsi="Times"/>
          <w:sz w:val="20"/>
          <w:szCs w:val="20"/>
        </w:rPr>
        <w:t xml:space="preserve">, although some investigators have reported CP to exceed slightly the WR at the “maximum lactate steady state” </w:t>
      </w:r>
    </w:p>
    <w:p w14:paraId="614FDDB6" w14:textId="77253729" w:rsidR="00A419E7" w:rsidRDefault="00A419E7" w:rsidP="00A419E7">
      <w:pPr>
        <w:pStyle w:val="NormalWeb"/>
      </w:pPr>
    </w:p>
    <w:p w14:paraId="7815F7D5" w14:textId="77777777" w:rsidR="004369A2" w:rsidRDefault="004369A2"/>
    <w:sectPr w:rsidR="00436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Universal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A2"/>
    <w:rsid w:val="004369A2"/>
    <w:rsid w:val="00A4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8540FF"/>
  <w15:chartTrackingRefBased/>
  <w15:docId w15:val="{13F56899-E665-2541-8B55-7A02A223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19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0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7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2021-02-08T19:59:00Z</dcterms:created>
  <dcterms:modified xsi:type="dcterms:W3CDTF">2021-02-08T20:08:00Z</dcterms:modified>
</cp:coreProperties>
</file>