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537C4" w14:textId="1EECC9C1" w:rsidR="00495348" w:rsidRDefault="00495348">
      <w:pPr>
        <w:rPr>
          <w:rFonts w:ascii="Times New Roman" w:eastAsia="Times New Roman" w:hAnsi="Times New Roman" w:cs="Times New Roman"/>
          <w:lang w:eastAsia="en-GB"/>
        </w:rPr>
      </w:pPr>
      <w:r w:rsidRPr="0065732B">
        <w:rPr>
          <w:rFonts w:ascii="Times New Roman" w:eastAsia="Times New Roman" w:hAnsi="Times New Roman" w:cs="Times New Roman"/>
          <w:lang w:eastAsia="en-GB"/>
        </w:rPr>
        <w:t>Barbosa LF, Denadai BS, Greco CC. Endurance Performance during Severe-Intensity Intermittent Cycling: Effect of Exercise Duration and Recovery Type. Front Physiol. 2016 Dec 2;7:602.</w:t>
      </w:r>
    </w:p>
    <w:p w14:paraId="510052B7" w14:textId="14721172" w:rsidR="00495348" w:rsidRDefault="00495348">
      <w:pPr>
        <w:rPr>
          <w:rFonts w:ascii="Times New Roman" w:eastAsia="Times New Roman" w:hAnsi="Times New Roman" w:cs="Times New Roman"/>
          <w:lang w:eastAsia="en-GB"/>
        </w:rPr>
      </w:pPr>
    </w:p>
    <w:p w14:paraId="3C6B1D75" w14:textId="41C64369" w:rsidR="005C0F7F" w:rsidRPr="00DB33D1" w:rsidRDefault="005C0F7F" w:rsidP="005C0F7F">
      <w:pPr>
        <w:pStyle w:val="NormalWeb"/>
        <w:rPr>
          <w:lang w:val="is-IS"/>
        </w:rPr>
      </w:pPr>
      <w:r>
        <w:rPr>
          <w:rFonts w:ascii="MinionPro" w:hAnsi="MinionPro"/>
          <w:sz w:val="18"/>
          <w:szCs w:val="18"/>
        </w:rPr>
        <w:t>The parameters of the power-time relationship, termed critical power (CP) and the curvature constant (W’), have been used to analyze the physiological responses and endurance performance during high-intensity exercise</w:t>
      </w:r>
      <w:r w:rsidR="00DB33D1">
        <w:rPr>
          <w:rFonts w:ascii="MinionPro" w:hAnsi="MinionPro"/>
          <w:sz w:val="18"/>
          <w:szCs w:val="18"/>
          <w:lang w:val="is-IS"/>
        </w:rPr>
        <w:t>.</w:t>
      </w:r>
    </w:p>
    <w:p w14:paraId="43D19387" w14:textId="77777777" w:rsidR="00DB33D1" w:rsidRDefault="00DB33D1" w:rsidP="00DB33D1">
      <w:pPr>
        <w:pStyle w:val="NormalWeb"/>
      </w:pPr>
      <w:r>
        <w:rPr>
          <w:rFonts w:ascii="MinionPro" w:hAnsi="MinionPro"/>
          <w:sz w:val="18"/>
          <w:szCs w:val="18"/>
        </w:rPr>
        <w:t xml:space="preserve">By definition, all severe-intensity work rates (i.e., </w:t>
      </w:r>
      <w:r>
        <w:rPr>
          <w:rFonts w:ascii="RMTMI" w:hAnsi="RMTMI"/>
          <w:sz w:val="18"/>
          <w:szCs w:val="18"/>
        </w:rPr>
        <w:t>&gt;</w:t>
      </w:r>
      <w:r>
        <w:rPr>
          <w:rFonts w:ascii="MinionPro" w:hAnsi="MinionPro"/>
          <w:sz w:val="18"/>
          <w:szCs w:val="18"/>
        </w:rPr>
        <w:t>CP) performed until voluntary exhaustion drive pulmonary oxygen uptake (VO</w:t>
      </w:r>
      <w:r>
        <w:rPr>
          <w:rFonts w:ascii="MinionPro" w:hAnsi="MinionPro"/>
          <w:position w:val="-2"/>
          <w:sz w:val="14"/>
          <w:szCs w:val="14"/>
        </w:rPr>
        <w:t>2</w:t>
      </w:r>
      <w:r>
        <w:rPr>
          <w:rFonts w:ascii="MinionPro" w:hAnsi="MinionPro"/>
          <w:sz w:val="18"/>
          <w:szCs w:val="18"/>
        </w:rPr>
        <w:t>) to a maximal value (i.e., maximal oxygen uptake—VO</w:t>
      </w:r>
      <w:r>
        <w:rPr>
          <w:rFonts w:ascii="MinionPro" w:hAnsi="MinionPro"/>
          <w:position w:val="-2"/>
          <w:sz w:val="14"/>
          <w:szCs w:val="14"/>
        </w:rPr>
        <w:t>2</w:t>
      </w:r>
      <w:r>
        <w:rPr>
          <w:rFonts w:ascii="MinionPro" w:hAnsi="MinionPro"/>
          <w:sz w:val="18"/>
          <w:szCs w:val="18"/>
        </w:rPr>
        <w:t>max) (</w:t>
      </w:r>
      <w:r>
        <w:rPr>
          <w:rFonts w:ascii="MinionPro" w:hAnsi="MinionPro"/>
          <w:color w:val="4C4C4C"/>
          <w:sz w:val="18"/>
          <w:szCs w:val="18"/>
        </w:rPr>
        <w:t>Jones et al., 2010</w:t>
      </w:r>
      <w:r>
        <w:rPr>
          <w:rFonts w:ascii="MinionPro" w:hAnsi="MinionPro"/>
          <w:sz w:val="18"/>
          <w:szCs w:val="18"/>
        </w:rPr>
        <w:t>). However, during exhaustive exercise performed above the upper bound of the severe intensity domain, exercise duration would be too short to permit attainment of VO</w:t>
      </w:r>
      <w:r>
        <w:rPr>
          <w:rFonts w:ascii="MinionPro" w:hAnsi="MinionPro"/>
          <w:position w:val="-2"/>
          <w:sz w:val="14"/>
          <w:szCs w:val="14"/>
        </w:rPr>
        <w:t>2</w:t>
      </w:r>
      <w:r>
        <w:rPr>
          <w:rFonts w:ascii="MinionPro" w:hAnsi="MinionPro"/>
          <w:sz w:val="18"/>
          <w:szCs w:val="18"/>
        </w:rPr>
        <w:t xml:space="preserve">max </w:t>
      </w:r>
    </w:p>
    <w:p w14:paraId="58B0680B" w14:textId="77777777" w:rsidR="00DB33D1" w:rsidRDefault="00DB33D1" w:rsidP="00DB33D1">
      <w:pPr>
        <w:pStyle w:val="NormalWeb"/>
      </w:pPr>
      <w:r>
        <w:rPr>
          <w:rFonts w:ascii="MinionPro" w:hAnsi="MinionPro"/>
          <w:sz w:val="18"/>
          <w:szCs w:val="18"/>
        </w:rPr>
        <w:t>Several studies have demonstrated that endurance exercise performance within severe-intensity domain was coincident with the depletion of the W’, accumulation of metabolites associated with fatigue (i.e., PCr, Pi, and H</w:t>
      </w:r>
      <w:r>
        <w:rPr>
          <w:rFonts w:ascii="MTSY" w:hAnsi="MTSY"/>
          <w:position w:val="6"/>
          <w:sz w:val="14"/>
          <w:szCs w:val="14"/>
        </w:rPr>
        <w:t xml:space="preserve">+ </w:t>
      </w:r>
      <w:r>
        <w:rPr>
          <w:rFonts w:ascii="MinionPro" w:hAnsi="MinionPro"/>
          <w:sz w:val="18"/>
          <w:szCs w:val="18"/>
        </w:rPr>
        <w:t>), and attainment of VO</w:t>
      </w:r>
      <w:r>
        <w:rPr>
          <w:rFonts w:ascii="MinionPro" w:hAnsi="MinionPro"/>
          <w:position w:val="-2"/>
          <w:sz w:val="14"/>
          <w:szCs w:val="14"/>
        </w:rPr>
        <w:t xml:space="preserve">2 </w:t>
      </w:r>
      <w:r>
        <w:rPr>
          <w:rFonts w:ascii="MinionPro" w:hAnsi="MinionPro"/>
          <w:sz w:val="18"/>
          <w:szCs w:val="18"/>
        </w:rPr>
        <w:t>max due to VO</w:t>
      </w:r>
      <w:r>
        <w:rPr>
          <w:rFonts w:ascii="MinionPro" w:hAnsi="MinionPro"/>
          <w:position w:val="-2"/>
          <w:sz w:val="14"/>
          <w:szCs w:val="14"/>
        </w:rPr>
        <w:t xml:space="preserve">2 </w:t>
      </w:r>
      <w:r>
        <w:rPr>
          <w:rFonts w:ascii="MinionPro" w:hAnsi="MinionPro"/>
          <w:sz w:val="18"/>
          <w:szCs w:val="18"/>
        </w:rPr>
        <w:t>slow component (VO</w:t>
      </w:r>
      <w:r>
        <w:rPr>
          <w:rFonts w:ascii="MinionPro" w:hAnsi="MinionPro"/>
          <w:position w:val="-2"/>
          <w:sz w:val="14"/>
          <w:szCs w:val="14"/>
        </w:rPr>
        <w:t>2</w:t>
      </w:r>
      <w:r>
        <w:rPr>
          <w:rFonts w:ascii="MinionPro" w:hAnsi="MinionPro"/>
          <w:sz w:val="18"/>
          <w:szCs w:val="18"/>
        </w:rPr>
        <w:t xml:space="preserve">SC) development </w:t>
      </w:r>
    </w:p>
    <w:p w14:paraId="5D7AD751" w14:textId="459751BA" w:rsidR="00DB33D1" w:rsidRDefault="00DB33D1" w:rsidP="00DB33D1">
      <w:pPr>
        <w:pStyle w:val="NormalWeb"/>
      </w:pPr>
      <w:r>
        <w:rPr>
          <w:rFonts w:ascii="MinionPro" w:hAnsi="MinionPro"/>
          <w:sz w:val="18"/>
          <w:szCs w:val="18"/>
        </w:rPr>
        <w:t>VO</w:t>
      </w:r>
      <w:r>
        <w:rPr>
          <w:rFonts w:ascii="MinionPro" w:hAnsi="MinionPro"/>
          <w:position w:val="-2"/>
          <w:sz w:val="14"/>
          <w:szCs w:val="14"/>
        </w:rPr>
        <w:t>2</w:t>
      </w:r>
      <w:r>
        <w:rPr>
          <w:rFonts w:ascii="MinionPro" w:hAnsi="MinionPro"/>
          <w:sz w:val="18"/>
          <w:szCs w:val="18"/>
        </w:rPr>
        <w:t>SC has been associated with loss in muscular efficiency</w:t>
      </w:r>
      <w:r>
        <w:rPr>
          <w:rFonts w:ascii="MinionPro" w:hAnsi="MinionPro"/>
          <w:sz w:val="18"/>
          <w:szCs w:val="18"/>
          <w:lang w:val="is-IS"/>
        </w:rPr>
        <w:t xml:space="preserve"> </w:t>
      </w:r>
      <w:r>
        <w:rPr>
          <w:rFonts w:ascii="MinionPro" w:hAnsi="MinionPro"/>
          <w:sz w:val="18"/>
          <w:szCs w:val="18"/>
        </w:rPr>
        <w:t xml:space="preserve"> and has been negatively related with endurance performance </w:t>
      </w:r>
    </w:p>
    <w:p w14:paraId="36C26AA6" w14:textId="77777777" w:rsidR="00DB33D1" w:rsidRDefault="00DB33D1" w:rsidP="00DB33D1">
      <w:pPr>
        <w:pStyle w:val="NormalWeb"/>
      </w:pPr>
      <w:r>
        <w:rPr>
          <w:rFonts w:ascii="MinionPro" w:hAnsi="MinionPro"/>
          <w:sz w:val="18"/>
          <w:szCs w:val="18"/>
        </w:rPr>
        <w:t>VO</w:t>
      </w:r>
      <w:r>
        <w:rPr>
          <w:rFonts w:ascii="MinionPro" w:hAnsi="MinionPro"/>
          <w:position w:val="-2"/>
          <w:sz w:val="14"/>
          <w:szCs w:val="14"/>
        </w:rPr>
        <w:t xml:space="preserve">2 </w:t>
      </w:r>
      <w:r>
        <w:rPr>
          <w:rFonts w:ascii="MinionPro" w:hAnsi="MinionPro"/>
          <w:sz w:val="18"/>
          <w:szCs w:val="18"/>
        </w:rPr>
        <w:t>kinetics and muscle [PCr] responses to high-intensity exercise have been reported to present both fundamental and slow component phases (</w:t>
      </w:r>
      <w:r>
        <w:rPr>
          <w:rFonts w:ascii="MinionPro" w:hAnsi="MinionPro"/>
          <w:color w:val="4C4C4C"/>
          <w:sz w:val="18"/>
          <w:szCs w:val="18"/>
        </w:rPr>
        <w:t>Rossiter et al., 2002</w:t>
      </w:r>
      <w:r>
        <w:rPr>
          <w:rFonts w:ascii="MinionPro" w:hAnsi="MinionPro"/>
          <w:sz w:val="18"/>
          <w:szCs w:val="18"/>
        </w:rPr>
        <w:t xml:space="preserve">) being intrinsically linked. Indeed, </w:t>
      </w:r>
      <w:r>
        <w:rPr>
          <w:rFonts w:ascii="MinionPro" w:hAnsi="MinionPro"/>
          <w:color w:val="4C4C4C"/>
          <w:sz w:val="18"/>
          <w:szCs w:val="18"/>
        </w:rPr>
        <w:t xml:space="preserve">Rossiter et al. (2002) </w:t>
      </w:r>
      <w:r>
        <w:rPr>
          <w:rFonts w:ascii="MinionPro" w:hAnsi="MinionPro"/>
          <w:sz w:val="18"/>
          <w:szCs w:val="18"/>
        </w:rPr>
        <w:t>have reported similar values of the time constant (</w:t>
      </w:r>
      <w:r>
        <w:rPr>
          <w:rFonts w:ascii="MTGU" w:hAnsi="MTGU"/>
          <w:sz w:val="18"/>
          <w:szCs w:val="18"/>
        </w:rPr>
        <w:t>τ</w:t>
      </w:r>
      <w:r>
        <w:rPr>
          <w:rFonts w:ascii="MinionPro" w:hAnsi="MinionPro"/>
          <w:sz w:val="18"/>
          <w:szCs w:val="18"/>
        </w:rPr>
        <w:t xml:space="preserve">) of the fundamental component ([PCr] </w:t>
      </w:r>
      <w:r>
        <w:rPr>
          <w:rFonts w:ascii="MTSY" w:hAnsi="MTSY"/>
          <w:sz w:val="18"/>
          <w:szCs w:val="18"/>
        </w:rPr>
        <w:t xml:space="preserve">= </w:t>
      </w:r>
      <w:r>
        <w:rPr>
          <w:rFonts w:ascii="MinionPro" w:hAnsi="MinionPro"/>
          <w:sz w:val="18"/>
          <w:szCs w:val="18"/>
        </w:rPr>
        <w:t>38 s; VO</w:t>
      </w:r>
      <w:r>
        <w:rPr>
          <w:rFonts w:ascii="MinionPro" w:hAnsi="MinionPro"/>
          <w:position w:val="-2"/>
          <w:sz w:val="14"/>
          <w:szCs w:val="14"/>
        </w:rPr>
        <w:t xml:space="preserve">2 </w:t>
      </w:r>
      <w:r>
        <w:rPr>
          <w:rFonts w:ascii="MTSY" w:hAnsi="MTSY"/>
          <w:sz w:val="18"/>
          <w:szCs w:val="18"/>
        </w:rPr>
        <w:t xml:space="preserve">= </w:t>
      </w:r>
      <w:r>
        <w:rPr>
          <w:rFonts w:ascii="MinionPro" w:hAnsi="MinionPro"/>
          <w:sz w:val="18"/>
          <w:szCs w:val="18"/>
        </w:rPr>
        <w:t xml:space="preserve">39 s), as well as the relative amplitude of the slow component ([PCr] </w:t>
      </w:r>
      <w:r>
        <w:rPr>
          <w:rFonts w:ascii="MTSY" w:hAnsi="MTSY"/>
          <w:sz w:val="18"/>
          <w:szCs w:val="18"/>
        </w:rPr>
        <w:t xml:space="preserve">= </w:t>
      </w:r>
      <w:r>
        <w:rPr>
          <w:rFonts w:ascii="MinionPro" w:hAnsi="MinionPro"/>
          <w:sz w:val="18"/>
          <w:szCs w:val="18"/>
        </w:rPr>
        <w:t>13.9%; VO</w:t>
      </w:r>
      <w:r>
        <w:rPr>
          <w:rFonts w:ascii="MinionPro" w:hAnsi="MinionPro"/>
          <w:position w:val="-2"/>
          <w:sz w:val="14"/>
          <w:szCs w:val="14"/>
        </w:rPr>
        <w:t>2</w:t>
      </w:r>
      <w:r>
        <w:rPr>
          <w:rFonts w:ascii="MinionPro" w:hAnsi="MinionPro"/>
          <w:sz w:val="18"/>
          <w:szCs w:val="18"/>
        </w:rPr>
        <w:t xml:space="preserve">SC </w:t>
      </w:r>
      <w:r>
        <w:rPr>
          <w:rFonts w:ascii="MTSY" w:hAnsi="MTSY"/>
          <w:sz w:val="18"/>
          <w:szCs w:val="18"/>
        </w:rPr>
        <w:t xml:space="preserve">= </w:t>
      </w:r>
      <w:r>
        <w:rPr>
          <w:rFonts w:ascii="MinionPro" w:hAnsi="MinionPro"/>
          <w:sz w:val="18"/>
          <w:szCs w:val="18"/>
        </w:rPr>
        <w:t>15.3%) of muscle [PCr] and VO</w:t>
      </w:r>
      <w:r>
        <w:rPr>
          <w:rFonts w:ascii="MinionPro" w:hAnsi="MinionPro"/>
          <w:position w:val="-2"/>
          <w:sz w:val="14"/>
          <w:szCs w:val="14"/>
        </w:rPr>
        <w:t xml:space="preserve">2 </w:t>
      </w:r>
      <w:r>
        <w:rPr>
          <w:rFonts w:ascii="MinionPro" w:hAnsi="MinionPro"/>
          <w:sz w:val="18"/>
          <w:szCs w:val="18"/>
        </w:rPr>
        <w:t>during high-intensity exercise. It has been proposed that progressive intramuscular depletion [PCr] during exhaustive exercise performed within severe intensity domain provides the appropriate stimulus to oxidative phosphorylation, determining the development of VO</w:t>
      </w:r>
      <w:r>
        <w:rPr>
          <w:rFonts w:ascii="MinionPro" w:hAnsi="MinionPro"/>
          <w:position w:val="-2"/>
          <w:sz w:val="14"/>
          <w:szCs w:val="14"/>
        </w:rPr>
        <w:t>2</w:t>
      </w:r>
      <w:r>
        <w:rPr>
          <w:rFonts w:ascii="MinionPro" w:hAnsi="MinionPro"/>
          <w:sz w:val="18"/>
          <w:szCs w:val="18"/>
        </w:rPr>
        <w:t>SC and, consequently, the attainment of VO</w:t>
      </w:r>
      <w:r>
        <w:rPr>
          <w:rFonts w:ascii="MinionPro" w:hAnsi="MinionPro"/>
          <w:position w:val="-2"/>
          <w:sz w:val="14"/>
          <w:szCs w:val="14"/>
        </w:rPr>
        <w:t>2</w:t>
      </w:r>
      <w:r>
        <w:rPr>
          <w:rFonts w:ascii="MinionPro" w:hAnsi="MinionPro"/>
          <w:sz w:val="18"/>
          <w:szCs w:val="18"/>
        </w:rPr>
        <w:t xml:space="preserve">max </w:t>
      </w:r>
    </w:p>
    <w:p w14:paraId="553928EE" w14:textId="77777777" w:rsidR="00DB33D1" w:rsidRDefault="00DB33D1" w:rsidP="00DB33D1">
      <w:pPr>
        <w:pStyle w:val="NormalWeb"/>
      </w:pPr>
      <w:r>
        <w:rPr>
          <w:rFonts w:ascii="MinionPro" w:hAnsi="MinionPro"/>
          <w:sz w:val="18"/>
          <w:szCs w:val="18"/>
        </w:rPr>
        <w:t>For instance, endurance performance is progressively shorter when the work-recovery “duty-cycle” (e.g., 10:20 s, 30:60 s, 60:120 s, and 90:180 s) (</w:t>
      </w:r>
      <w:r>
        <w:rPr>
          <w:rFonts w:ascii="MinionPro" w:hAnsi="MinionPro"/>
          <w:color w:val="4C4C4C"/>
          <w:sz w:val="18"/>
          <w:szCs w:val="18"/>
        </w:rPr>
        <w:t>Turner et al., 2006</w:t>
      </w:r>
      <w:r>
        <w:rPr>
          <w:rFonts w:ascii="MinionPro" w:hAnsi="MinionPro"/>
          <w:sz w:val="18"/>
          <w:szCs w:val="18"/>
        </w:rPr>
        <w:t>) and/or exercise intensity performed during active recovery is increased (i.e., light, moderate, heavy and severe) (</w:t>
      </w:r>
      <w:r>
        <w:rPr>
          <w:rFonts w:ascii="MinionPro" w:hAnsi="MinionPro"/>
          <w:color w:val="4C4C4C"/>
          <w:sz w:val="18"/>
          <w:szCs w:val="18"/>
        </w:rPr>
        <w:t>Chidnok et al., 2012</w:t>
      </w:r>
      <w:r>
        <w:rPr>
          <w:rFonts w:ascii="MinionPro" w:hAnsi="MinionPro"/>
          <w:sz w:val="18"/>
          <w:szCs w:val="18"/>
        </w:rPr>
        <w:t>). These aspects influence PCr kinetics (</w:t>
      </w:r>
      <w:r>
        <w:rPr>
          <w:rFonts w:ascii="MinionPro" w:hAnsi="MinionPro"/>
          <w:color w:val="4C4C4C"/>
          <w:sz w:val="18"/>
          <w:szCs w:val="18"/>
        </w:rPr>
        <w:t>Chidnok et al., 2013</w:t>
      </w:r>
      <w:r>
        <w:rPr>
          <w:rFonts w:ascii="MinionPro" w:hAnsi="MinionPro"/>
          <w:sz w:val="18"/>
          <w:szCs w:val="18"/>
        </w:rPr>
        <w:t>) and hypothetically, the changes of the rates at which VO</w:t>
      </w:r>
      <w:r>
        <w:rPr>
          <w:rFonts w:ascii="MinionPro" w:hAnsi="MinionPro"/>
          <w:position w:val="-2"/>
          <w:sz w:val="14"/>
          <w:szCs w:val="14"/>
        </w:rPr>
        <w:t xml:space="preserve">2 </w:t>
      </w:r>
      <w:r>
        <w:rPr>
          <w:rFonts w:ascii="MinionPro" w:hAnsi="MinionPro"/>
          <w:sz w:val="18"/>
          <w:szCs w:val="18"/>
        </w:rPr>
        <w:t>increases during high-intensity intermittent exercises (i.e., VO</w:t>
      </w:r>
      <w:r>
        <w:rPr>
          <w:rFonts w:ascii="MinionPro" w:hAnsi="MinionPro"/>
          <w:position w:val="-2"/>
          <w:sz w:val="14"/>
          <w:szCs w:val="14"/>
        </w:rPr>
        <w:t>2</w:t>
      </w:r>
      <w:r>
        <w:rPr>
          <w:rFonts w:ascii="MinionPro" w:hAnsi="MinionPro"/>
          <w:sz w:val="18"/>
          <w:szCs w:val="18"/>
        </w:rPr>
        <w:t xml:space="preserve">SC). </w:t>
      </w:r>
    </w:p>
    <w:p w14:paraId="38C3340B" w14:textId="77777777" w:rsidR="00DB33D1" w:rsidRDefault="00DB33D1" w:rsidP="00DB33D1">
      <w:pPr>
        <w:pStyle w:val="NormalWeb"/>
      </w:pPr>
      <w:r>
        <w:rPr>
          <w:rFonts w:ascii="MinionPro" w:hAnsi="MinionPro"/>
          <w:sz w:val="18"/>
          <w:szCs w:val="18"/>
        </w:rPr>
        <w:t>Another factor that can influence both endurance performance and metabolic response is the activity pattern performed during the recovery intervals between each bout (</w:t>
      </w:r>
      <w:r>
        <w:rPr>
          <w:rFonts w:ascii="MinionPro" w:hAnsi="MinionPro"/>
          <w:color w:val="4C4C4C"/>
          <w:sz w:val="18"/>
          <w:szCs w:val="18"/>
        </w:rPr>
        <w:t>Chidnok et al., 2012</w:t>
      </w:r>
      <w:r>
        <w:rPr>
          <w:rFonts w:ascii="MinionPro" w:hAnsi="MinionPro"/>
          <w:sz w:val="18"/>
          <w:szCs w:val="18"/>
        </w:rPr>
        <w:t xml:space="preserve">). Using the CP model, </w:t>
      </w:r>
      <w:r>
        <w:rPr>
          <w:rFonts w:ascii="MinionPro" w:hAnsi="MinionPro"/>
          <w:color w:val="4C4C4C"/>
          <w:sz w:val="18"/>
          <w:szCs w:val="18"/>
        </w:rPr>
        <w:t xml:space="preserve">Chidnok et al. (2012) </w:t>
      </w:r>
      <w:r>
        <w:rPr>
          <w:rFonts w:ascii="MinionPro" w:hAnsi="MinionPro"/>
          <w:sz w:val="18"/>
          <w:szCs w:val="18"/>
        </w:rPr>
        <w:t>demonstrated that endurance performance during intermittent exercise was enhanced only when the recovery intervals were performed below CP. Active recovery performed below CP allows a partial PCr reconstitution and/or clearance of fatigue-related metabolites (</w:t>
      </w:r>
      <w:r>
        <w:rPr>
          <w:rFonts w:ascii="MinionPro" w:hAnsi="MinionPro"/>
          <w:color w:val="4C4C4C"/>
          <w:sz w:val="18"/>
          <w:szCs w:val="18"/>
        </w:rPr>
        <w:t>Chidnok et al., 2013</w:t>
      </w:r>
      <w:r>
        <w:rPr>
          <w:rFonts w:ascii="MinionPro" w:hAnsi="MinionPro"/>
          <w:sz w:val="18"/>
          <w:szCs w:val="18"/>
        </w:rPr>
        <w:t xml:space="preserve">), with the former being apparently more important to enhance endurance performance during high-intensity intermittent exercise. </w:t>
      </w:r>
    </w:p>
    <w:p w14:paraId="38760839" w14:textId="77777777" w:rsidR="005A4340" w:rsidRDefault="005A4340" w:rsidP="005A4340">
      <w:pPr>
        <w:pStyle w:val="NormalWeb"/>
      </w:pPr>
      <w:r>
        <w:rPr>
          <w:rFonts w:ascii="MinionPro" w:hAnsi="MinionPro"/>
          <w:sz w:val="18"/>
          <w:szCs w:val="18"/>
        </w:rPr>
        <w:t>Indeed, both endurance performance (</w:t>
      </w:r>
      <w:r>
        <w:rPr>
          <w:rFonts w:ascii="MinionPro" w:hAnsi="MinionPro"/>
          <w:color w:val="4C4C4C"/>
          <w:sz w:val="18"/>
          <w:szCs w:val="18"/>
        </w:rPr>
        <w:t>Chidnok et al., 2012</w:t>
      </w:r>
      <w:r>
        <w:rPr>
          <w:rFonts w:ascii="MinionPro" w:hAnsi="MinionPro"/>
          <w:sz w:val="18"/>
          <w:szCs w:val="18"/>
        </w:rPr>
        <w:t>) and PCr reconstitution (</w:t>
      </w:r>
      <w:r>
        <w:rPr>
          <w:rFonts w:ascii="MinionPro" w:hAnsi="MinionPro"/>
          <w:color w:val="4C4C4C"/>
          <w:sz w:val="18"/>
          <w:szCs w:val="18"/>
        </w:rPr>
        <w:t>Chidnok et al., 2013</w:t>
      </w:r>
      <w:r>
        <w:rPr>
          <w:rFonts w:ascii="MinionPro" w:hAnsi="MinionPro"/>
          <w:sz w:val="18"/>
          <w:szCs w:val="18"/>
        </w:rPr>
        <w:t xml:space="preserve">) are higher during intermittent exercise with passive recovery than during active recovery performed bellow CP condition. Thus, a lower PCr reconstitution can explain, at least in part, the impaired endurance performance during short condition performed with active recovery, as observed in the present study. </w:t>
      </w:r>
    </w:p>
    <w:p w14:paraId="77140985" w14:textId="0CE40556" w:rsidR="00495348" w:rsidRPr="00495348" w:rsidRDefault="00495348" w:rsidP="00DB33D1">
      <w:pPr>
        <w:pStyle w:val="NormalWeb"/>
      </w:pPr>
    </w:p>
    <w:sectPr w:rsidR="00495348" w:rsidRPr="00495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inionPro">
    <w:altName w:val="Cambria"/>
    <w:panose1 w:val="020B0604020202020204"/>
    <w:charset w:val="00"/>
    <w:family w:val="roman"/>
    <w:notTrueType/>
    <w:pitch w:val="default"/>
  </w:font>
  <w:font w:name="RMTMI">
    <w:altName w:val="Cambria"/>
    <w:panose1 w:val="020B0604020202020204"/>
    <w:charset w:val="00"/>
    <w:family w:val="roman"/>
    <w:notTrueType/>
    <w:pitch w:val="default"/>
  </w:font>
  <w:font w:name="MTSY">
    <w:altName w:val="Cambria"/>
    <w:panose1 w:val="020B0604020202020204"/>
    <w:charset w:val="00"/>
    <w:family w:val="roman"/>
    <w:notTrueType/>
    <w:pitch w:val="default"/>
  </w:font>
  <w:font w:name="MTGU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48"/>
    <w:rsid w:val="00391EFE"/>
    <w:rsid w:val="00495348"/>
    <w:rsid w:val="005A4340"/>
    <w:rsid w:val="005C0F7F"/>
    <w:rsid w:val="00DB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D95F61"/>
  <w15:chartTrackingRefBased/>
  <w15:docId w15:val="{667B8DFF-4ED3-8642-9A4E-090E3EF2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3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C0F7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5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47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1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92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9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4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1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9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94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4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7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3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0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4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4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2021-02-10T12:52:00Z</dcterms:created>
  <dcterms:modified xsi:type="dcterms:W3CDTF">2021-02-11T16:11:00Z</dcterms:modified>
</cp:coreProperties>
</file>