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DE9033" w14:textId="7FC0A72A" w:rsidR="00FF7351" w:rsidRPr="00FF7351" w:rsidRDefault="00FF7351" w:rsidP="00FF7351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5732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Dekerle J, de Souza KM, de Lucas RD, Guglielmo LG, Greco CC, Denadai BS. Exercise Tolerance Can Be Enhanced through a Change in Work Rate within the Severe Intensity Domain: Work above Critical Power Is Not Constant. PLoS One. 2015 Sep 25;10(9):e0138428.</w:t>
      </w:r>
    </w:p>
    <w:p w14:paraId="1CD9F0EB" w14:textId="6FFC282E" w:rsidR="00FF7351" w:rsidRDefault="00FF7351" w:rsidP="00FF7351">
      <w:pPr>
        <w:rPr>
          <w:rFonts w:ascii="Times New Roman" w:eastAsia="Times New Roman" w:hAnsi="Times New Roman" w:cs="Times New Roman"/>
          <w:lang w:eastAsia="en-GB"/>
        </w:rPr>
      </w:pPr>
    </w:p>
    <w:p w14:paraId="379E717C" w14:textId="547476CA" w:rsidR="00FF7351" w:rsidRDefault="00FF7351" w:rsidP="00FF7351">
      <w:pPr>
        <w:rPr>
          <w:rFonts w:ascii="Times New Roman" w:eastAsia="Times New Roman" w:hAnsi="Times New Roman" w:cs="Times New Roman"/>
          <w:lang w:eastAsia="en-GB"/>
        </w:rPr>
      </w:pPr>
    </w:p>
    <w:p w14:paraId="1B2A04F9" w14:textId="77777777" w:rsidR="00FF7351" w:rsidRDefault="00FF7351" w:rsidP="00FF7351">
      <w:pPr>
        <w:pStyle w:val="NormalWeb"/>
      </w:pPr>
      <w:r>
        <w:rPr>
          <w:rFonts w:ascii="AdvOT1ef757c0" w:hAnsi="AdvOT1ef757c0"/>
          <w:sz w:val="20"/>
          <w:szCs w:val="20"/>
        </w:rPr>
        <w:t>In cycle ergometry, the higher the power output (</w:t>
      </w:r>
      <w:r>
        <w:rPr>
          <w:rFonts w:ascii="AdvOT7d6df7ab.I" w:hAnsi="AdvOT7d6df7ab.I"/>
          <w:sz w:val="20"/>
          <w:szCs w:val="20"/>
        </w:rPr>
        <w:t>P</w:t>
      </w:r>
      <w:r>
        <w:rPr>
          <w:rFonts w:ascii="AdvOT1ef757c0" w:hAnsi="AdvOT1ef757c0"/>
          <w:sz w:val="20"/>
          <w:szCs w:val="20"/>
        </w:rPr>
        <w:t>), the shorter the time to task failure (</w:t>
      </w:r>
      <w:r>
        <w:rPr>
          <w:rFonts w:ascii="AdvOT7d6df7ab.I" w:hAnsi="AdvOT7d6df7ab.I"/>
          <w:sz w:val="20"/>
          <w:szCs w:val="20"/>
        </w:rPr>
        <w:t>t</w:t>
      </w:r>
      <w:r>
        <w:rPr>
          <w:rFonts w:ascii="AdvOT7d6df7ab.I" w:hAnsi="AdvOT7d6df7ab.I"/>
          <w:position w:val="-4"/>
          <w:sz w:val="14"/>
          <w:szCs w:val="14"/>
        </w:rPr>
        <w:t>lim</w:t>
      </w:r>
      <w:r>
        <w:rPr>
          <w:rFonts w:ascii="AdvOT1ef757c0" w:hAnsi="AdvOT1ef757c0"/>
          <w:sz w:val="20"/>
          <w:szCs w:val="20"/>
        </w:rPr>
        <w:t xml:space="preserve">) so that the </w:t>
      </w:r>
      <w:r>
        <w:rPr>
          <w:rFonts w:ascii="AdvOT7d6df7ab.I" w:hAnsi="AdvOT7d6df7ab.I"/>
          <w:sz w:val="20"/>
          <w:szCs w:val="20"/>
        </w:rPr>
        <w:t>P</w:t>
      </w:r>
      <w:r>
        <w:rPr>
          <w:rFonts w:ascii="AdvOT1ef757c0" w:hAnsi="AdvOT1ef757c0"/>
          <w:sz w:val="20"/>
          <w:szCs w:val="20"/>
        </w:rPr>
        <w:t>-</w:t>
      </w:r>
      <w:r>
        <w:rPr>
          <w:rFonts w:ascii="AdvOT7d6df7ab.I" w:hAnsi="AdvOT7d6df7ab.I"/>
          <w:sz w:val="20"/>
          <w:szCs w:val="20"/>
        </w:rPr>
        <w:t>t</w:t>
      </w:r>
      <w:r>
        <w:rPr>
          <w:rFonts w:ascii="AdvOT7d6df7ab.I" w:hAnsi="AdvOT7d6df7ab.I"/>
          <w:position w:val="-4"/>
          <w:sz w:val="14"/>
          <w:szCs w:val="14"/>
        </w:rPr>
        <w:t xml:space="preserve">lim </w:t>
      </w:r>
      <w:r>
        <w:rPr>
          <w:rFonts w:ascii="AdvOT1ef757c0" w:hAnsi="AdvOT1ef757c0"/>
          <w:sz w:val="20"/>
          <w:szCs w:val="20"/>
        </w:rPr>
        <w:t xml:space="preserve">relationship is of a shape of a hyperbole within the severe intensity domain </w:t>
      </w:r>
    </w:p>
    <w:p w14:paraId="12FE0DEF" w14:textId="3769488A" w:rsidR="00FF7351" w:rsidRDefault="00FF7351" w:rsidP="00FF7351">
      <w:pPr>
        <w:rPr>
          <w:rFonts w:ascii="Times New Roman" w:eastAsia="Times New Roman" w:hAnsi="Times New Roman" w:cs="Times New Roman"/>
          <w:lang w:eastAsia="en-GB"/>
        </w:rPr>
      </w:pPr>
    </w:p>
    <w:p w14:paraId="5D10B13F" w14:textId="77777777" w:rsidR="00FF7351" w:rsidRDefault="00FF7351" w:rsidP="00FF7351">
      <w:pPr>
        <w:rPr>
          <w:rFonts w:ascii="Times New Roman" w:eastAsia="Times New Roman" w:hAnsi="Times New Roman" w:cs="Times New Roman"/>
          <w:lang w:eastAsia="en-GB"/>
        </w:rPr>
      </w:pPr>
    </w:p>
    <w:p w14:paraId="144ECF1E" w14:textId="77777777" w:rsidR="00FF7351" w:rsidRDefault="00FF7351"/>
    <w:sectPr w:rsidR="00FF7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dvOT1ef757c0">
    <w:altName w:val="Cambria"/>
    <w:panose1 w:val="020B0604020202020204"/>
    <w:charset w:val="00"/>
    <w:family w:val="roman"/>
    <w:notTrueType/>
    <w:pitch w:val="default"/>
  </w:font>
  <w:font w:name="AdvOT7d6df7ab.I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351"/>
    <w:rsid w:val="006752DC"/>
    <w:rsid w:val="00FF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6BB0521"/>
  <w15:chartTrackingRefBased/>
  <w15:docId w15:val="{354823FD-D955-0F49-9954-7C9847776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3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735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09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3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5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2021-02-08T20:08:00Z</dcterms:created>
  <dcterms:modified xsi:type="dcterms:W3CDTF">2021-02-08T21:01:00Z</dcterms:modified>
</cp:coreProperties>
</file>