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C73FB9" w14:textId="3CE503CB" w:rsidR="008F46CA" w:rsidRPr="00F43220" w:rsidRDefault="0093074C" w:rsidP="00F43220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4322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Vanhatalo A, Black MI, DiMenna FJ, Blackwell JR, Schmidt JF, Thompson C, Wylie LJ, Mohr M, Bangsbo J, Krustrup P, Jones AM. The mechanistic bases of the power-time relationship: muscle metabolic responses and relationships to muscle fibre type. J Physiol. 2016 Aug 1;594(15):4407-23.</w:t>
      </w:r>
    </w:p>
    <w:p w14:paraId="38CF46DB" w14:textId="02DE1DAC" w:rsidR="008F46CA" w:rsidRDefault="008F46CA">
      <w:pPr>
        <w:rPr>
          <w:rFonts w:ascii="Times New Roman" w:eastAsia="Times New Roman" w:hAnsi="Times New Roman" w:cs="Times New Roman"/>
          <w:lang w:eastAsia="en-GB"/>
        </w:rPr>
      </w:pPr>
    </w:p>
    <w:p w14:paraId="1E25085B" w14:textId="0DBE5FBC" w:rsidR="008F46CA" w:rsidRDefault="008F46CA">
      <w:pPr>
        <w:rPr>
          <w:rFonts w:ascii="Times New Roman" w:eastAsia="Times New Roman" w:hAnsi="Times New Roman" w:cs="Times New Roman"/>
          <w:lang w:eastAsia="en-GB"/>
        </w:rPr>
      </w:pPr>
    </w:p>
    <w:p w14:paraId="55DC72E2" w14:textId="7F4CBB49" w:rsidR="008F46CA" w:rsidRPr="00565A94" w:rsidRDefault="008F46CA" w:rsidP="00565A94">
      <w:pPr>
        <w:pStyle w:val="NormalWeb"/>
        <w:numPr>
          <w:ilvl w:val="0"/>
          <w:numId w:val="1"/>
        </w:numPr>
      </w:pPr>
      <w:r w:rsidRPr="00565A94">
        <w:t>Attainment of the maximal rate of O</w:t>
      </w:r>
      <w:r w:rsidRPr="00565A94">
        <w:rPr>
          <w:position w:val="-4"/>
        </w:rPr>
        <w:t xml:space="preserve">2 </w:t>
      </w:r>
      <w:r w:rsidRPr="00565A94">
        <w:t>uptake (</w:t>
      </w:r>
      <w:r w:rsidRPr="00565A94">
        <w:rPr>
          <w:i/>
          <w:iCs/>
        </w:rPr>
        <w:t>V</w:t>
      </w:r>
      <w:r w:rsidRPr="00565A94">
        <w:rPr>
          <w:position w:val="-4"/>
        </w:rPr>
        <w:t>O</w:t>
      </w:r>
      <w:r w:rsidRPr="00565A94">
        <w:rPr>
          <w:position w:val="-6"/>
        </w:rPr>
        <w:t xml:space="preserve">2 </w:t>
      </w:r>
      <w:r w:rsidRPr="00565A94">
        <w:rPr>
          <w:position w:val="-4"/>
        </w:rPr>
        <w:t xml:space="preserve">max </w:t>
      </w:r>
      <w:r w:rsidRPr="00565A94">
        <w:t xml:space="preserve">) during exhaustive, constant work rate (CWR) exercise above the critical power (CP) defines the range of the severe exercise intensity domain </w:t>
      </w:r>
    </w:p>
    <w:p w14:paraId="2C5688DB" w14:textId="682F729C" w:rsidR="008F46CA" w:rsidRPr="00565A94" w:rsidRDefault="008F46CA" w:rsidP="00565A94">
      <w:pPr>
        <w:pStyle w:val="NormalWeb"/>
        <w:numPr>
          <w:ilvl w:val="0"/>
          <w:numId w:val="1"/>
        </w:numPr>
      </w:pPr>
      <w:r w:rsidRPr="00565A94">
        <w:t xml:space="preserve">After #2 min of all-out cycling against a fixed resistance, the </w:t>
      </w:r>
      <w:r w:rsidRPr="00565A94">
        <w:rPr>
          <w:i/>
          <w:iCs/>
        </w:rPr>
        <w:t>W</w:t>
      </w:r>
      <w:r w:rsidRPr="00565A94">
        <w:rPr>
          <w:position w:val="8"/>
        </w:rPr>
        <w:t xml:space="preserve">′ </w:t>
      </w:r>
      <w:r w:rsidRPr="00565A94">
        <w:t xml:space="preserve">is essentially reduced to zero such that the greatest power output that can be maintained by maximum effort over the final 30 s of the 3 min test closely approximates the CP </w:t>
      </w:r>
    </w:p>
    <w:p w14:paraId="4FDA68CA" w14:textId="77777777" w:rsidR="008F46CA" w:rsidRPr="00565A94" w:rsidRDefault="008F46CA" w:rsidP="00565A94">
      <w:pPr>
        <w:pStyle w:val="NormalWeb"/>
        <w:numPr>
          <w:ilvl w:val="0"/>
          <w:numId w:val="1"/>
        </w:numPr>
      </w:pPr>
      <w:r w:rsidRPr="00565A94">
        <w:t xml:space="preserve">The CP has been defined as a critical threshold of intra- muscular metabolic control on the basis of </w:t>
      </w:r>
      <w:r w:rsidRPr="00565A94">
        <w:rPr>
          <w:position w:val="8"/>
        </w:rPr>
        <w:t>31</w:t>
      </w:r>
      <w:r w:rsidRPr="00565A94">
        <w:t>phosphorous magnetic resonance spectroscopy (</w:t>
      </w:r>
      <w:r w:rsidRPr="00565A94">
        <w:rPr>
          <w:position w:val="8"/>
        </w:rPr>
        <w:t xml:space="preserve">31 </w:t>
      </w:r>
      <w:r w:rsidRPr="00565A94">
        <w:t xml:space="preserve">P-MRS) assessment of muscle phosphorous-containing metabolites during single-leg knee-extension exercise (Jones </w:t>
      </w:r>
      <w:r w:rsidRPr="00565A94">
        <w:rPr>
          <w:i/>
          <w:iCs/>
        </w:rPr>
        <w:t xml:space="preserve">et al. </w:t>
      </w:r>
      <w:r w:rsidRPr="00565A94">
        <w:t>2008). Just below the CP, muscle phosphocreatine (PCr), inorganic phosphate (P</w:t>
      </w:r>
      <w:r w:rsidRPr="00565A94">
        <w:rPr>
          <w:position w:val="-4"/>
        </w:rPr>
        <w:t>i</w:t>
      </w:r>
      <w:r w:rsidRPr="00565A94">
        <w:t xml:space="preserve">) and pH reached stable values within #2 min of the onset of exercise, whereas, above the CP, these variables exhibited non-steady-state responses </w:t>
      </w:r>
    </w:p>
    <w:p w14:paraId="0B9EB615" w14:textId="77777777" w:rsidR="008F46CA" w:rsidRPr="00565A94" w:rsidRDefault="008F46CA" w:rsidP="00565A94">
      <w:pPr>
        <w:pStyle w:val="NormalWeb"/>
        <w:numPr>
          <w:ilvl w:val="0"/>
          <w:numId w:val="1"/>
        </w:numPr>
      </w:pPr>
      <w:r w:rsidRPr="00565A94">
        <w:t xml:space="preserve">We have shown that the </w:t>
      </w:r>
      <w:r w:rsidRPr="00565A94">
        <w:rPr>
          <w:i/>
          <w:iCs/>
        </w:rPr>
        <w:t>W</w:t>
      </w:r>
      <w:r w:rsidRPr="00565A94">
        <w:rPr>
          <w:position w:val="8"/>
        </w:rPr>
        <w:t xml:space="preserve">′ </w:t>
      </w:r>
      <w:r w:rsidRPr="00565A94">
        <w:t xml:space="preserve">estimated in a 3 min all-out cycling test is proportional to the amplitude of the </w:t>
      </w:r>
      <w:r w:rsidRPr="00565A94">
        <w:rPr>
          <w:i/>
          <w:iCs/>
        </w:rPr>
        <w:t>V</w:t>
      </w:r>
      <w:r w:rsidRPr="00565A94">
        <w:rPr>
          <w:position w:val="4"/>
        </w:rPr>
        <w:t xml:space="preserve"> ̇ </w:t>
      </w:r>
      <w:r w:rsidRPr="00565A94">
        <w:rPr>
          <w:position w:val="-4"/>
        </w:rPr>
        <w:t>O</w:t>
      </w:r>
      <w:r w:rsidRPr="00565A94">
        <w:rPr>
          <w:position w:val="-6"/>
        </w:rPr>
        <w:t xml:space="preserve">2 </w:t>
      </w:r>
      <w:r w:rsidRPr="00565A94">
        <w:t xml:space="preserve">slow component (Vanhatalo </w:t>
      </w:r>
      <w:r w:rsidRPr="00565A94">
        <w:rPr>
          <w:i/>
          <w:iCs/>
        </w:rPr>
        <w:t xml:space="preserve">et al. </w:t>
      </w:r>
      <w:r w:rsidRPr="00565A94">
        <w:t xml:space="preserve">2011), which represents the delayed onset increase in </w:t>
      </w:r>
      <w:r w:rsidRPr="00565A94">
        <w:rPr>
          <w:i/>
          <w:iCs/>
        </w:rPr>
        <w:t>V</w:t>
      </w:r>
      <w:r w:rsidRPr="00565A94">
        <w:rPr>
          <w:position w:val="4"/>
        </w:rPr>
        <w:t xml:space="preserve"> ̇</w:t>
      </w:r>
      <w:r w:rsidRPr="00565A94">
        <w:rPr>
          <w:position w:val="-4"/>
        </w:rPr>
        <w:t>O</w:t>
      </w:r>
      <w:r w:rsidRPr="00565A94">
        <w:rPr>
          <w:position w:val="-6"/>
        </w:rPr>
        <w:t xml:space="preserve">2 </w:t>
      </w:r>
      <w:r w:rsidRPr="00565A94">
        <w:t xml:space="preserve">during CWR exercise above the lactate threshold. </w:t>
      </w:r>
    </w:p>
    <w:p w14:paraId="5C108B61" w14:textId="77777777" w:rsidR="008F46CA" w:rsidRPr="00565A94" w:rsidRDefault="008F46CA" w:rsidP="00565A94">
      <w:pPr>
        <w:pStyle w:val="NormalWeb"/>
        <w:numPr>
          <w:ilvl w:val="0"/>
          <w:numId w:val="1"/>
        </w:numPr>
      </w:pPr>
      <w:r w:rsidRPr="00565A94">
        <w:t xml:space="preserve">The </w:t>
      </w:r>
      <w:r w:rsidRPr="00565A94">
        <w:rPr>
          <w:i/>
          <w:iCs/>
        </w:rPr>
        <w:t>V</w:t>
      </w:r>
      <w:r w:rsidRPr="00565A94">
        <w:rPr>
          <w:position w:val="4"/>
        </w:rPr>
        <w:t xml:space="preserve"> ̇</w:t>
      </w:r>
      <w:r w:rsidRPr="00565A94">
        <w:rPr>
          <w:position w:val="-4"/>
        </w:rPr>
        <w:t>O</w:t>
      </w:r>
      <w:r w:rsidRPr="00565A94">
        <w:rPr>
          <w:position w:val="-6"/>
        </w:rPr>
        <w:t xml:space="preserve">2 </w:t>
      </w:r>
      <w:r w:rsidRPr="00565A94">
        <w:t xml:space="preserve">slow component is more pronounced in individuals who possess a large proportion of type II muscle fibres, whereas a fast ‘primary’ rise in </w:t>
      </w:r>
      <w:r w:rsidRPr="00565A94">
        <w:rPr>
          <w:i/>
          <w:iCs/>
        </w:rPr>
        <w:t>V</w:t>
      </w:r>
      <w:r w:rsidRPr="00565A94">
        <w:rPr>
          <w:position w:val="4"/>
        </w:rPr>
        <w:t xml:space="preserve"> ̇ </w:t>
      </w:r>
      <w:r w:rsidRPr="00565A94">
        <w:rPr>
          <w:position w:val="-4"/>
        </w:rPr>
        <w:t>O</w:t>
      </w:r>
      <w:r w:rsidRPr="00565A94">
        <w:rPr>
          <w:position w:val="-6"/>
        </w:rPr>
        <w:t xml:space="preserve">2 </w:t>
      </w:r>
      <w:r w:rsidRPr="00565A94">
        <w:t xml:space="preserve">at exercise onset (rapid ‘phase II’ kinetics) is associated with a high proportion of type I muscle fibres and is indicative of high level of endurance fitness </w:t>
      </w:r>
    </w:p>
    <w:p w14:paraId="2A80430C" w14:textId="77777777" w:rsidR="00F43220" w:rsidRPr="00565A94" w:rsidRDefault="00F43220" w:rsidP="00565A94">
      <w:pPr>
        <w:pStyle w:val="NormalWeb"/>
        <w:numPr>
          <w:ilvl w:val="0"/>
          <w:numId w:val="1"/>
        </w:numPr>
      </w:pPr>
      <w:r w:rsidRPr="00565A94">
        <w:t xml:space="preserve">Given that the </w:t>
      </w:r>
      <w:r w:rsidRPr="00565A94">
        <w:rPr>
          <w:i/>
          <w:iCs/>
        </w:rPr>
        <w:t>W</w:t>
      </w:r>
      <w:r w:rsidRPr="00565A94">
        <w:rPr>
          <w:position w:val="8"/>
        </w:rPr>
        <w:t xml:space="preserve">′ </w:t>
      </w:r>
      <w:r w:rsidRPr="00565A94">
        <w:t xml:space="preserve">estimated from a 3 min all-out test is proportional to the </w:t>
      </w:r>
      <w:r w:rsidRPr="00565A94">
        <w:rPr>
          <w:i/>
          <w:iCs/>
        </w:rPr>
        <w:t>V</w:t>
      </w:r>
      <w:r w:rsidRPr="00565A94">
        <w:rPr>
          <w:position w:val="4"/>
        </w:rPr>
        <w:t xml:space="preserve"> ̇</w:t>
      </w:r>
      <w:r w:rsidRPr="00565A94">
        <w:rPr>
          <w:position w:val="-4"/>
        </w:rPr>
        <w:t>O</w:t>
      </w:r>
      <w:r w:rsidRPr="00565A94">
        <w:rPr>
          <w:position w:val="-6"/>
        </w:rPr>
        <w:t xml:space="preserve">2 </w:t>
      </w:r>
      <w:r w:rsidRPr="00565A94">
        <w:t xml:space="preserve">slow component amplitude (Vanhatalo </w:t>
      </w:r>
      <w:r w:rsidRPr="00565A94">
        <w:rPr>
          <w:i/>
          <w:iCs/>
        </w:rPr>
        <w:t xml:space="preserve">et al. </w:t>
      </w:r>
      <w:r w:rsidRPr="00565A94">
        <w:t xml:space="preserve">2011) and the CP derived from CWR prediction trial data is inversely correlated with the phase II </w:t>
      </w:r>
      <w:r w:rsidRPr="00565A94">
        <w:rPr>
          <w:i/>
          <w:iCs/>
        </w:rPr>
        <w:t>V</w:t>
      </w:r>
      <w:r w:rsidRPr="00565A94">
        <w:rPr>
          <w:position w:val="4"/>
        </w:rPr>
        <w:t xml:space="preserve"> ̇ </w:t>
      </w:r>
      <w:r w:rsidRPr="00565A94">
        <w:rPr>
          <w:position w:val="-4"/>
        </w:rPr>
        <w:t>O</w:t>
      </w:r>
      <w:r w:rsidRPr="00565A94">
        <w:rPr>
          <w:position w:val="-6"/>
        </w:rPr>
        <w:t xml:space="preserve">2 </w:t>
      </w:r>
      <w:r w:rsidRPr="00565A94">
        <w:t xml:space="preserve">time constant (τ) (Murgatroyd </w:t>
      </w:r>
      <w:r w:rsidRPr="00565A94">
        <w:rPr>
          <w:i/>
          <w:iCs/>
        </w:rPr>
        <w:t xml:space="preserve">et al. </w:t>
      </w:r>
      <w:r w:rsidRPr="00565A94">
        <w:t xml:space="preserve">2011), it is possible that the </w:t>
      </w:r>
      <w:r w:rsidRPr="00565A94">
        <w:rPr>
          <w:i/>
          <w:iCs/>
        </w:rPr>
        <w:t>W</w:t>
      </w:r>
      <w:r w:rsidRPr="00565A94">
        <w:rPr>
          <w:position w:val="8"/>
        </w:rPr>
        <w:t xml:space="preserve">′ </w:t>
      </w:r>
      <w:r w:rsidRPr="00565A94">
        <w:t xml:space="preserve">might be related to a large proportion of type II (a+x) muscle fibres, whereas a high CP might be associated with a high proportion of type I fibres. </w:t>
      </w:r>
    </w:p>
    <w:p w14:paraId="0D6AA9AA" w14:textId="77777777" w:rsidR="00F43220" w:rsidRPr="00565A94" w:rsidRDefault="00F43220" w:rsidP="00565A94">
      <w:pPr>
        <w:pStyle w:val="NormalWeb"/>
        <w:numPr>
          <w:ilvl w:val="0"/>
          <w:numId w:val="1"/>
        </w:numPr>
      </w:pPr>
      <w:r w:rsidRPr="00565A94">
        <w:t xml:space="preserve">The principal novel findings of the present study are that: (1) the CP during whole-body exercise demarcated intensities that resulted in steady-state (&lt;CP) and non-steady-state (&gt;CP) muscle metabolic responses; (2) a high CP was associated with a high proportion of type I muscle fibres and a low proportion of type IIx muscle fibres; (3) large </w:t>
      </w:r>
      <w:r w:rsidRPr="00565A94">
        <w:rPr>
          <w:i/>
          <w:iCs/>
        </w:rPr>
        <w:t>W</w:t>
      </w:r>
      <w:r w:rsidRPr="00565A94">
        <w:rPr>
          <w:position w:val="8"/>
        </w:rPr>
        <w:t xml:space="preserve">′ </w:t>
      </w:r>
      <w:r w:rsidRPr="00565A94">
        <w:t>values were associated with high end-exercise muscle [La</w:t>
      </w:r>
      <w:r w:rsidRPr="00565A94">
        <w:rPr>
          <w:position w:val="8"/>
        </w:rPr>
        <w:t>−</w:t>
      </w:r>
      <w:r w:rsidRPr="00565A94">
        <w:t>] and [Cr], which are indices of substrate level phosphorylation; and (4) the muscle metabolic perturbation, as indicated by changes in muscle [PCr], [La</w:t>
      </w:r>
      <w:r w:rsidRPr="00565A94">
        <w:rPr>
          <w:position w:val="8"/>
        </w:rPr>
        <w:t>−</w:t>
      </w:r>
      <w:r w:rsidRPr="00565A94">
        <w:t xml:space="preserve">] and pH relative to work </w:t>
      </w:r>
      <w:r w:rsidRPr="00565A94">
        <w:lastRenderedPageBreak/>
        <w:t xml:space="preserve">rate, was greater during all-out compared to work-matched CWR exercise. Collectively, these findings provide significant new insight into the mechanistic bases of the power-time parameters measured during whole-body exercise. </w:t>
      </w:r>
    </w:p>
    <w:p w14:paraId="19032173" w14:textId="76D08914" w:rsidR="00F43220" w:rsidRPr="00565A94" w:rsidRDefault="00F43220" w:rsidP="00F43220">
      <w:pPr>
        <w:pStyle w:val="NormalWeb"/>
        <w:numPr>
          <w:ilvl w:val="0"/>
          <w:numId w:val="1"/>
        </w:numPr>
      </w:pPr>
      <w:r w:rsidRPr="00565A94">
        <w:t xml:space="preserve">These data are indicative of a considerable contri- bution to ATP turnover from glycolysis/glycogenolysis during &gt;CP exercise. It has been previously shown that muscle blood flow increases disproportionately during exercise &gt;CP and is preferentially directed to type II muscle fibres that rely more heavily on glycolysis than type I fibres </w:t>
      </w:r>
    </w:p>
    <w:p w14:paraId="6DE58B47" w14:textId="77777777" w:rsidR="004205D4" w:rsidRPr="00565A94" w:rsidRDefault="004205D4" w:rsidP="00565A94">
      <w:pPr>
        <w:pStyle w:val="NormalWeb"/>
        <w:numPr>
          <w:ilvl w:val="0"/>
          <w:numId w:val="1"/>
        </w:numPr>
      </w:pPr>
      <w:r w:rsidRPr="00565A94">
        <w:t xml:space="preserve">The proposed mechanistic underpinnings of the </w:t>
      </w:r>
      <w:r w:rsidRPr="00565A94">
        <w:rPr>
          <w:i/>
          <w:iCs/>
        </w:rPr>
        <w:t>V</w:t>
      </w:r>
      <w:r w:rsidRPr="00565A94">
        <w:rPr>
          <w:position w:val="4"/>
        </w:rPr>
        <w:t xml:space="preserve"> ̇</w:t>
      </w:r>
      <w:r w:rsidRPr="00565A94">
        <w:rPr>
          <w:position w:val="-4"/>
        </w:rPr>
        <w:t>O</w:t>
      </w:r>
      <w:r w:rsidRPr="00565A94">
        <w:rPr>
          <w:position w:val="-6"/>
        </w:rPr>
        <w:t xml:space="preserve">2 </w:t>
      </w:r>
      <w:r w:rsidRPr="00565A94">
        <w:t xml:space="preserve">slow component include a progressive recruitment of higher-order (fast-twitch, or type II) muscle fibres, slower </w:t>
      </w:r>
      <w:r w:rsidRPr="00565A94">
        <w:rPr>
          <w:i/>
          <w:iCs/>
        </w:rPr>
        <w:t>V</w:t>
      </w:r>
      <w:r w:rsidRPr="00565A94">
        <w:rPr>
          <w:position w:val="4"/>
        </w:rPr>
        <w:t xml:space="preserve"> ̇</w:t>
      </w:r>
      <w:r w:rsidRPr="00565A94">
        <w:rPr>
          <w:position w:val="-4"/>
        </w:rPr>
        <w:t>O</w:t>
      </w:r>
      <w:r w:rsidRPr="00565A94">
        <w:rPr>
          <w:position w:val="-6"/>
        </w:rPr>
        <w:t xml:space="preserve">2 </w:t>
      </w:r>
      <w:r w:rsidRPr="00565A94">
        <w:t>kinetics of higher-order fibres compared to slow-twitch (type I) fibres and/or the O</w:t>
      </w:r>
      <w:r w:rsidRPr="00565A94">
        <w:rPr>
          <w:position w:val="-4"/>
        </w:rPr>
        <w:t xml:space="preserve">2 </w:t>
      </w:r>
      <w:r w:rsidRPr="00565A94">
        <w:t xml:space="preserve">cost of recovery processes in fatigued muscle fibres that are de-recruited as exhaustive exercise proceeds (i.e. loss of efficiency) </w:t>
      </w:r>
    </w:p>
    <w:p w14:paraId="0D54A02D" w14:textId="77777777" w:rsidR="004205D4" w:rsidRPr="00565A94" w:rsidRDefault="004205D4" w:rsidP="00565A94">
      <w:pPr>
        <w:pStyle w:val="NormalWeb"/>
        <w:numPr>
          <w:ilvl w:val="0"/>
          <w:numId w:val="1"/>
        </w:numPr>
      </w:pPr>
      <w:r w:rsidRPr="00565A94">
        <w:t>Amplification of the ADP signal by Cr may occur in highly oxidative muscle fibres (cardiac and type I skeletal muscle) in which the permeability of the outer mitochondrial membrane to cytosolic ADP is low, but not in fast-twitch (type II) muscle fibres with high outer membrane ADP permeability</w:t>
      </w:r>
      <w:r w:rsidRPr="00565A94">
        <w:rPr>
          <w:lang w:val="is-IS"/>
        </w:rPr>
        <w:t xml:space="preserve">. </w:t>
      </w:r>
      <w:r w:rsidRPr="00565A94">
        <w:t>In other words, in highly oxidative type I fibres compared to type II fibres, a lesser degree of cytosolic ADP rise (metabolic perturbation) is required to yield a given metabolic rate (</w:t>
      </w:r>
      <w:r w:rsidRPr="00565A94">
        <w:rPr>
          <w:i/>
          <w:iCs/>
        </w:rPr>
        <w:t>V</w:t>
      </w:r>
      <w:r w:rsidRPr="00565A94">
        <w:rPr>
          <w:position w:val="4"/>
        </w:rPr>
        <w:t xml:space="preserve"> ̇ </w:t>
      </w:r>
      <w:r w:rsidRPr="00565A94">
        <w:rPr>
          <w:position w:val="-4"/>
        </w:rPr>
        <w:t>O</w:t>
      </w:r>
      <w:r w:rsidRPr="00565A94">
        <w:rPr>
          <w:position w:val="-6"/>
        </w:rPr>
        <w:t xml:space="preserve">2 </w:t>
      </w:r>
      <w:r w:rsidRPr="00565A94">
        <w:t xml:space="preserve">), indicative of tighter coupling of ATP demand and supply. This is pertinent, because the sensitivity of the </w:t>
      </w:r>
      <w:r w:rsidRPr="00565A94">
        <w:rPr>
          <w:i/>
          <w:iCs/>
        </w:rPr>
        <w:t>W</w:t>
      </w:r>
      <w:r w:rsidRPr="00565A94">
        <w:rPr>
          <w:position w:val="8"/>
        </w:rPr>
        <w:t xml:space="preserve">′ </w:t>
      </w:r>
      <w:r w:rsidRPr="00565A94">
        <w:t xml:space="preserve">to interventions that alter the </w:t>
      </w:r>
      <w:r w:rsidRPr="00565A94">
        <w:rPr>
          <w:i/>
          <w:iCs/>
        </w:rPr>
        <w:t>V</w:t>
      </w:r>
      <w:r w:rsidRPr="00565A94">
        <w:rPr>
          <w:position w:val="4"/>
        </w:rPr>
        <w:t xml:space="preserve"> ̇ </w:t>
      </w:r>
      <w:r w:rsidRPr="00565A94">
        <w:rPr>
          <w:position w:val="-4"/>
        </w:rPr>
        <w:t>O</w:t>
      </w:r>
      <w:r w:rsidRPr="00565A94">
        <w:rPr>
          <w:position w:val="-6"/>
        </w:rPr>
        <w:t xml:space="preserve">2 </w:t>
      </w:r>
      <w:r w:rsidRPr="00565A94">
        <w:t xml:space="preserve">kinetics and/or the </w:t>
      </w:r>
      <w:r w:rsidRPr="00565A94">
        <w:rPr>
          <w:i/>
          <w:iCs/>
        </w:rPr>
        <w:t>V</w:t>
      </w:r>
      <w:r w:rsidRPr="00565A94">
        <w:rPr>
          <w:position w:val="4"/>
        </w:rPr>
        <w:t xml:space="preserve"> ̇ </w:t>
      </w:r>
      <w:r w:rsidRPr="00565A94">
        <w:rPr>
          <w:position w:val="-4"/>
        </w:rPr>
        <w:t>O</w:t>
      </w:r>
      <w:r w:rsidRPr="00565A94">
        <w:rPr>
          <w:position w:val="-6"/>
        </w:rPr>
        <w:t xml:space="preserve">2 </w:t>
      </w:r>
      <w:r w:rsidRPr="00565A94">
        <w:rPr>
          <w:position w:val="-4"/>
        </w:rPr>
        <w:t xml:space="preserve">max </w:t>
      </w:r>
    </w:p>
    <w:p w14:paraId="6CA6C6F0" w14:textId="77777777" w:rsidR="00C9386A" w:rsidRPr="00565A94" w:rsidRDefault="00C9386A" w:rsidP="00565A94">
      <w:pPr>
        <w:pStyle w:val="NormalWeb"/>
        <w:numPr>
          <w:ilvl w:val="0"/>
          <w:numId w:val="1"/>
        </w:numPr>
      </w:pPr>
      <w:r w:rsidRPr="00565A94">
        <w:t xml:space="preserve">We hypothesized that the </w:t>
      </w:r>
      <w:r w:rsidRPr="00565A94">
        <w:rPr>
          <w:i/>
          <w:iCs/>
        </w:rPr>
        <w:t>W</w:t>
      </w:r>
      <w:r w:rsidRPr="00565A94">
        <w:rPr>
          <w:position w:val="8"/>
        </w:rPr>
        <w:t xml:space="preserve">′ </w:t>
      </w:r>
      <w:r w:rsidRPr="00565A94">
        <w:t xml:space="preserve">would be positively correlated with the proportion of type II (a+x) muscle fibres and the CP would be correlated with the proportion of type I muscle fibres, based on the premise that the </w:t>
      </w:r>
      <w:r w:rsidRPr="00565A94">
        <w:rPr>
          <w:i/>
          <w:iCs/>
        </w:rPr>
        <w:t>V</w:t>
      </w:r>
      <w:r w:rsidRPr="00565A94">
        <w:rPr>
          <w:position w:val="4"/>
        </w:rPr>
        <w:t xml:space="preserve"> ̇ </w:t>
      </w:r>
      <w:r w:rsidRPr="00565A94">
        <w:rPr>
          <w:position w:val="-4"/>
        </w:rPr>
        <w:t>O</w:t>
      </w:r>
      <w:r w:rsidRPr="00565A94">
        <w:rPr>
          <w:position w:val="-6"/>
        </w:rPr>
        <w:t xml:space="preserve">2 </w:t>
      </w:r>
      <w:r w:rsidRPr="00565A94">
        <w:t xml:space="preserve">slow component amplitude is related to muscle type II fibre proportion and the phase II kinetics is related to type I fibre proportion (Barstow </w:t>
      </w:r>
      <w:r w:rsidRPr="00565A94">
        <w:rPr>
          <w:i/>
          <w:iCs/>
        </w:rPr>
        <w:t xml:space="preserve">et al. </w:t>
      </w:r>
      <w:r w:rsidRPr="00565A94">
        <w:t xml:space="preserve">1996; Pringle </w:t>
      </w:r>
      <w:r w:rsidRPr="00565A94">
        <w:rPr>
          <w:i/>
          <w:iCs/>
        </w:rPr>
        <w:t xml:space="preserve">et al. </w:t>
      </w:r>
      <w:r w:rsidRPr="00565A94">
        <w:t xml:space="preserve">2003). We showed that a high CP was associated with a high type I and a low type IIx muscle fibre proportion, whereas there was no relationship between CP and the percentage of type IIa muscle fibres. Type IIa ‘oxidative-glycolytic’ fibres are more fatigue-resistant and have greater succinate dehydrogenase activity than type IIx fibres </w:t>
      </w:r>
    </w:p>
    <w:p w14:paraId="5BFEC811" w14:textId="77777777" w:rsidR="00C9386A" w:rsidRPr="00565A94" w:rsidRDefault="00C9386A" w:rsidP="00565A94">
      <w:pPr>
        <w:pStyle w:val="NormalWeb"/>
        <w:numPr>
          <w:ilvl w:val="0"/>
          <w:numId w:val="1"/>
        </w:numPr>
      </w:pPr>
      <w:r w:rsidRPr="00565A94">
        <w:t xml:space="preserve">The greater fatigue-resistance of type I muscle fibres stems from greater mitochondrial size and density and better developed cristae, such that they are less reliant on glycolysis than type II (a+x) fibres </w:t>
      </w:r>
    </w:p>
    <w:p w14:paraId="1231D7B4" w14:textId="5C410732" w:rsidR="00565A94" w:rsidRPr="00565A94" w:rsidRDefault="00565A94" w:rsidP="00565A94">
      <w:pPr>
        <w:pStyle w:val="NormalWeb"/>
        <w:numPr>
          <w:ilvl w:val="0"/>
          <w:numId w:val="1"/>
        </w:numPr>
      </w:pPr>
      <w:r w:rsidRPr="00565A94">
        <w:t xml:space="preserve">At the onset of dynamic all-out exercise, essentially all available task-specific motor units are maximally (&gt;95%) recruited (Beelen </w:t>
      </w:r>
      <w:r w:rsidRPr="00565A94">
        <w:rPr>
          <w:i/>
          <w:iCs/>
        </w:rPr>
        <w:t xml:space="preserve">et al. </w:t>
      </w:r>
      <w:r w:rsidRPr="00565A94">
        <w:t xml:space="preserve">1995) such that progressive recruitment of additional fibres cannot occur (Vanhatalo </w:t>
      </w:r>
      <w:r w:rsidRPr="00565A94">
        <w:rPr>
          <w:i/>
          <w:iCs/>
        </w:rPr>
        <w:t xml:space="preserve">et al. </w:t>
      </w:r>
      <w:r w:rsidRPr="00565A94">
        <w:t xml:space="preserve">2011). The highest order fibres (i.e. type IIx) are the primary contributories to external work over the early stages of an all-out test where there is also a significant proportion of the </w:t>
      </w:r>
      <w:r w:rsidRPr="00565A94">
        <w:rPr>
          <w:i/>
          <w:iCs/>
        </w:rPr>
        <w:t>W</w:t>
      </w:r>
      <w:r w:rsidRPr="00565A94">
        <w:rPr>
          <w:position w:val="8"/>
        </w:rPr>
        <w:t xml:space="preserve">′ </w:t>
      </w:r>
      <w:r w:rsidRPr="00565A94">
        <w:t xml:space="preserve">accumulated. Type II fibres would be expected to become progressively fatigued (first IIx, then IIa fibres) and to stop contributing to external work as all-out exercise proceeds (Sant’Ana Pereira </w:t>
      </w:r>
      <w:r w:rsidRPr="00565A94">
        <w:rPr>
          <w:i/>
          <w:iCs/>
        </w:rPr>
        <w:t xml:space="preserve">et al. </w:t>
      </w:r>
      <w:r w:rsidRPr="00565A94">
        <w:t>1996; Sargeant &amp; de Haan, 2006) such that, over the latter stages where the CP is attained (2.5–3 min</w:t>
      </w:r>
      <w:r w:rsidRPr="00565A94">
        <w:rPr>
          <w:lang w:val="is-IS"/>
        </w:rPr>
        <w:t>)</w:t>
      </w:r>
      <w:r w:rsidRPr="00565A94">
        <w:t xml:space="preserve"> the external work probably derives almost exclusively from the type I, most fatigue-resistant fibres. </w:t>
      </w:r>
    </w:p>
    <w:p w14:paraId="3A5FA887" w14:textId="77777777" w:rsidR="00565A94" w:rsidRPr="00565A94" w:rsidRDefault="00565A94" w:rsidP="00565A94">
      <w:pPr>
        <w:pStyle w:val="NormalWeb"/>
        <w:numPr>
          <w:ilvl w:val="0"/>
          <w:numId w:val="1"/>
        </w:numPr>
      </w:pPr>
      <w:r w:rsidRPr="00565A94">
        <w:lastRenderedPageBreak/>
        <w:t xml:space="preserve">We further demonstrated that the greater pulmonary </w:t>
      </w:r>
      <w:r w:rsidRPr="00565A94">
        <w:rPr>
          <w:i/>
          <w:iCs/>
        </w:rPr>
        <w:t>V</w:t>
      </w:r>
      <w:r w:rsidRPr="00565A94">
        <w:rPr>
          <w:position w:val="4"/>
        </w:rPr>
        <w:t xml:space="preserve"> ̇ </w:t>
      </w:r>
      <w:r w:rsidRPr="00565A94">
        <w:rPr>
          <w:position w:val="-4"/>
        </w:rPr>
        <w:t>O</w:t>
      </w:r>
      <w:r w:rsidRPr="00565A94">
        <w:rPr>
          <w:position w:val="-6"/>
        </w:rPr>
        <w:t xml:space="preserve">2 </w:t>
      </w:r>
      <w:r w:rsidRPr="00565A94">
        <w:t>slow component occurred alongside greater muscle metabolic perturbation, as indicated by the gains of muscle [PCr], pH and [La</w:t>
      </w:r>
      <w:r w:rsidRPr="00565A94">
        <w:rPr>
          <w:position w:val="8"/>
        </w:rPr>
        <w:t>−</w:t>
      </w:r>
      <w:r w:rsidRPr="00565A94">
        <w:t xml:space="preserve">], during all-out compared to CWR exercise. </w:t>
      </w:r>
    </w:p>
    <w:p w14:paraId="2F4BAD82" w14:textId="1D2CD701" w:rsidR="00565A94" w:rsidRDefault="00565A94" w:rsidP="00565A94">
      <w:pPr>
        <w:pStyle w:val="NormalWeb"/>
      </w:pPr>
    </w:p>
    <w:p w14:paraId="762A80A3" w14:textId="054C3244" w:rsidR="00565A94" w:rsidRDefault="00565A94" w:rsidP="00565A94">
      <w:pPr>
        <w:pStyle w:val="NormalWeb"/>
      </w:pPr>
    </w:p>
    <w:p w14:paraId="2BFB6BBB" w14:textId="5795DB0F" w:rsidR="00565A94" w:rsidRDefault="00565A94" w:rsidP="00565A94">
      <w:pPr>
        <w:pStyle w:val="NormalWeb"/>
      </w:pPr>
    </w:p>
    <w:p w14:paraId="67F8272F" w14:textId="584E114F" w:rsidR="004205D4" w:rsidRPr="00C9386A" w:rsidRDefault="004205D4" w:rsidP="004205D4">
      <w:pPr>
        <w:pStyle w:val="NormalWeb"/>
      </w:pPr>
    </w:p>
    <w:p w14:paraId="4302D758" w14:textId="1A1D0C85" w:rsidR="004205D4" w:rsidRDefault="004205D4" w:rsidP="004205D4">
      <w:pPr>
        <w:pStyle w:val="NormalWeb"/>
      </w:pPr>
    </w:p>
    <w:p w14:paraId="2BC4480F" w14:textId="77777777" w:rsidR="004205D4" w:rsidRPr="004205D4" w:rsidRDefault="004205D4" w:rsidP="00F43220">
      <w:pPr>
        <w:pStyle w:val="NormalWeb"/>
        <w:rPr>
          <w:lang w:val="is-IS"/>
        </w:rPr>
      </w:pPr>
    </w:p>
    <w:p w14:paraId="24E8D153" w14:textId="77777777" w:rsidR="008F46CA" w:rsidRDefault="008F46CA" w:rsidP="008F46CA">
      <w:pPr>
        <w:pStyle w:val="NormalWeb"/>
      </w:pPr>
    </w:p>
    <w:p w14:paraId="5B6B5D27" w14:textId="77777777" w:rsidR="008F46CA" w:rsidRPr="008F46CA" w:rsidRDefault="008F46CA">
      <w:pPr>
        <w:rPr>
          <w:rFonts w:ascii="Times New Roman" w:eastAsia="Times New Roman" w:hAnsi="Times New Roman" w:cs="Times New Roman"/>
          <w:lang w:eastAsia="en-GB"/>
        </w:rPr>
      </w:pPr>
    </w:p>
    <w:sectPr w:rsidR="008F46CA" w:rsidRPr="008F46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55125F8"/>
    <w:multiLevelType w:val="hybridMultilevel"/>
    <w:tmpl w:val="87B24C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74C"/>
    <w:rsid w:val="004205D4"/>
    <w:rsid w:val="00565A94"/>
    <w:rsid w:val="008F46CA"/>
    <w:rsid w:val="0093074C"/>
    <w:rsid w:val="00C9386A"/>
    <w:rsid w:val="00F43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A52E2D6"/>
  <w15:chartTrackingRefBased/>
  <w15:docId w15:val="{FFF4673C-4005-4047-B894-5BD75FEC2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07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F46CA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499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8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81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704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19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4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29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93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0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31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33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339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3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2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99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124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70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8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29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70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53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1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933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2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0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84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304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5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50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73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044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78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27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241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89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75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424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0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65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57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557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04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30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206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57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7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65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347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88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7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89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393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83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02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764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87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19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88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555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65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240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984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99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69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759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201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94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9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44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3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84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36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545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32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614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29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71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8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9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967</Words>
  <Characters>5515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2021-02-14T19:53:00Z</dcterms:created>
  <dcterms:modified xsi:type="dcterms:W3CDTF">2021-02-14T20:45:00Z</dcterms:modified>
</cp:coreProperties>
</file>