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A8A"/>
          <w:sz w:val="52"/>
          <w:szCs w:val="52"/>
        </w:rPr>
        <w:t xml:space="preserve">MicroPulse</w:t>
      </w:r>
    </w:p>
    <w:p>
      <w:pPr>
        <w:spacing w:after="80"/>
        <w:jc w:val="center"/>
      </w:pPr>
      <w:r>
        <w:rPr>
          <w:rFonts w:ascii="Arial" w:cs="Arial" w:eastAsia="Arial" w:hAnsi="Arial"/>
          <w:b/>
          <w:bCs/>
          <w:sz w:val="36"/>
          <w:szCs w:val="36"/>
        </w:rPr>
        <w:t xml:space="preserve">GPS Data — Coach Guide</w:t>
      </w:r>
    </w:p>
    <w:p>
      <w:pPr>
        <w:spacing w:after="200"/>
        <w:jc w:val="center"/>
      </w:pPr>
      <w:r>
        <w:rPr>
          <w:rFonts w:ascii="Arial" w:cs="Arial" w:eastAsia="Arial" w:hAnsi="Arial"/>
          <w:i/>
          <w:iCs/>
          <w:color w:val="475569"/>
          <w:sz w:val="24"/>
          <w:szCs w:val="24"/>
        </w:rPr>
        <w:t xml:space="preserve">Daily per-session GPS overview — what each player did today</w:t>
      </w:r>
    </w:p>
    <w:p>
      <w:pPr>
        <w:spacing w:after="480"/>
        <w:jc w:val="center"/>
      </w:pPr>
      <w:r>
        <w:rPr>
          <w:rFonts w:ascii="Arial" w:cs="Arial" w:eastAsia="Arial" w:hAnsi="Arial"/>
          <w:b/>
          <w:bCs/>
          <w:color w:val="2563EB"/>
          <w:sz w:val="20"/>
          <w:szCs w:val="20"/>
        </w:rPr>
        <w:t xml:space="preserve">FOR LITE CATAPULT TEAMS</w:t>
      </w:r>
    </w:p>
    <w:p>
      <w:pPr>
        <w:pStyle w:val="Heading1"/>
        <w:spacing w:after="180" w:before="360"/>
      </w:pPr>
      <w:r>
        <w:rPr>
          <w:rFonts w:ascii="Arial" w:cs="Arial" w:eastAsia="Arial" w:hAnsi="Arial"/>
          <w:b/>
          <w:bCs/>
          <w:color w:val="1F3A8A"/>
          <w:sz w:val="36"/>
          <w:szCs w:val="36"/>
        </w:rPr>
        <w:t xml:space="preserve">1. Overview — and the headline for Lite teams</w:t>
      </w:r>
    </w:p>
    <w:p>
      <w:pPr>
        <w:spacing w:after="120"/>
      </w:pPr>
      <w:r>
        <w:rPr>
          <w:rFonts w:ascii="Arial" w:cs="Arial" w:eastAsia="Arial" w:hAnsi="Arial"/>
          <w:sz w:val="22"/>
          <w:szCs w:val="22"/>
        </w:rPr>
        <w:t xml:space="preserve">GPS Data is a top-tab on the main coach dashboard at /coach. When a coach has a Pro Catapult plan it shows a date-browseable per-session view of what every player did on a given day — total distance, high-speed running, accelerations, decelerations, B2-3 efforts, heart-rate. It is the "raw daily numbers" tab that sits alongside Today, Squad and Load.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59E0B" w:sz="6"/>
              <w:left w:val="single" w:color="F59E0B" w:sz="6"/>
              <w:bottom w:val="single" w:color="F59E0B" w:sz="6"/>
              <w:right w:val="single" w:color="F59E0B" w:sz="6"/>
            </w:tcBorders>
            <w:shd w:fill="FEF3C7" w:val="clear"/>
            <w:tcMar>
              <w:top w:type="dxa" w:w="140"/>
              <w:left w:type="dxa" w:w="200"/>
              <w:bottom w:type="dxa" w:w="140"/>
              <w:right w:type="dxa" w:w="200"/>
            </w:tcMar>
          </w:tcPr>
          <w:p>
            <w:pPr>
              <w:spacing w:after="60"/>
            </w:pPr>
            <w:r>
              <w:rPr>
                <w:rFonts w:ascii="Arial" w:cs="Arial" w:eastAsia="Arial" w:hAnsi="Arial"/>
                <w:b/>
                <w:bCs/>
                <w:color w:val="92400E"/>
                <w:sz w:val="20"/>
                <w:szCs w:val="20"/>
              </w:rPr>
              <w:t xml:space="preserve">Lite tier headline — read this first</w:t>
            </w:r>
          </w:p>
          <w:p>
            <w:r>
              <w:rPr>
                <w:rFonts w:ascii="Arial" w:cs="Arial" w:eastAsia="Arial" w:hAnsi="Arial"/>
                <w:color w:val="92400E"/>
                <w:sz w:val="22"/>
                <w:szCs w:val="22"/>
              </w:rPr>
              <w:t xml:space="preserve">On a Lite Catapult plan the GPS Data tab is LOCKED. Clicking it opens an UpgradeWall that says: "Total distance, velocity bands, accelerations, decelerations, Player Load, IMA metrics, and 7D/28D/ACWR load monitoring for every player." There is no Lite version of this tab. The data it would show is mostly available on Lite — it just lives on different pages.</w:t>
            </w:r>
          </w:p>
        </w:tc>
      </w:tr>
    </w:tbl>
    <w:p>
      <w:pPr>
        <w:spacing w:after="80"/>
      </w:pPr>
      <w:r>
        <w:t xml:space="preserve"/>
      </w:r>
    </w:p>
    <w:p>
      <w:pPr>
        <w:pStyle w:val="Heading2"/>
        <w:spacing w:after="140" w:before="280"/>
      </w:pPr>
      <w:r>
        <w:rPr>
          <w:rFonts w:ascii="Arial" w:cs="Arial" w:eastAsia="Arial" w:hAnsi="Arial"/>
          <w:b/>
          <w:bCs/>
          <w:color w:val="1F3A8A"/>
          <w:sz w:val="28"/>
          <w:szCs w:val="28"/>
        </w:rPr>
        <w:t xml:space="preserve">Why is the tab locked on Lite?</w:t>
      </w:r>
    </w:p>
    <w:p>
      <w:pPr>
        <w:spacing w:after="120"/>
      </w:pPr>
      <w:r>
        <w:rPr>
          <w:rFonts w:ascii="Arial" w:cs="Arial" w:eastAsia="Arial" w:hAnsi="Arial"/>
          <w:sz w:val="22"/>
          <w:szCs w:val="22"/>
        </w:rPr>
        <w:t xml:space="preserve">The GPS Data tab is the most database-heavy view in MicroPulse. To render every player's per-session detail it pulls 35 days of GPS history for the whole squad, computes 7-day acute / 28-day chronic / ACWR per metric, and combines that with team-average KPI tiles. The compute and bandwidth cost is high enough that we gate it behind Pro tier — and the parts of the view that depend on B2-3 efforts (Accel B2-3, Decel B2-3 columns) only render meaningfully when those columns are actually in the data, which they aren't on a Lite Catapult plan.</w:t>
      </w:r>
    </w:p>
    <w:p>
      <w:pPr>
        <w:spacing w:after="120"/>
      </w:pPr>
      <w:r>
        <w:rPr>
          <w:rFonts w:ascii="Arial" w:cs="Arial" w:eastAsia="Arial" w:hAnsi="Arial"/>
          <w:b w:val="false"/>
          <w:bCs w:val="false"/>
          <w:i w:val="false"/>
          <w:iCs w:val="false"/>
          <w:sz w:val="22"/>
          <w:szCs w:val="22"/>
        </w:rPr>
        <w:t xml:space="preserve">The decision was deliberate: rather than show a half-empty tab on Lite with mostly "—" cells, we route Lite teams through the dedicated pages that actually serve them better — </w:t>
      </w:r>
      <w:r>
        <w:rPr>
          <w:rFonts w:ascii="Arial" w:cs="Arial" w:eastAsia="Arial" w:hAnsi="Arial"/>
          <w:b/>
          <w:bCs/>
          <w:i w:val="false"/>
          <w:iCs w:val="false"/>
          <w:sz w:val="22"/>
          <w:szCs w:val="22"/>
        </w:rPr>
        <w:t xml:space="preserve">Load Intelligence</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Quadrant View</w:t>
      </w:r>
      <w:r>
        <w:rPr>
          <w:rFonts w:ascii="Arial" w:cs="Arial" w:eastAsia="Arial" w:hAnsi="Arial"/>
          <w:b w:val="false"/>
          <w:bCs w:val="false"/>
          <w:i w:val="false"/>
          <w:iCs w:val="false"/>
          <w:sz w:val="22"/>
          <w:szCs w:val="22"/>
        </w:rPr>
        <w:t xml:space="preserve">, </w:t>
      </w:r>
      <w:r>
        <w:rPr>
          <w:rFonts w:ascii="Arial" w:cs="Arial" w:eastAsia="Arial" w:hAnsi="Arial"/>
          <w:b/>
          <w:bCs/>
          <w:i w:val="false"/>
          <w:iCs w:val="false"/>
          <w:sz w:val="22"/>
          <w:szCs w:val="22"/>
        </w:rPr>
        <w:t xml:space="preserve">HSR Intelligence</w:t>
      </w:r>
      <w:r>
        <w:rPr>
          <w:rFonts w:ascii="Arial" w:cs="Arial" w:eastAsia="Arial" w:hAnsi="Arial"/>
          <w:b w:val="false"/>
          <w:bCs w:val="false"/>
          <w:i w:val="false"/>
          <w:iCs w:val="false"/>
          <w:sz w:val="22"/>
          <w:szCs w:val="22"/>
        </w:rPr>
        <w:t xml:space="preserve">, and the per-row GPS summary inside </w:t>
      </w:r>
      <w:r>
        <w:rPr>
          <w:rFonts w:ascii="Arial" w:cs="Arial" w:eastAsia="Arial" w:hAnsi="Arial"/>
          <w:b/>
          <w:bCs/>
          <w:i w:val="false"/>
          <w:iCs w:val="false"/>
          <w:sz w:val="22"/>
          <w:szCs w:val="22"/>
        </w:rPr>
        <w:t xml:space="preserve">Decision Summary on Today</w:t>
      </w:r>
      <w:r>
        <w:rPr>
          <w:rFonts w:ascii="Arial" w:cs="Arial" w:eastAsia="Arial" w:hAnsi="Arial"/>
          <w:b w:val="false"/>
          <w:bCs w:val="false"/>
          <w:i w:val="false"/>
          <w:iCs w:val="false"/>
          <w:sz w:val="22"/>
          <w:szCs w:val="22"/>
        </w:rPr>
        <w:t xml:space="preserve">.</w:t>
      </w:r>
    </w:p>
    <w:p>
      <w:pPr>
        <w:pStyle w:val="Heading1"/>
        <w:spacing w:after="180" w:before="360"/>
      </w:pPr>
      <w:r>
        <w:rPr>
          <w:rFonts w:ascii="Arial" w:cs="Arial" w:eastAsia="Arial" w:hAnsi="Arial"/>
          <w:b/>
          <w:bCs/>
          <w:color w:val="1F3A8A"/>
          <w:sz w:val="36"/>
          <w:szCs w:val="36"/>
        </w:rPr>
        <w:t xml:space="preserve">2. What the GPS Data tab shows on Pro</w:t>
      </w:r>
    </w:p>
    <w:p>
      <w:pPr>
        <w:spacing w:after="120"/>
      </w:pPr>
      <w:r>
        <w:rPr>
          <w:rFonts w:ascii="Arial" w:cs="Arial" w:eastAsia="Arial" w:hAnsi="Arial"/>
          <w:sz w:val="22"/>
          <w:szCs w:val="22"/>
        </w:rPr>
        <w:t xml:space="preserve">Even though Lite teams can't see the tab directly, it's worth knowing what it would show — for two reasons: (1) the same data is mostly visible elsewhere on Lite, just split across different pages; (2) when you upgrade to Pro this is what unlocks.</w:t>
      </w:r>
    </w:p>
    <w:p>
      <w:pPr>
        <w:pStyle w:val="Heading3"/>
        <w:spacing w:after="100" w:before="220"/>
      </w:pPr>
      <w:r>
        <w:rPr>
          <w:rFonts w:ascii="Arial" w:cs="Arial" w:eastAsia="Arial" w:hAnsi="Arial"/>
          <w:b/>
          <w:bCs/>
          <w:color w:val="2563EB"/>
          <w:sz w:val="24"/>
          <w:szCs w:val="24"/>
        </w:rPr>
        <w:t xml:space="preserve">Section A — Date Navigator</w:t>
      </w:r>
    </w:p>
    <w:p>
      <w:pPr>
        <w:spacing w:after="120"/>
      </w:pPr>
      <w:r>
        <w:rPr>
          <w:rFonts w:ascii="Arial" w:cs="Arial" w:eastAsia="Arial" w:hAnsi="Arial"/>
          <w:sz w:val="22"/>
          <w:szCs w:val="22"/>
        </w:rPr>
        <w:t xml:space="preserve">A strip at the top of the page with previous-day / next-day arrow buttons, a date picker, and a "Today" jump button. Lets the coach time-travel through historical sessions to see what each player did on any past day.</w:t>
      </w:r>
    </w:p>
    <w:p>
      <w:pPr>
        <w:pStyle w:val="Heading3"/>
        <w:spacing w:after="100" w:before="220"/>
      </w:pPr>
      <w:r>
        <w:rPr>
          <w:rFonts w:ascii="Arial" w:cs="Arial" w:eastAsia="Arial" w:hAnsi="Arial"/>
          <w:b/>
          <w:bCs/>
          <w:color w:val="2563EB"/>
          <w:sz w:val="24"/>
          <w:szCs w:val="24"/>
        </w:rPr>
        <w:t xml:space="preserve">Section B — Cumulative Weekly Load</w:t>
      </w:r>
    </w:p>
    <w:p>
      <w:pPr>
        <w:spacing w:after="120"/>
      </w:pPr>
      <w:r>
        <w:rPr>
          <w:rFonts w:ascii="Arial" w:cs="Arial" w:eastAsia="Arial" w:hAnsi="Arial"/>
          <w:sz w:val="22"/>
          <w:szCs w:val="22"/>
        </w:rPr>
        <w:t xml:space="preserve">A team-level cumulative load chart for the current micro-cycle. Shows total distance, HSR, accels, decels accumulated day-by-day across the past 7 days. Lets you see whether the week is front-loaded, back-loaded, or evenly distributed.</w:t>
      </w:r>
    </w:p>
    <w:p>
      <w:pPr>
        <w:pStyle w:val="Heading3"/>
        <w:spacing w:after="100" w:before="220"/>
      </w:pPr>
      <w:r>
        <w:rPr>
          <w:rFonts w:ascii="Arial" w:cs="Arial" w:eastAsia="Arial" w:hAnsi="Arial"/>
          <w:b/>
          <w:bCs/>
          <w:color w:val="2563EB"/>
          <w:sz w:val="24"/>
          <w:szCs w:val="24"/>
        </w:rPr>
        <w:t xml:space="preserve">Section C — Today's Training Overview</w:t>
      </w:r>
    </w:p>
    <w:p>
      <w:pPr>
        <w:spacing w:after="120"/>
      </w:pPr>
      <w:r>
        <w:rPr>
          <w:rFonts w:ascii="Arial" w:cs="Arial" w:eastAsia="Arial" w:hAnsi="Arial"/>
          <w:sz w:val="22"/>
          <w:szCs w:val="22"/>
        </w:rPr>
        <w:t xml:space="preserve">A card that combines four squad-average KPI tiles (Total Distance, High-Speed Dist, Accel B2-3, Decel B2-3 for football; Player Load, PL/min, IMA COD, IMA Accels for basketball) with a per-player table sortable by total distance.</w:t>
      </w:r>
    </w:p>
    <w:p>
      <w:pPr>
        <w:pStyle w:val="Heading3"/>
        <w:spacing w:after="100" w:before="220"/>
      </w:pPr>
      <w:r>
        <w:rPr>
          <w:rFonts w:ascii="Arial" w:cs="Arial" w:eastAsia="Arial" w:hAnsi="Arial"/>
          <w:b/>
          <w:bCs/>
          <w:color w:val="2563EB"/>
          <w:sz w:val="24"/>
          <w:szCs w:val="24"/>
        </w:rPr>
        <w:t xml:space="preserve">Section D — Per-player table columns (football)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4500"/>
        <w:gridCol w:w="3880"/>
      </w:tblGrid>
      <w:tr>
        <w:trPr>
          <w:tblHeader/>
        </w:trPr>
        <w:tc>
          <w:tcPr>
            <w:tcW w:type="dxa" w:w="17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4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it shows</w:t>
            </w:r>
          </w:p>
        </w:tc>
        <w:tc>
          <w:tcPr>
            <w:tcW w:type="dxa" w:w="38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Available on Lite Catapult?</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Tot Dist (m)</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Total distance covered in the session.</w:t>
            </w:r>
          </w:p>
        </w:tc>
        <w:tc>
          <w:tcPr>
            <w:tcW w:type="dxa" w:w="388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Yes — universal</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HS Dist (m)</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High-speed distance — sum of velocity band 5 + band 6.</w:t>
            </w:r>
          </w:p>
        </w:tc>
        <w:tc>
          <w:tcPr>
            <w:tcW w:type="dxa" w:w="388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Yes — universal</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Accels (#)</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Total acceleration count across all bands.</w:t>
            </w:r>
          </w:p>
        </w:tc>
        <w:tc>
          <w:tcPr>
            <w:tcW w:type="dxa" w:w="388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Yes (`tot_as`)</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Decels (#)</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Total deceleration count across all bands.</w:t>
            </w:r>
          </w:p>
        </w:tc>
        <w:tc>
          <w:tcPr>
            <w:tcW w:type="dxa" w:w="388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Yes (`tot_ds`)</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Acc B2-3</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High-intensity acceleration efforts (Gen 2).</w:t>
            </w:r>
          </w:p>
        </w:tc>
        <w:tc>
          <w:tcPr>
            <w:tcW w:type="dxa" w:w="3880"/>
            <w:tcBorders>
              <w:top w:val="single" w:color="CBD5E1" w:sz="4"/>
              <w:left w:val="single" w:color="CBD5E1" w:sz="4"/>
              <w:bottom w:val="single" w:color="CBD5E1" w:sz="4"/>
              <w:right w:val="single" w:color="CBD5E1" w:sz="4"/>
            </w:tcBorders>
            <w:shd w:fill="E5E7EB" w:val="clear"/>
            <w:tcMar>
              <w:top w:type="dxa" w:w="90"/>
              <w:left w:type="dxa" w:w="120"/>
              <w:bottom w:type="dxa" w:w="90"/>
              <w:right w:type="dxa" w:w="120"/>
            </w:tcMar>
          </w:tcPr>
          <w:p>
            <w:r>
              <w:rPr>
                <w:rFonts w:ascii="Arial" w:cs="Arial" w:eastAsia="Arial" w:hAnsi="Arial"/>
                <w:b/>
                <w:bCs/>
                <w:color w:val="6B7280"/>
                <w:sz w:val="20"/>
                <w:szCs w:val="20"/>
              </w:rPr>
              <w:t xml:space="preserve">No — Pro only</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Dec B2-3</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High-intensity deceleration efforts (Gen 2). McBurnie 2022 input.</w:t>
            </w:r>
          </w:p>
        </w:tc>
        <w:tc>
          <w:tcPr>
            <w:tcW w:type="dxa" w:w="3880"/>
            <w:tcBorders>
              <w:top w:val="single" w:color="CBD5E1" w:sz="4"/>
              <w:left w:val="single" w:color="CBD5E1" w:sz="4"/>
              <w:bottom w:val="single" w:color="CBD5E1" w:sz="4"/>
              <w:right w:val="single" w:color="CBD5E1" w:sz="4"/>
            </w:tcBorders>
            <w:shd w:fill="E5E7EB" w:val="clear"/>
            <w:tcMar>
              <w:top w:type="dxa" w:w="90"/>
              <w:left w:type="dxa" w:w="120"/>
              <w:bottom w:type="dxa" w:w="90"/>
              <w:right w:type="dxa" w:w="120"/>
            </w:tcMar>
          </w:tcPr>
          <w:p>
            <w:r>
              <w:rPr>
                <w:rFonts w:ascii="Arial" w:cs="Arial" w:eastAsia="Arial" w:hAnsi="Arial"/>
                <w:b/>
                <w:bCs/>
                <w:color w:val="6B7280"/>
                <w:sz w:val="20"/>
                <w:szCs w:val="20"/>
              </w:rPr>
              <w:t xml:space="preserve">No — Pro only</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Avg HR</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Average heart rate during the session.</w:t>
            </w:r>
          </w:p>
        </w:tc>
        <w:tc>
          <w:tcPr>
            <w:tcW w:type="dxa" w:w="38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Yes if HR strap is paired</w:t>
            </w:r>
          </w:p>
        </w:tc>
      </w:tr>
      <w:tr>
        <w:tc>
          <w:tcPr>
            <w:tcW w:type="dxa" w:w="17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Max HR</w:t>
            </w:r>
          </w:p>
        </w:tc>
        <w:tc>
          <w:tcPr>
            <w:tcW w:type="dxa" w:w="4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Peak heart rate during the session.</w:t>
            </w:r>
          </w:p>
        </w:tc>
        <w:tc>
          <w:tcPr>
            <w:tcW w:type="dxa" w:w="38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Yes if HR strap is paired</w:t>
            </w:r>
          </w:p>
        </w:tc>
      </w:tr>
    </w:tbl>
    <w:p>
      <w:pPr>
        <w:spacing w:after="60"/>
      </w:pPr>
      <w:r>
        <w:t xml:space="preserve"/>
      </w:r>
    </w:p>
    <w:p>
      <w:pPr>
        <w:pStyle w:val="Heading3"/>
        <w:spacing w:after="100" w:before="220"/>
      </w:pPr>
      <w:r>
        <w:rPr>
          <w:rFonts w:ascii="Arial" w:cs="Arial" w:eastAsia="Arial" w:hAnsi="Arial"/>
          <w:b/>
          <w:bCs/>
          <w:color w:val="2563EB"/>
          <w:sz w:val="24"/>
          <w:szCs w:val="24"/>
        </w:rPr>
        <w:t xml:space="preserve">Section E — Manual GPS Entry</w:t>
      </w:r>
    </w:p>
    <w:p>
      <w:pPr>
        <w:spacing w:after="120"/>
      </w:pPr>
      <w:r>
        <w:rPr>
          <w:rFonts w:ascii="Arial" w:cs="Arial" w:eastAsia="Arial" w:hAnsi="Arial"/>
          <w:b w:val="false"/>
          <w:bCs w:val="false"/>
          <w:i w:val="false"/>
          <w:iCs w:val="false"/>
          <w:sz w:val="22"/>
          <w:szCs w:val="22"/>
        </w:rPr>
        <w:t xml:space="preserve">At the bottom of the tab is a manual entry form (</w:t>
      </w:r>
      <w:r>
        <w:rPr>
          <w:rFonts w:ascii="Arial" w:cs="Arial" w:eastAsia="Arial" w:hAnsi="Arial"/>
          <w:b w:val="false"/>
          <w:bCs w:val="false"/>
          <w:i/>
          <w:iCs/>
          <w:sz w:val="22"/>
          <w:szCs w:val="22"/>
        </w:rPr>
        <w:t xml:space="preserve">CoachGpsManualEntry</w:t>
      </w:r>
      <w:r>
        <w:rPr>
          <w:rFonts w:ascii="Arial" w:cs="Arial" w:eastAsia="Arial" w:hAnsi="Arial"/>
          <w:b w:val="false"/>
          <w:bCs w:val="false"/>
          <w:i w:val="false"/>
          <w:iCs w:val="false"/>
          <w:sz w:val="22"/>
          <w:szCs w:val="22"/>
        </w:rPr>
        <w:t xml:space="preserve">) for filling in load data on days when Catapult sync didn't capture a session — for example a strength session or an off-site training run. This sub-component IS available on Lite </w:t>
      </w:r>
      <w:r>
        <w:rPr>
          <w:rFonts w:ascii="Arial" w:cs="Arial" w:eastAsia="Arial" w:hAnsi="Arial"/>
          <w:b w:val="false"/>
          <w:bCs w:val="false"/>
          <w:i/>
          <w:iCs/>
          <w:sz w:val="22"/>
          <w:szCs w:val="22"/>
        </w:rPr>
        <w:t xml:space="preserve">if you can reach it</w:t>
      </w:r>
      <w:r>
        <w:rPr>
          <w:rFonts w:ascii="Arial" w:cs="Arial" w:eastAsia="Arial" w:hAnsi="Arial"/>
          <w:b w:val="false"/>
          <w:bCs w:val="false"/>
          <w:i w:val="false"/>
          <w:iCs w:val="false"/>
          <w:sz w:val="22"/>
          <w:szCs w:val="22"/>
        </w:rPr>
        <w:t xml:space="preserve"> — but on Lite the parent tab is locked, so the entry form is also out of reach. To enter load manually on Lite, use the Catapult Upload page (sidebar → Monitoring → Catapult Upload).</w:t>
      </w:r>
    </w:p>
    <w:p>
      <w:pPr>
        <w:pStyle w:val="Heading1"/>
        <w:spacing w:after="180" w:before="360"/>
      </w:pPr>
      <w:r>
        <w:rPr>
          <w:rFonts w:ascii="Arial" w:cs="Arial" w:eastAsia="Arial" w:hAnsi="Arial"/>
          <w:b/>
          <w:bCs/>
          <w:color w:val="1F3A8A"/>
          <w:sz w:val="36"/>
          <w:szCs w:val="36"/>
        </w:rPr>
        <w:t xml:space="preserve">3. Where the equivalent data lives on Lite</w:t>
      </w:r>
    </w:p>
    <w:p>
      <w:pPr>
        <w:spacing w:after="120"/>
      </w:pPr>
      <w:r>
        <w:rPr>
          <w:rFonts w:ascii="Arial" w:cs="Arial" w:eastAsia="Arial" w:hAnsi="Arial"/>
          <w:sz w:val="22"/>
          <w:szCs w:val="22"/>
        </w:rPr>
        <w:t xml:space="preserve">Almost everything the GPS Data tab shows is available on Lite — just split across other pages. Here's the 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rPr>
          <w:tblHeader/>
        </w:trPr>
        <w:tc>
          <w:tcPr>
            <w:tcW w:type="dxa" w:w="30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What you want to see</w:t>
            </w:r>
          </w:p>
        </w:tc>
        <w:tc>
          <w:tcPr>
            <w:tcW w:type="dxa" w:w="3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Lite location</w:t>
            </w:r>
          </w:p>
        </w:tc>
        <w:tc>
          <w:tcPr>
            <w:tcW w:type="dxa" w:w="35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How to get there</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Per-player session detail for today (total distance, HSR)</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Decision Summary card on Today</w:t>
            </w:r>
          </w:p>
        </w:tc>
        <w:tc>
          <w:tcPr>
            <w:tcW w:type="dxa" w:w="3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Open /coach (default tab). Each player's row shows yesterday's GPS load: total distance, HSR, sprint distance, NBS.</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Per-player 7d / 28d / ACWR per metric</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Squad Load table on Quadrant View</w:t>
            </w:r>
          </w:p>
        </w:tc>
        <w:tc>
          <w:tcPr>
            <w:tcW w:type="dxa" w:w="3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Open /coach/quadrant. The Squad Load table below the chart shows acute, chronic and ACWR per metric, with Lite-tier metric set (Total Dist, HSR, Sprint, Vel B5, Vel B6, Sprint Efforts, Max V).</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External GPS signals (NBS, HID% trend, PL spike)</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GPS Load Intelligence card on Load Intelligence</w:t>
            </w:r>
          </w:p>
        </w:tc>
        <w:tc>
          <w:tcPr>
            <w:tcW w:type="dxa" w:w="3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Open /coach/load-intelligence. The first card on the page shows per-player external signals computed from Catapult.</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Cumulative weekly load chart</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Currently Pro-only on this page</w:t>
            </w:r>
          </w:p>
        </w:tc>
        <w:tc>
          <w:tcPr>
            <w:tcW w:type="dxa" w:w="3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On Lite the closest substitute is Foster Monotony &amp; Strain (Load Intelligence) which gives weekly load + day-to-day variability.</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Date-by-date browse (time travel)</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Not available on Lite outside of dedicated pages</w:t>
            </w:r>
          </w:p>
        </w:tc>
        <w:tc>
          <w:tcPr>
            <w:tcW w:type="dxa" w:w="3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Use the date selectors on /coach/quadrant (7/14/28 day window) and /coach/indoor-load (sparkline) for historical context.</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Squad-average KPI tiles for today</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Not directly — but Decision Summary + Quadrant counts give the same team-state read</w:t>
            </w:r>
          </w:p>
        </w:tc>
        <w:tc>
          <w:tcPr>
            <w:tcW w:type="dxa" w:w="3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Open /coach (Today tab) and read the Full / Reduced / Recovery counts in the Today Command Centre.</w:t>
            </w:r>
          </w:p>
        </w:tc>
      </w:tr>
      <w:tr>
        <w:tc>
          <w:tcPr>
            <w:tcW w:type="dxa" w:w="30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Manual entry of GPS data</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Catapult Upload page</w:t>
            </w:r>
          </w:p>
        </w:tc>
        <w:tc>
          <w:tcPr>
            <w:tcW w:type="dxa" w:w="35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Open /coach/catapult-upload. The page has a 3-step wizard for uploading CSV exports from Catapult OpenField.</w:t>
            </w:r>
          </w:p>
        </w:tc>
      </w:tr>
    </w:tbl>
    <w:p>
      <w:pPr>
        <w:spacing w:after="80"/>
      </w:pPr>
      <w:r>
        <w:t xml:space="preserve"/>
      </w:r>
    </w:p>
    <w:p>
      <w:pPr>
        <w:pStyle w:val="Heading1"/>
        <w:spacing w:after="180" w:before="360"/>
      </w:pPr>
      <w:r>
        <w:rPr>
          <w:rFonts w:ascii="Arial" w:cs="Arial" w:eastAsia="Arial" w:hAnsi="Arial"/>
          <w:b/>
          <w:bCs/>
          <w:color w:val="1F3A8A"/>
          <w:sz w:val="36"/>
          <w:szCs w:val="36"/>
        </w:rPr>
        <w:t xml:space="preserve">4. Workflow — running your day without the GPS Data tab</w:t>
      </w:r>
    </w:p>
    <w:p>
      <w:pPr>
        <w:spacing w:after="120"/>
      </w:pPr>
      <w:r>
        <w:rPr>
          <w:rFonts w:ascii="Arial" w:cs="Arial" w:eastAsia="Arial" w:hAnsi="Arial"/>
          <w:sz w:val="22"/>
          <w:szCs w:val="22"/>
        </w:rPr>
        <w:t xml:space="preserve">Here is the recommended Lite-tier morning routine to cover everything the GPS Data tab would have given you, using the pages you do have access to.</w:t>
      </w:r>
    </w:p>
    <w:p>
      <w:pPr>
        <w:pStyle w:val="Heading3"/>
        <w:spacing w:after="100" w:before="220"/>
      </w:pPr>
      <w:r>
        <w:rPr>
          <w:rFonts w:ascii="Arial" w:cs="Arial" w:eastAsia="Arial" w:hAnsi="Arial"/>
          <w:b/>
          <w:bCs/>
          <w:color w:val="2563EB"/>
          <w:sz w:val="24"/>
          <w:szCs w:val="24"/>
        </w:rPr>
        <w:t xml:space="preserve">Step 1 — Sync GPS data (1 min)</w:t>
      </w:r>
    </w:p>
    <w:p>
      <w:pPr>
        <w:pStyle w:val="ListParagraph"/>
        <w:numPr>
          <w:ilvl w:val="0"/>
          <w:numId w:val="2"/>
        </w:numPr>
        <w:spacing w:after="80"/>
      </w:pPr>
      <w:r>
        <w:rPr>
          <w:rFonts w:ascii="Arial" w:cs="Arial" w:eastAsia="Arial" w:hAnsi="Arial"/>
          <w:sz w:val="22"/>
          <w:szCs w:val="22"/>
        </w:rPr>
        <w:t xml:space="preserve">On Today tab, click the Sync Catapult button in the Today Command Centre. This pulls the latest sessions from Catapult OpenField into MicroPulse.</w:t>
      </w:r>
    </w:p>
    <w:p>
      <w:pPr>
        <w:pStyle w:val="ListParagraph"/>
        <w:numPr>
          <w:ilvl w:val="0"/>
          <w:numId w:val="2"/>
        </w:numPr>
        <w:spacing w:after="80"/>
      </w:pPr>
      <w:r>
        <w:rPr>
          <w:rFonts w:ascii="Arial" w:cs="Arial" w:eastAsia="Arial" w:hAnsi="Arial"/>
          <w:sz w:val="22"/>
          <w:szCs w:val="22"/>
        </w:rPr>
        <w:t xml:space="preserve">Alternatively, if your data isn't auto-syncing yet, open Catapult Upload (/coach/catapult-upload) and drop the CSV from OpenField → Activities → Export.</w:t>
      </w:r>
    </w:p>
    <w:p>
      <w:pPr>
        <w:pStyle w:val="Heading3"/>
        <w:spacing w:after="100" w:before="220"/>
      </w:pPr>
      <w:r>
        <w:rPr>
          <w:rFonts w:ascii="Arial" w:cs="Arial" w:eastAsia="Arial" w:hAnsi="Arial"/>
          <w:b/>
          <w:bCs/>
          <w:color w:val="2563EB"/>
          <w:sz w:val="24"/>
          <w:szCs w:val="24"/>
        </w:rPr>
        <w:t xml:space="preserve">Step 2 — Per-player session check (3 min)</w:t>
      </w:r>
    </w:p>
    <w:p>
      <w:pPr>
        <w:pStyle w:val="ListParagraph"/>
        <w:numPr>
          <w:ilvl w:val="0"/>
          <w:numId w:val="2"/>
        </w:numPr>
        <w:spacing w:after="80"/>
      </w:pPr>
      <w:r>
        <w:rPr>
          <w:rFonts w:ascii="Arial" w:cs="Arial" w:eastAsia="Arial" w:hAnsi="Arial"/>
          <w:sz w:val="22"/>
          <w:szCs w:val="22"/>
        </w:rPr>
        <w:t xml:space="preserve">Stay on Today. Scroll to Decision Summary.</w:t>
      </w:r>
    </w:p>
    <w:p>
      <w:pPr>
        <w:pStyle w:val="ListParagraph"/>
        <w:numPr>
          <w:ilvl w:val="0"/>
          <w:numId w:val="2"/>
        </w:numPr>
        <w:spacing w:after="80"/>
      </w:pPr>
      <w:r>
        <w:rPr>
          <w:rFonts w:ascii="Arial" w:cs="Arial" w:eastAsia="Arial" w:hAnsi="Arial"/>
          <w:sz w:val="22"/>
          <w:szCs w:val="22"/>
        </w:rPr>
        <w:t xml:space="preserve">Each player's row shows their yesterday GPS load — total distance, HSR, sprint distance, NBS — alongside the decision verdict. This covers what the GPS Data tab would have shown for the most recent session.</w:t>
      </w:r>
    </w:p>
    <w:p>
      <w:pPr>
        <w:pStyle w:val="ListParagraph"/>
        <w:numPr>
          <w:ilvl w:val="0"/>
          <w:numId w:val="2"/>
        </w:numPr>
        <w:spacing w:after="80"/>
      </w:pPr>
      <w:r>
        <w:rPr>
          <w:rFonts w:ascii="Arial" w:cs="Arial" w:eastAsia="Arial" w:hAnsi="Arial"/>
          <w:sz w:val="22"/>
          <w:szCs w:val="22"/>
        </w:rPr>
        <w:t xml:space="preserve">Click the info button on any row for the full per-player breakdown (modal opens with all the load signals + wellness drivers + Decision Engine reasoning).</w:t>
      </w:r>
    </w:p>
    <w:p>
      <w:pPr>
        <w:pStyle w:val="Heading3"/>
        <w:spacing w:after="100" w:before="220"/>
      </w:pPr>
      <w:r>
        <w:rPr>
          <w:rFonts w:ascii="Arial" w:cs="Arial" w:eastAsia="Arial" w:hAnsi="Arial"/>
          <w:b/>
          <w:bCs/>
          <w:color w:val="2563EB"/>
          <w:sz w:val="24"/>
          <w:szCs w:val="24"/>
        </w:rPr>
        <w:t xml:space="preserve">Step 3 — Per-player chronic context (5 min)</w:t>
      </w:r>
    </w:p>
    <w:p>
      <w:pPr>
        <w:pStyle w:val="ListParagraph"/>
        <w:numPr>
          <w:ilvl w:val="0"/>
          <w:numId w:val="2"/>
        </w:numPr>
        <w:spacing w:after="80"/>
      </w:pPr>
      <w:r>
        <w:rPr>
          <w:rFonts w:ascii="Arial" w:cs="Arial" w:eastAsia="Arial" w:hAnsi="Arial"/>
          <w:sz w:val="22"/>
          <w:szCs w:val="22"/>
        </w:rPr>
        <w:t xml:space="preserve">Open Quadrant View (/coach/quadrant).</w:t>
      </w:r>
    </w:p>
    <w:p>
      <w:pPr>
        <w:pStyle w:val="ListParagraph"/>
        <w:numPr>
          <w:ilvl w:val="0"/>
          <w:numId w:val="2"/>
        </w:numPr>
        <w:spacing w:after="80"/>
      </w:pPr>
      <w:r>
        <w:rPr>
          <w:rFonts w:ascii="Arial" w:cs="Arial" w:eastAsia="Arial" w:hAnsi="Arial"/>
          <w:sz w:val="22"/>
          <w:szCs w:val="22"/>
        </w:rPr>
        <w:t xml:space="preserve">Scroll past the chart to the Squad Load table — it shows 7-day acute / 28-day chronic / ACWR per metric for every player.</w:t>
      </w:r>
    </w:p>
    <w:p>
      <w:pPr>
        <w:pStyle w:val="ListParagraph"/>
        <w:numPr>
          <w:ilvl w:val="0"/>
          <w:numId w:val="2"/>
        </w:numPr>
        <w:spacing w:after="80"/>
      </w:pPr>
      <w:r>
        <w:rPr>
          <w:rFonts w:ascii="Arial" w:cs="Arial" w:eastAsia="Arial" w:hAnsi="Arial"/>
          <w:sz w:val="22"/>
          <w:szCs w:val="22"/>
        </w:rPr>
        <w:t xml:space="preserve">This is the chronic load context the GPS Data tab would have provided. On Lite the table swaps out Pro-only B2-3 columns for HSR / Sprint / Max V columns instead.</w:t>
      </w:r>
    </w:p>
    <w:p>
      <w:pPr>
        <w:pStyle w:val="Heading3"/>
        <w:spacing w:after="100" w:before="220"/>
      </w:pPr>
      <w:r>
        <w:rPr>
          <w:rFonts w:ascii="Arial" w:cs="Arial" w:eastAsia="Arial" w:hAnsi="Arial"/>
          <w:b/>
          <w:bCs/>
          <w:color w:val="2563EB"/>
          <w:sz w:val="24"/>
          <w:szCs w:val="24"/>
        </w:rPr>
        <w:t xml:space="preserve">Step 4 — Team external load (2 min)</w:t>
      </w:r>
    </w:p>
    <w:p>
      <w:pPr>
        <w:pStyle w:val="ListParagraph"/>
        <w:numPr>
          <w:ilvl w:val="0"/>
          <w:numId w:val="2"/>
        </w:numPr>
        <w:spacing w:after="80"/>
      </w:pPr>
      <w:r>
        <w:rPr>
          <w:rFonts w:ascii="Arial" w:cs="Arial" w:eastAsia="Arial" w:hAnsi="Arial"/>
          <w:sz w:val="22"/>
          <w:szCs w:val="22"/>
        </w:rPr>
        <w:t xml:space="preserve">Open Load Intelligence (/coach/load-intelligence).</w:t>
      </w:r>
    </w:p>
    <w:p>
      <w:pPr>
        <w:pStyle w:val="ListParagraph"/>
        <w:numPr>
          <w:ilvl w:val="0"/>
          <w:numId w:val="2"/>
        </w:numPr>
        <w:spacing w:after="80"/>
      </w:pPr>
      <w:r>
        <w:rPr>
          <w:rFonts w:ascii="Arial" w:cs="Arial" w:eastAsia="Arial" w:hAnsi="Arial"/>
          <w:sz w:val="22"/>
          <w:szCs w:val="22"/>
        </w:rPr>
        <w:t xml:space="preserve">First card (GPS Load Intelligence) shows the per-player external signals — NBS, HID% trend, PL Spike — that work fully on Lite.</w:t>
      </w:r>
    </w:p>
    <w:p>
      <w:pPr>
        <w:pStyle w:val="ListParagraph"/>
        <w:numPr>
          <w:ilvl w:val="0"/>
          <w:numId w:val="2"/>
        </w:numPr>
        <w:spacing w:after="80"/>
      </w:pPr>
      <w:r>
        <w:rPr>
          <w:rFonts w:ascii="Arial" w:cs="Arial" w:eastAsia="Arial" w:hAnsi="Arial"/>
          <w:sz w:val="22"/>
          <w:szCs w:val="22"/>
        </w:rPr>
        <w:t xml:space="preserve">Second card (Foster Monotony &amp; Strain) gives weekly load + variability — covers the Cumulative Weekly Load section's role.</w:t>
      </w:r>
    </w:p>
    <w:p>
      <w:pPr>
        <w:pStyle w:val="Heading3"/>
        <w:spacing w:after="100" w:before="220"/>
      </w:pPr>
      <w:r>
        <w:rPr>
          <w:rFonts w:ascii="Arial" w:cs="Arial" w:eastAsia="Arial" w:hAnsi="Arial"/>
          <w:b/>
          <w:bCs/>
          <w:color w:val="2563EB"/>
          <w:sz w:val="24"/>
          <w:szCs w:val="24"/>
        </w:rPr>
        <w:t xml:space="preserve">Step 5 — Historical browse (when needed)</w:t>
      </w:r>
    </w:p>
    <w:p>
      <w:pPr>
        <w:pStyle w:val="ListParagraph"/>
        <w:numPr>
          <w:ilvl w:val="0"/>
          <w:numId w:val="2"/>
        </w:numPr>
        <w:spacing w:after="80"/>
      </w:pPr>
      <w:r>
        <w:rPr>
          <w:rFonts w:ascii="Arial" w:cs="Arial" w:eastAsia="Arial" w:hAnsi="Arial"/>
          <w:sz w:val="22"/>
          <w:szCs w:val="22"/>
        </w:rPr>
        <w:t xml:space="preserve">On Quadrant View, switch the time-window to 14d or 28d to see longer-term context.</w:t>
      </w:r>
    </w:p>
    <w:p>
      <w:pPr>
        <w:pStyle w:val="ListParagraph"/>
        <w:numPr>
          <w:ilvl w:val="0"/>
          <w:numId w:val="2"/>
        </w:numPr>
        <w:spacing w:after="80"/>
      </w:pPr>
      <w:r>
        <w:rPr>
          <w:rFonts w:ascii="Arial" w:cs="Arial" w:eastAsia="Arial" w:hAnsi="Arial"/>
          <w:sz w:val="22"/>
          <w:szCs w:val="22"/>
        </w:rPr>
        <w:t xml:space="preserve">On Indoor Load (if applicable) the 14-day sparkline gives day-by-day history.</w:t>
      </w:r>
    </w:p>
    <w:p>
      <w:pPr>
        <w:pStyle w:val="ListParagraph"/>
        <w:numPr>
          <w:ilvl w:val="0"/>
          <w:numId w:val="2"/>
        </w:numPr>
        <w:spacing w:after="80"/>
      </w:pPr>
      <w:r>
        <w:rPr>
          <w:rFonts w:ascii="Arial" w:cs="Arial" w:eastAsia="Arial" w:hAnsi="Arial"/>
          <w:sz w:val="22"/>
          <w:szCs w:val="22"/>
        </w:rPr>
        <w:t xml:space="preserve">There is no single Lite page that lets you time-travel through historical sessions one day at a time — that's a genuine GPS Data tab gap on Lite. If you need session-level historical detail, export from Catapult OpenField directly.</w:t>
      </w:r>
    </w:p>
    <w:p>
      <w:pPr>
        <w:pStyle w:val="Heading1"/>
        <w:spacing w:after="180" w:before="360"/>
      </w:pPr>
      <w:r>
        <w:rPr>
          <w:rFonts w:ascii="Arial" w:cs="Arial" w:eastAsia="Arial" w:hAnsi="Arial"/>
          <w:b/>
          <w:bCs/>
          <w:color w:val="1F3A8A"/>
          <w:sz w:val="36"/>
          <w:szCs w:val="36"/>
        </w:rPr>
        <w:t xml:space="preserve">5. Frequently asked questions</w:t>
      </w:r>
    </w:p>
    <w:p>
      <w:pPr>
        <w:pStyle w:val="Heading3"/>
        <w:spacing w:after="100" w:before="220"/>
      </w:pPr>
      <w:r>
        <w:rPr>
          <w:rFonts w:ascii="Arial" w:cs="Arial" w:eastAsia="Arial" w:hAnsi="Arial"/>
          <w:b/>
          <w:bCs/>
          <w:color w:val="2563EB"/>
          <w:sz w:val="24"/>
          <w:szCs w:val="24"/>
        </w:rPr>
        <w:t xml:space="preserve">Why does the GPS Data tab show a lock icon and a Pro upgrade screen?</w:t>
      </w:r>
    </w:p>
    <w:p>
      <w:pPr>
        <w:spacing w:after="120"/>
      </w:pPr>
      <w:r>
        <w:rPr>
          <w:rFonts w:ascii="Arial" w:cs="Arial" w:eastAsia="Arial" w:hAnsi="Arial"/>
          <w:sz w:val="22"/>
          <w:szCs w:val="22"/>
        </w:rPr>
        <w:t xml:space="preserve">The tab is gated behind Pro tier. The locked content is the per-player daily snapshot table — it requires 35 days of GPS history per player and renders fastest with Pro / Premium parameters available. On Lite, the equivalent insight is split across Today (per-player today) and Quadrant View (chronic context).</w:t>
      </w:r>
    </w:p>
    <w:p>
      <w:pPr>
        <w:pStyle w:val="Heading3"/>
        <w:spacing w:after="100" w:before="220"/>
      </w:pPr>
      <w:r>
        <w:rPr>
          <w:rFonts w:ascii="Arial" w:cs="Arial" w:eastAsia="Arial" w:hAnsi="Arial"/>
          <w:b/>
          <w:bCs/>
          <w:color w:val="2563EB"/>
          <w:sz w:val="24"/>
          <w:szCs w:val="24"/>
        </w:rPr>
        <w:t xml:space="preserve">If most of the data is available on Lite, why isn't the tab itself unlocked?</w:t>
      </w:r>
    </w:p>
    <w:p>
      <w:pPr>
        <w:spacing w:after="120"/>
      </w:pPr>
      <w:r>
        <w:rPr>
          <w:rFonts w:ascii="Arial" w:cs="Arial" w:eastAsia="Arial" w:hAnsi="Arial"/>
          <w:sz w:val="22"/>
          <w:szCs w:val="22"/>
        </w:rPr>
        <w:t xml:space="preserve">Two reasons. First, several columns the tab is built around (Accel B2-3, Decel B2-3) are genuinely Pro-only and would show as "—" on Lite — visually misleading. Second, the routing decision pushes Lite coaches to the pages that ARE built around their data (HSR Intelligence, Quadrant View Lite variant, Load Intelligence) rather than to a half-empty Pro view.</w:t>
      </w:r>
    </w:p>
    <w:p>
      <w:pPr>
        <w:pStyle w:val="Heading3"/>
        <w:spacing w:after="100" w:before="220"/>
      </w:pPr>
      <w:r>
        <w:rPr>
          <w:rFonts w:ascii="Arial" w:cs="Arial" w:eastAsia="Arial" w:hAnsi="Arial"/>
          <w:b/>
          <w:bCs/>
          <w:color w:val="2563EB"/>
          <w:sz w:val="24"/>
          <w:szCs w:val="24"/>
        </w:rPr>
        <w:t xml:space="preserve">How do I get GPS data into MicroPulse on Lite if I don't have the GPS Data tab?</w:t>
      </w:r>
    </w:p>
    <w:p>
      <w:pPr>
        <w:spacing w:after="120"/>
      </w:pPr>
      <w:r>
        <w:rPr>
          <w:rFonts w:ascii="Arial" w:cs="Arial" w:eastAsia="Arial" w:hAnsi="Arial"/>
          <w:sz w:val="22"/>
          <w:szCs w:val="22"/>
        </w:rPr>
        <w:t xml:space="preserve">Two ways: (1) connect Catapult OpenField to MicroPulse via Settings → Integrations and use the Sync Catapult button on Today; (2) for clubs without a direct Catapult API connection, export a CSV from OpenField (Activities → Export) and upload it through /coach/catapult-upload using the 3-step wizard.</w:t>
      </w:r>
    </w:p>
    <w:p>
      <w:pPr>
        <w:pStyle w:val="Heading3"/>
        <w:spacing w:after="100" w:before="220"/>
      </w:pPr>
      <w:r>
        <w:rPr>
          <w:rFonts w:ascii="Arial" w:cs="Arial" w:eastAsia="Arial" w:hAnsi="Arial"/>
          <w:b/>
          <w:bCs/>
          <w:color w:val="2563EB"/>
          <w:sz w:val="24"/>
          <w:szCs w:val="24"/>
        </w:rPr>
        <w:t xml:space="preserve">Where do I see today's session for a specific player?</w:t>
      </w:r>
    </w:p>
    <w:p>
      <w:pPr>
        <w:spacing w:after="120"/>
      </w:pPr>
      <w:r>
        <w:rPr>
          <w:rFonts w:ascii="Arial" w:cs="Arial" w:eastAsia="Arial" w:hAnsi="Arial"/>
          <w:sz w:val="22"/>
          <w:szCs w:val="22"/>
        </w:rPr>
        <w:t xml:space="preserve">On Today, find that player's row in Decision Summary. Yesterday's GPS load summary is shown alongside the decision verdict. For chronic context, open Quadrant View and look at their row in the Squad Load table — 7-day acute, 28-day chronic, and ACWR per metric.</w:t>
      </w:r>
    </w:p>
    <w:p>
      <w:pPr>
        <w:pStyle w:val="Heading3"/>
        <w:spacing w:after="100" w:before="220"/>
      </w:pPr>
      <w:r>
        <w:rPr>
          <w:rFonts w:ascii="Arial" w:cs="Arial" w:eastAsia="Arial" w:hAnsi="Arial"/>
          <w:b/>
          <w:bCs/>
          <w:color w:val="2563EB"/>
          <w:sz w:val="24"/>
          <w:szCs w:val="24"/>
        </w:rPr>
        <w:t xml:space="preserve">Can I export the daily session data?</w:t>
      </w:r>
    </w:p>
    <w:p>
      <w:pPr>
        <w:spacing w:after="120"/>
      </w:pPr>
      <w:r>
        <w:rPr>
          <w:rFonts w:ascii="Arial" w:cs="Arial" w:eastAsia="Arial" w:hAnsi="Arial"/>
          <w:sz w:val="22"/>
          <w:szCs w:val="22"/>
        </w:rPr>
        <w:t xml:space="preserve">Yes — through the Reporting Center (/coach/reporting-center), you can generate the Readiness Risk PDF and Post-Training PDF reports from any day. These cover most of what you would print from the GPS Data tab on Pro.</w:t>
      </w:r>
    </w:p>
    <w:p>
      <w:pPr>
        <w:pStyle w:val="Heading3"/>
        <w:spacing w:after="100" w:before="220"/>
      </w:pPr>
      <w:r>
        <w:rPr>
          <w:rFonts w:ascii="Arial" w:cs="Arial" w:eastAsia="Arial" w:hAnsi="Arial"/>
          <w:b/>
          <w:bCs/>
          <w:color w:val="2563EB"/>
          <w:sz w:val="24"/>
          <w:szCs w:val="24"/>
        </w:rPr>
        <w:t xml:space="preserve">Is there any way to see the per-day Cumulative Weekly Load on Lite?</w:t>
      </w:r>
    </w:p>
    <w:p>
      <w:pPr>
        <w:spacing w:after="120"/>
      </w:pPr>
      <w:r>
        <w:rPr>
          <w:rFonts w:ascii="Arial" w:cs="Arial" w:eastAsia="Arial" w:hAnsi="Arial"/>
          <w:sz w:val="22"/>
          <w:szCs w:val="22"/>
        </w:rPr>
        <w:t xml:space="preserve">Not as a chart on Lite. The closest substitutes are: Foster Monotony &amp; Strain (Load Intelligence) which gives weekly load + variability; and the Squad Load table on Quadrant View (acute / chronic / ACWR per metric, per player). For a true day-by-day cumulative chart you would need Pro.</w:t>
      </w:r>
    </w:p>
    <w:p>
      <w:pPr>
        <w:pStyle w:val="Heading1"/>
        <w:spacing w:after="180" w:before="360"/>
      </w:pPr>
      <w:r>
        <w:rPr>
          <w:rFonts w:ascii="Arial" w:cs="Arial" w:eastAsia="Arial" w:hAnsi="Arial"/>
          <w:b/>
          <w:bCs/>
          <w:color w:val="1F3A8A"/>
          <w:sz w:val="36"/>
          <w:szCs w:val="36"/>
        </w:rPr>
        <w:t xml:space="preserve">6. What unlocks if you upgrade to Pro</w:t>
      </w:r>
    </w:p>
    <w:p>
      <w:pPr>
        <w:spacing w:after="120"/>
      </w:pPr>
      <w:r>
        <w:rPr>
          <w:rFonts w:ascii="Arial" w:cs="Arial" w:eastAsia="Arial" w:hAnsi="Arial"/>
          <w:sz w:val="22"/>
          <w:szCs w:val="22"/>
        </w:rPr>
        <w:t xml:space="preserve">Specifically for the GPS Data tab, going Pro unlocks:</w:t>
      </w:r>
    </w:p>
    <w:p>
      <w:pPr>
        <w:pStyle w:val="ListParagraph"/>
        <w:numPr>
          <w:ilvl w:val="0"/>
          <w:numId w:val="2"/>
        </w:numPr>
        <w:spacing w:after="80"/>
      </w:pPr>
      <w:r>
        <w:rPr>
          <w:rFonts w:ascii="Arial" w:cs="Arial" w:eastAsia="Arial" w:hAnsi="Arial"/>
          <w:sz w:val="22"/>
          <w:szCs w:val="22"/>
        </w:rPr>
        <w:t xml:space="preserve">The whole tab itself — date navigator, weekly load chart, today's training overview card.</w:t>
      </w:r>
    </w:p>
    <w:p>
      <w:pPr>
        <w:pStyle w:val="ListParagraph"/>
        <w:numPr>
          <w:ilvl w:val="0"/>
          <w:numId w:val="2"/>
        </w:numPr>
        <w:spacing w:after="80"/>
      </w:pPr>
      <w:r>
        <w:rPr>
          <w:rFonts w:ascii="Arial" w:cs="Arial" w:eastAsia="Arial" w:hAnsi="Arial"/>
          <w:sz w:val="22"/>
          <w:szCs w:val="22"/>
        </w:rPr>
        <w:t xml:space="preserve">Two extra columns in the per-player table: Accel B2-3 Efforts (Gen 2) and Decel B2-3 Efforts (Gen 2) — McBurnie 2022 inputs.</w:t>
      </w:r>
    </w:p>
    <w:p>
      <w:pPr>
        <w:pStyle w:val="ListParagraph"/>
        <w:numPr>
          <w:ilvl w:val="0"/>
          <w:numId w:val="2"/>
        </w:numPr>
        <w:spacing w:after="80"/>
      </w:pPr>
      <w:r>
        <w:rPr>
          <w:rFonts w:ascii="Arial" w:cs="Arial" w:eastAsia="Arial" w:hAnsi="Arial"/>
          <w:sz w:val="22"/>
          <w:szCs w:val="22"/>
        </w:rPr>
        <w:t xml:space="preserve">Per-day time-travel through historical sessions with the date navigator.</w:t>
      </w:r>
    </w:p>
    <w:p>
      <w:pPr>
        <w:pStyle w:val="ListParagraph"/>
        <w:numPr>
          <w:ilvl w:val="0"/>
          <w:numId w:val="2"/>
        </w:numPr>
        <w:spacing w:after="80"/>
      </w:pPr>
      <w:r>
        <w:rPr>
          <w:rFonts w:ascii="Arial" w:cs="Arial" w:eastAsia="Arial" w:hAnsi="Arial"/>
          <w:sz w:val="22"/>
          <w:szCs w:val="22"/>
        </w:rPr>
        <w:t xml:space="preserve">Cumulative Weekly Load chart for the current micro-cycle.</w:t>
      </w:r>
    </w:p>
    <w:p>
      <w:pPr>
        <w:pStyle w:val="ListParagraph"/>
        <w:numPr>
          <w:ilvl w:val="0"/>
          <w:numId w:val="2"/>
        </w:numPr>
        <w:spacing w:after="80"/>
      </w:pPr>
      <w:r>
        <w:rPr>
          <w:rFonts w:ascii="Arial" w:cs="Arial" w:eastAsia="Arial" w:hAnsi="Arial"/>
          <w:sz w:val="22"/>
          <w:szCs w:val="22"/>
        </w:rPr>
        <w:t xml:space="preserve">Manual GPS entry form for filling in missing sessions inline (Lite has the same capability via /coach/catapult-upload).</w:t>
      </w:r>
    </w:p>
    <w:p>
      <w:pPr>
        <w:spacing w:after="120"/>
      </w:pPr>
      <w:r>
        <w:rPr>
          <w:rFonts w:ascii="Arial" w:cs="Arial" w:eastAsia="Arial" w:hAnsi="Arial"/>
          <w:sz w:val="22"/>
          <w:szCs w:val="22"/>
        </w:rPr>
        <w:t xml:space="preserve">Beyond the GPS Data tab itself, upgrading to Pro also unlocks the Squad and Load top-tabs, the Decel Intelligence page (McBurnie 2022 4-dimension framework), and the higher-fidelity columns in Quadrant View's Squad Load table.</w:t>
      </w:r>
    </w:p>
    <w:p>
      <w:pPr>
        <w:spacing w:after="120"/>
      </w:pPr>
      <w:r>
        <w:t xml:space="preserve"/>
      </w:r>
    </w:p>
    <w:p>
      <w:pPr>
        <w:pStyle w:val="Heading1"/>
        <w:spacing w:after="180" w:before="360"/>
      </w:pPr>
      <w:r>
        <w:rPr>
          <w:rFonts w:ascii="Arial" w:cs="Arial" w:eastAsia="Arial" w:hAnsi="Arial"/>
          <w:b/>
          <w:bCs/>
          <w:color w:val="1F3A8A"/>
          <w:sz w:val="36"/>
          <w:szCs w:val="36"/>
        </w:rPr>
        <w:t xml:space="preserve">7. Summary — GPS data access on Lite vs Pro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080"/>
      </w:tblGrid>
      <w:tr>
        <w:trPr>
          <w:tblHeader/>
        </w:trPr>
        <w:tc>
          <w:tcPr>
            <w:tcW w:type="dxa" w:w="3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350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Lite tier</w:t>
            </w:r>
          </w:p>
        </w:tc>
        <w:tc>
          <w:tcPr>
            <w:tcW w:type="dxa" w:w="3080"/>
            <w:tcBorders>
              <w:top w:val="single" w:color="CBD5E1" w:sz="4"/>
              <w:left w:val="single" w:color="CBD5E1" w:sz="4"/>
              <w:bottom w:val="single" w:color="CBD5E1" w:sz="4"/>
              <w:right w:val="single" w:color="CBD5E1" w:sz="4"/>
            </w:tcBorders>
            <w:shd w:fill="1F3A8A" w:val="clear"/>
            <w:tcMar>
              <w:top w:type="dxa" w:w="100"/>
              <w:left w:type="dxa" w:w="120"/>
              <w:bottom w:type="dxa" w:w="100"/>
              <w:right w:type="dxa" w:w="120"/>
            </w:tcMar>
          </w:tcPr>
          <w:p>
            <w:r>
              <w:rPr>
                <w:rFonts w:ascii="Arial" w:cs="Arial" w:eastAsia="Arial" w:hAnsi="Arial"/>
                <w:b/>
                <w:bCs/>
                <w:color w:val="FFFFFF"/>
                <w:sz w:val="20"/>
                <w:szCs w:val="20"/>
              </w:rPr>
              <w:t xml:space="preserve">Pro tier</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GPS Data top-tab on /coach</w:t>
            </w:r>
          </w:p>
        </w:tc>
        <w:tc>
          <w:tcPr>
            <w:tcW w:type="dxa" w:w="3500"/>
            <w:tcBorders>
              <w:top w:val="single" w:color="CBD5E1" w:sz="4"/>
              <w:left w:val="single" w:color="CBD5E1" w:sz="4"/>
              <w:bottom w:val="single" w:color="CBD5E1" w:sz="4"/>
              <w:right w:val="single" w:color="CBD5E1" w:sz="4"/>
            </w:tcBorders>
            <w:shd w:fill="E5E7EB" w:val="clear"/>
            <w:tcMar>
              <w:top w:type="dxa" w:w="90"/>
              <w:left w:type="dxa" w:w="120"/>
              <w:bottom w:type="dxa" w:w="90"/>
              <w:right w:type="dxa" w:w="120"/>
            </w:tcMar>
          </w:tcPr>
          <w:p>
            <w:r>
              <w:rPr>
                <w:rFonts w:ascii="Arial" w:cs="Arial" w:eastAsia="Arial" w:hAnsi="Arial"/>
                <w:b/>
                <w:bCs/>
                <w:color w:val="6B7280"/>
                <w:sz w:val="20"/>
                <w:szCs w:val="20"/>
              </w:rPr>
              <w:t xml:space="preserve">Locked (UpgradeWall)</w:t>
            </w:r>
          </w:p>
        </w:tc>
        <w:tc>
          <w:tcPr>
            <w:tcW w:type="dxa" w:w="308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Unlocked</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Per-player today's GPS load</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Via Decision Summary on Today</w:t>
            </w:r>
          </w:p>
        </w:tc>
        <w:tc>
          <w:tcPr>
            <w:tcW w:type="dxa" w:w="3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GPS Data tab + Decision Summary</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Per-player 7d / 28d / ACWR</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Via Squad Load on Quadrant View</w:t>
            </w:r>
          </w:p>
        </w:tc>
        <w:tc>
          <w:tcPr>
            <w:tcW w:type="dxa" w:w="3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GPS Data tab + Quadrant View</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External GPS signals (NBS, HID%, PL spike)</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Via Load Intelligence</w:t>
            </w:r>
          </w:p>
        </w:tc>
        <w:tc>
          <w:tcPr>
            <w:tcW w:type="dxa" w:w="3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GPS Data tab + Load Intelligence</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Cumulative weekly load chart</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Foster Monotony &amp; Strain proxy</w:t>
            </w:r>
          </w:p>
        </w:tc>
        <w:tc>
          <w:tcPr>
            <w:tcW w:type="dxa" w:w="3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Direct chart on GPS Data tab</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Date-by-date time travel</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Limited to Quadrant 7/14/28 + Indoor Load sparkline</w:t>
            </w:r>
          </w:p>
        </w:tc>
        <w:tc>
          <w:tcPr>
            <w:tcW w:type="dxa" w:w="3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Date navigator on GPS Data tab</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Manual GPS entry</w:t>
            </w:r>
          </w:p>
        </w:tc>
        <w:tc>
          <w:tcPr>
            <w:tcW w:type="dxa" w:w="350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Via Catapult Upload page</w:t>
            </w:r>
          </w:p>
        </w:tc>
        <w:tc>
          <w:tcPr>
            <w:tcW w:type="dxa" w:w="3080"/>
            <w:tcBorders>
              <w:top w:val="single" w:color="CBD5E1" w:sz="4"/>
              <w:left w:val="single" w:color="CBD5E1" w:sz="4"/>
              <w:bottom w:val="single" w:color="CBD5E1" w:sz="4"/>
              <w:right w:val="single" w:color="CBD5E1" w:sz="4"/>
            </w:tcBorders>
            <w:shd w:fill="FFFFFF" w:val="clear"/>
            <w:tcMar>
              <w:top w:type="dxa" w:w="90"/>
              <w:left w:type="dxa" w:w="120"/>
              <w:bottom w:type="dxa" w:w="90"/>
              <w:right w:type="dxa" w:w="120"/>
            </w:tcMar>
          </w:tcPr>
          <w:p>
            <w:r>
              <w:rPr>
                <w:rFonts w:ascii="Arial" w:cs="Arial" w:eastAsia="Arial" w:hAnsi="Arial"/>
                <w:b w:val="false"/>
                <w:bCs w:val="false"/>
                <w:color w:val="000000"/>
                <w:sz w:val="20"/>
                <w:szCs w:val="20"/>
              </w:rPr>
              <w:t xml:space="preserve">Inline on GPS Data tab + Catapult Upload</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Accel B2-3 / Decel B2-3 columns</w:t>
            </w:r>
          </w:p>
        </w:tc>
        <w:tc>
          <w:tcPr>
            <w:tcW w:type="dxa" w:w="3500"/>
            <w:tcBorders>
              <w:top w:val="single" w:color="CBD5E1" w:sz="4"/>
              <w:left w:val="single" w:color="CBD5E1" w:sz="4"/>
              <w:bottom w:val="single" w:color="CBD5E1" w:sz="4"/>
              <w:right w:val="single" w:color="CBD5E1" w:sz="4"/>
            </w:tcBorders>
            <w:shd w:fill="E5E7EB" w:val="clear"/>
            <w:tcMar>
              <w:top w:type="dxa" w:w="90"/>
              <w:left w:type="dxa" w:w="120"/>
              <w:bottom w:type="dxa" w:w="90"/>
              <w:right w:type="dxa" w:w="120"/>
            </w:tcMar>
          </w:tcPr>
          <w:p>
            <w:r>
              <w:rPr>
                <w:rFonts w:ascii="Arial" w:cs="Arial" w:eastAsia="Arial" w:hAnsi="Arial"/>
                <w:b/>
                <w:bCs/>
                <w:color w:val="6B7280"/>
                <w:sz w:val="20"/>
                <w:szCs w:val="20"/>
              </w:rPr>
              <w:t xml:space="preserve">Not available</w:t>
            </w:r>
          </w:p>
        </w:tc>
        <w:tc>
          <w:tcPr>
            <w:tcW w:type="dxa" w:w="308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Available</w:t>
            </w:r>
          </w:p>
        </w:tc>
      </w:tr>
      <w:tr>
        <w:tc>
          <w:tcPr>
            <w:tcW w:type="dxa" w:w="3500"/>
            <w:tcBorders>
              <w:top w:val="single" w:color="CBD5E1" w:sz="4"/>
              <w:left w:val="single" w:color="CBD5E1" w:sz="4"/>
              <w:bottom w:val="single" w:color="CBD5E1" w:sz="4"/>
              <w:right w:val="single" w:color="CBD5E1" w:sz="4"/>
            </w:tcBorders>
            <w:shd w:fill="F1F5F9" w:val="clear"/>
            <w:tcMar>
              <w:top w:type="dxa" w:w="90"/>
              <w:left w:type="dxa" w:w="120"/>
              <w:bottom w:type="dxa" w:w="90"/>
              <w:right w:type="dxa" w:w="120"/>
            </w:tcMar>
          </w:tcPr>
          <w:p>
            <w:r>
              <w:rPr>
                <w:rFonts w:ascii="Arial" w:cs="Arial" w:eastAsia="Arial" w:hAnsi="Arial"/>
                <w:b/>
                <w:bCs/>
                <w:color w:val="000000"/>
                <w:sz w:val="20"/>
                <w:szCs w:val="20"/>
              </w:rPr>
              <w:t xml:space="preserve">Decel Intelligence (McBurnie 2022)</w:t>
            </w:r>
          </w:p>
        </w:tc>
        <w:tc>
          <w:tcPr>
            <w:tcW w:type="dxa" w:w="3500"/>
            <w:tcBorders>
              <w:top w:val="single" w:color="CBD5E1" w:sz="4"/>
              <w:left w:val="single" w:color="CBD5E1" w:sz="4"/>
              <w:bottom w:val="single" w:color="CBD5E1" w:sz="4"/>
              <w:right w:val="single" w:color="CBD5E1" w:sz="4"/>
            </w:tcBorders>
            <w:shd w:fill="FEF3C7" w:val="clear"/>
            <w:tcMar>
              <w:top w:type="dxa" w:w="90"/>
              <w:left w:type="dxa" w:w="120"/>
              <w:bottom w:type="dxa" w:w="90"/>
              <w:right w:type="dxa" w:w="120"/>
            </w:tcMar>
          </w:tcPr>
          <w:p>
            <w:r>
              <w:rPr>
                <w:rFonts w:ascii="Arial" w:cs="Arial" w:eastAsia="Arial" w:hAnsi="Arial"/>
                <w:b/>
                <w:bCs/>
                <w:color w:val="92400E"/>
                <w:sz w:val="20"/>
                <w:szCs w:val="20"/>
              </w:rPr>
              <w:t xml:space="preserve">Not available — use HSR Intelligence</w:t>
            </w:r>
          </w:p>
        </w:tc>
        <w:tc>
          <w:tcPr>
            <w:tcW w:type="dxa" w:w="3080"/>
            <w:tcBorders>
              <w:top w:val="single" w:color="CBD5E1" w:sz="4"/>
              <w:left w:val="single" w:color="CBD5E1" w:sz="4"/>
              <w:bottom w:val="single" w:color="CBD5E1" w:sz="4"/>
              <w:right w:val="single" w:color="CBD5E1" w:sz="4"/>
            </w:tcBorders>
            <w:shd w:fill="DCFCE7" w:val="clear"/>
            <w:tcMar>
              <w:top w:type="dxa" w:w="90"/>
              <w:left w:type="dxa" w:w="120"/>
              <w:bottom w:type="dxa" w:w="90"/>
              <w:right w:type="dxa" w:w="120"/>
            </w:tcMar>
          </w:tcPr>
          <w:p>
            <w:r>
              <w:rPr>
                <w:rFonts w:ascii="Arial" w:cs="Arial" w:eastAsia="Arial" w:hAnsi="Arial"/>
                <w:b/>
                <w:bCs/>
                <w:color w:val="166534"/>
                <w:sz w:val="20"/>
                <w:szCs w:val="20"/>
              </w:rPr>
              <w:t xml:space="preserve">Available</w:t>
            </w:r>
          </w:p>
        </w:tc>
      </w:tr>
    </w:tbl>
    <w:p>
      <w:pPr>
        <w:spacing w:after="120"/>
      </w:pPr>
      <w:r>
        <w:t xml:space="preserve"/>
      </w:r>
    </w:p>
    <w:p>
      <w:pPr>
        <w:pStyle w:val="Heading1"/>
        <w:spacing w:after="180" w:before="360"/>
      </w:pPr>
      <w:r>
        <w:rPr>
          <w:rFonts w:ascii="Arial" w:cs="Arial" w:eastAsia="Arial" w:hAnsi="Arial"/>
          <w:b/>
          <w:bCs/>
          <w:color w:val="1F3A8A"/>
          <w:sz w:val="36"/>
          <w:szCs w:val="36"/>
        </w:rPr>
        <w:t xml:space="preserve">8. References</w:t>
      </w:r>
    </w:p>
    <w:p>
      <w:pPr>
        <w:spacing w:after="120"/>
      </w:pPr>
      <w:r>
        <w:rPr>
          <w:rFonts w:ascii="Arial" w:cs="Arial" w:eastAsia="Arial" w:hAnsi="Arial"/>
          <w:b/>
          <w:bCs/>
          <w:i w:val="false"/>
          <w:iCs w:val="false"/>
          <w:sz w:val="22"/>
          <w:szCs w:val="22"/>
        </w:rPr>
        <w:t xml:space="preserve">Gabbett TJ. </w:t>
      </w:r>
      <w:r>
        <w:rPr>
          <w:rFonts w:ascii="Arial" w:cs="Arial" w:eastAsia="Arial" w:hAnsi="Arial"/>
          <w:b w:val="false"/>
          <w:bCs w:val="false"/>
          <w:i w:val="false"/>
          <w:iCs w:val="false"/>
          <w:sz w:val="22"/>
          <w:szCs w:val="22"/>
        </w:rPr>
        <w:t xml:space="preserve">(2016). The training-injury prevention paradox: should athletes be training smarter and harder? </w:t>
      </w:r>
      <w:r>
        <w:rPr>
          <w:rFonts w:ascii="Arial" w:cs="Arial" w:eastAsia="Arial" w:hAnsi="Arial"/>
          <w:b w:val="false"/>
          <w:bCs w:val="false"/>
          <w:i/>
          <w:iCs/>
          <w:sz w:val="22"/>
          <w:szCs w:val="22"/>
        </w:rPr>
        <w:t xml:space="preserve">British Journal of Sports Medicine</w:t>
      </w:r>
      <w:r>
        <w:rPr>
          <w:rFonts w:ascii="Arial" w:cs="Arial" w:eastAsia="Arial" w:hAnsi="Arial"/>
          <w:b w:val="false"/>
          <w:bCs w:val="false"/>
          <w:i w:val="false"/>
          <w:iCs w:val="false"/>
          <w:sz w:val="22"/>
          <w:szCs w:val="22"/>
        </w:rPr>
        <w:t xml:space="preserve">, 50(5), 273-280.</w:t>
      </w:r>
    </w:p>
    <w:p>
      <w:pPr>
        <w:spacing w:after="120"/>
      </w:pPr>
      <w:r>
        <w:rPr>
          <w:rFonts w:ascii="Arial" w:cs="Arial" w:eastAsia="Arial" w:hAnsi="Arial"/>
          <w:b/>
          <w:bCs/>
          <w:i w:val="false"/>
          <w:iCs w:val="false"/>
          <w:sz w:val="22"/>
          <w:szCs w:val="22"/>
        </w:rPr>
        <w:t xml:space="preserve">McBurnie AJ, Harper DJ, Jones PA, Dos'Santos T. </w:t>
      </w:r>
      <w:r>
        <w:rPr>
          <w:rFonts w:ascii="Arial" w:cs="Arial" w:eastAsia="Arial" w:hAnsi="Arial"/>
          <w:b w:val="false"/>
          <w:bCs w:val="false"/>
          <w:i w:val="false"/>
          <w:iCs w:val="false"/>
          <w:sz w:val="22"/>
          <w:szCs w:val="22"/>
        </w:rPr>
        <w:t xml:space="preserve">(2022). Deceleration training in team sports: another potential 'vaccine' for sports-related injury? </w:t>
      </w:r>
      <w:r>
        <w:rPr>
          <w:rFonts w:ascii="Arial" w:cs="Arial" w:eastAsia="Arial" w:hAnsi="Arial"/>
          <w:b w:val="false"/>
          <w:bCs w:val="false"/>
          <w:i/>
          <w:iCs/>
          <w:sz w:val="22"/>
          <w:szCs w:val="22"/>
        </w:rPr>
        <w:t xml:space="preserve">Sports Medicine</w:t>
      </w:r>
      <w:r>
        <w:rPr>
          <w:rFonts w:ascii="Arial" w:cs="Arial" w:eastAsia="Arial" w:hAnsi="Arial"/>
          <w:b w:val="false"/>
          <w:bCs w:val="false"/>
          <w:i w:val="false"/>
          <w:iCs w:val="false"/>
          <w:sz w:val="22"/>
          <w:szCs w:val="22"/>
        </w:rPr>
        <w:t xml:space="preserve">, 52(1), 1-12.</w:t>
      </w:r>
    </w:p>
    <w:p>
      <w:pPr>
        <w:spacing w:after="120"/>
      </w:pPr>
      <w:r>
        <w:rPr>
          <w:rFonts w:ascii="Arial" w:cs="Arial" w:eastAsia="Arial" w:hAnsi="Arial"/>
          <w:b/>
          <w:bCs/>
          <w:i w:val="false"/>
          <w:iCs w:val="false"/>
          <w:sz w:val="22"/>
          <w:szCs w:val="22"/>
        </w:rPr>
        <w:t xml:space="preserve">Malone S, Owen A, Mendes B, Hughes B, Collins K, Gabbett TJ. </w:t>
      </w:r>
      <w:r>
        <w:rPr>
          <w:rFonts w:ascii="Arial" w:cs="Arial" w:eastAsia="Arial" w:hAnsi="Arial"/>
          <w:b w:val="false"/>
          <w:bCs w:val="false"/>
          <w:i w:val="false"/>
          <w:iCs w:val="false"/>
          <w:sz w:val="22"/>
          <w:szCs w:val="22"/>
        </w:rPr>
        <w:t xml:space="preserve">(2017). The acute:chronic workload ratio in relation to injury risk in professional soccer. </w:t>
      </w:r>
      <w:r>
        <w:rPr>
          <w:rFonts w:ascii="Arial" w:cs="Arial" w:eastAsia="Arial" w:hAnsi="Arial"/>
          <w:b w:val="false"/>
          <w:bCs w:val="false"/>
          <w:i/>
          <w:iCs/>
          <w:sz w:val="22"/>
          <w:szCs w:val="22"/>
        </w:rPr>
        <w:t xml:space="preserve">Journal of Science and Medicine in Sport</w:t>
      </w:r>
      <w:r>
        <w:rPr>
          <w:rFonts w:ascii="Arial" w:cs="Arial" w:eastAsia="Arial" w:hAnsi="Arial"/>
          <w:b w:val="false"/>
          <w:bCs w:val="false"/>
          <w:i w:val="false"/>
          <w:iCs w:val="false"/>
          <w:sz w:val="22"/>
          <w:szCs w:val="22"/>
        </w:rPr>
        <w:t xml:space="preserve">, 20(6), 561-565.</w:t>
      </w:r>
    </w:p>
    <w:p>
      <w:pPr>
        <w:spacing w:after="180"/>
      </w:pPr>
      <w:r>
        <w:t xml:space="preserve"/>
      </w:r>
    </w:p>
    <w:p>
      <w:pPr>
        <w:jc w:val="center"/>
      </w:pPr>
      <w:r>
        <w:rPr>
          <w:rFonts w:ascii="Arial" w:cs="Arial" w:eastAsia="Arial" w:hAnsi="Arial"/>
          <w:i/>
          <w:iCs/>
          <w:color w:val="94A3B8"/>
          <w:sz w:val="18"/>
          <w:szCs w:val="18"/>
        </w:rPr>
        <w:t xml:space="preserve">MicroPulse — GPS Data (Lite) Coach Guide · v1.0 · May 2026</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8"/>
        <w:szCs w:val="18"/>
      </w:rPr>
      <w:t xml:space="preserve">MicroPulse · GPS Data (Lite) Coach Guide · </w:t>
    </w:r>
    <w:r>
      <w:rPr>
        <w:rFonts w:ascii="Arial" w:cs="Arial" w:eastAsia="Arial" w:hAnsi="Arial"/>
        <w:color w:val="94A3B8"/>
        <w:sz w:val="18"/>
        <w:szCs w:val="18"/>
      </w:rPr>
      <w:t xml:space="preserve">Page </w:t>
    </w:r>
    <w:r>
      <w:rPr>
        <w:rFonts w:ascii="Arial" w:cs="Arial" w:eastAsia="Arial" w:hAnsi="Arial"/>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8A"/>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3A8A"/>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GPS Data (Lite) — Coach Guide</dc:title>
  <dc:creator>MicroPulse</dc:creator>
  <cp:lastModifiedBy>Un-named</cp:lastModifiedBy>
  <cp:revision>1</cp:revision>
  <dcterms:created xsi:type="dcterms:W3CDTF">2026-05-04T07:11:32.211Z</dcterms:created>
  <dcterms:modified xsi:type="dcterms:W3CDTF">2026-05-04T07:11:32.211Z</dcterms:modified>
</cp:coreProperties>
</file>

<file path=docProps/custom.xml><?xml version="1.0" encoding="utf-8"?>
<Properties xmlns="http://schemas.openxmlformats.org/officeDocument/2006/custom-properties" xmlns:vt="http://schemas.openxmlformats.org/officeDocument/2006/docPropsVTypes"/>
</file>