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MicroPulse</w:t>
      </w:r>
      <w:r>
        <w:t xml:space="preserve"> </w:t>
      </w:r>
      <w:r>
        <w:t xml:space="preserve">—</w:t>
      </w:r>
      <w:r>
        <w:t xml:space="preserve"> </w:t>
      </w:r>
      <w:r>
        <w:t xml:space="preserve">MLI</w:t>
      </w:r>
      <w:r>
        <w:t xml:space="preserve"> </w:t>
      </w:r>
      <w:r>
        <w:t xml:space="preserve">&amp;</w:t>
      </w:r>
      <w:r>
        <w:t xml:space="preserve"> </w:t>
      </w:r>
      <w:r>
        <w:t xml:space="preserve">Metabolic</w:t>
      </w:r>
      <w:r>
        <w:t xml:space="preserve"> </w:t>
      </w:r>
      <w:r>
        <w:t xml:space="preserve">Load</w:t>
      </w:r>
      <w:r>
        <w:t xml:space="preserve"> </w:t>
      </w:r>
      <w:r>
        <w:t xml:space="preserve">Score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pillars</w:t>
      </w:r>
      <w:r>
        <w:t xml:space="preserve"> </w:t>
      </w:r>
      <w:r>
        <w:t xml:space="preserve">under</w:t>
      </w:r>
      <w:r>
        <w:t xml:space="preserve"> </w:t>
      </w:r>
      <w:r>
        <w:t xml:space="preserve">Composite</w:t>
      </w:r>
      <w:r>
        <w:t xml:space="preserve"> </w:t>
      </w:r>
      <w:r>
        <w:t xml:space="preserve">Load</w:t>
      </w:r>
      <w:r>
        <w:t xml:space="preserve"> </w:t>
      </w:r>
      <w:r>
        <w:t xml:space="preserve">—</w:t>
      </w:r>
      <w:r>
        <w:t xml:space="preserve"> </w:t>
      </w:r>
      <w:r>
        <w:t xml:space="preserve">what</w:t>
      </w:r>
      <w:r>
        <w:t xml:space="preserve"> </w:t>
      </w:r>
      <w:r>
        <w:t xml:space="preserve">they</w:t>
      </w:r>
      <w:r>
        <w:t xml:space="preserve"> </w:t>
      </w:r>
      <w:r>
        <w:t xml:space="preserve">measure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read</w:t>
      </w:r>
      <w:r>
        <w:t xml:space="preserve"> </w:t>
      </w:r>
      <w:r>
        <w:t xml:space="preserve">them</w:t>
      </w:r>
    </w:p>
    <w:p>
      <w:pPr>
        <w:pStyle w:val="Author"/>
      </w:pPr>
      <w:r>
        <w:t xml:space="preserve">MicroPulse</w:t>
      </w:r>
      <w:r>
        <w:t xml:space="preserve"> </w:t>
      </w:r>
      <w:r>
        <w:t xml:space="preserve">Performance</w:t>
      </w:r>
      <w:r>
        <w:t xml:space="preserve"> </w:t>
      </w:r>
      <w:r>
        <w:t xml:space="preserve">Intelligence</w:t>
      </w:r>
      <w:r>
        <w:t xml:space="preserve"> </w:t>
      </w:r>
      <w:r>
        <w:t xml:space="preserve">Platform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what-this-is"/>
      <w:r>
        <w:t xml:space="preserve">1. What this is</w:t>
      </w:r>
      <w:bookmarkEnd w:id="20"/>
    </w:p>
    <w:p>
      <w:pPr>
        <w:pStyle w:val="FirstParagraph"/>
      </w:pPr>
      <w:r>
        <w:t xml:space="preserve">The Composite Load score that you see on the Daily Briefing card (</w:t>
      </w:r>
      <w:r>
        <w:t xml:space="preserve">“</w:t>
      </w:r>
      <w:r>
        <w:t xml:space="preserve">Comp 0.78</w:t>
      </w:r>
      <w:r>
        <w:t xml:space="preserve">”</w:t>
      </w:r>
      <w:r>
        <w:t xml:space="preserve">) is not a single measurement — it is a blend of two underlying load engines. This guide explains both of them.</w:t>
      </w:r>
    </w:p>
    <w:p>
      <w:pPr>
        <w:pStyle w:val="BodyText"/>
      </w:pPr>
      <w:r>
        <w:t xml:space="preserve">The two engines answer different questions: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Mechanical Load Index (MLI)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How hard did this player’s joints, tendons and connective tissue work today?</w:t>
      </w:r>
      <w:r>
        <w:rPr>
          <w:i/>
        </w:rPr>
        <w:t xml:space="preserve">”</w:t>
      </w:r>
      <w:r>
        <w:t xml:space="preserve"> </w:t>
      </w:r>
      <w:r>
        <w:t xml:space="preserve">Built from accelerations, decelerations, change-of-direction events, player-load-per-minute and impacts.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Metabolic Load Score (MLS)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How hard did this player’s energy systems work today?</w:t>
      </w:r>
      <w:r>
        <w:rPr>
          <w:i/>
        </w:rPr>
        <w:t xml:space="preserve">”</w:t>
      </w:r>
      <w:r>
        <w:t xml:space="preserve"> </w:t>
      </w:r>
      <w:r>
        <w:t xml:space="preserve">Built from metabolic power, high metabolic load distance and time spent above the high-power threshold.</w:t>
      </w:r>
    </w:p>
    <w:p>
      <w:pPr>
        <w:pStyle w:val="FirstParagraph"/>
      </w:pPr>
      <w:r>
        <w:t xml:space="preserve">Most coaches do not need to read raw MLI or MLS values day-to-day — Composite Load summarises them. But knowing what’s underneath helps you act intelligently when something goes wrong, and helps you understand the</w:t>
      </w:r>
      <w:r>
        <w:t xml:space="preserve"> </w:t>
      </w:r>
      <w:r>
        <w:t xml:space="preserve">“</w:t>
      </w:r>
      <w:r>
        <w:t xml:space="preserve">fatigue type</w:t>
      </w:r>
      <w:r>
        <w:t xml:space="preserve">”</w:t>
      </w:r>
      <w:r>
        <w:t xml:space="preserve"> </w:t>
      </w:r>
      <w:r>
        <w:t xml:space="preserve">tag that appears next to flagged players (</w:t>
      </w:r>
      <w:r>
        <w:t xml:space="preserve">“</w:t>
      </w:r>
      <w:r>
        <w:t xml:space="preserve">mechanical fatigue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metabolic fatigue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global fatigue</w:t>
      </w:r>
      <w:r>
        <w:t xml:space="preserve">”</w:t>
      </w:r>
      <w:r>
        <w:t xml:space="preserve">).</w:t>
      </w:r>
    </w:p>
    <w:p>
      <w:pPr>
        <w:pStyle w:val="BlockText"/>
      </w:pPr>
      <w:r>
        <w:rPr>
          <w:b/>
        </w:rPr>
        <w:t xml:space="preserve">Quick mental model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MLI = mechanical wear-and-tear</w:t>
      </w:r>
      <w:r>
        <w:t xml:space="preserve">. High MLI is what you feel in your knees, hips and Achilles the next day. Driven by hard braking and direction changes.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MLS = energy-system fatigue</w:t>
      </w:r>
      <w:r>
        <w:t xml:space="preserve">. High MLS is what you feel as breathlessness and aerobic depletion. Driven by sustained high-intensity running.</w:t>
      </w:r>
    </w:p>
    <w:p>
      <w:pPr>
        <w:numPr>
          <w:ilvl w:val="0"/>
          <w:numId w:val="1002"/>
        </w:numPr>
        <w:pStyle w:val="Compact"/>
      </w:pPr>
      <w:r>
        <w:t xml:space="preserve">When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are high it’s a</w:t>
      </w:r>
      <w:r>
        <w:t xml:space="preserve"> </w:t>
      </w:r>
      <w:r>
        <w:rPr>
          <w:b/>
        </w:rPr>
        <w:t xml:space="preserve">global</w:t>
      </w:r>
      <w:r>
        <w:t xml:space="preserve"> </w:t>
      </w:r>
      <w:r>
        <w:t xml:space="preserve">day — the player is tired everywhere. Often post-match.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mechanical-load-index-mli"/>
      <w:r>
        <w:t xml:space="preserve">2. Mechanical Load Index (MLI)</w:t>
      </w:r>
      <w:bookmarkEnd w:id="21"/>
    </w:p>
    <w:p>
      <w:pPr>
        <w:pStyle w:val="Heading2"/>
      </w:pPr>
      <w:bookmarkStart w:id="22" w:name="what-it-measures"/>
      <w:r>
        <w:t xml:space="preserve">2.1 What it measures</w:t>
      </w:r>
      <w:bookmarkEnd w:id="22"/>
    </w:p>
    <w:p>
      <w:pPr>
        <w:pStyle w:val="FirstParagraph"/>
      </w:pPr>
      <w:r>
        <w:t xml:space="preserve">MLI is a single 0-100 number representing how mechanically demanding today’s session was for this player,</w:t>
      </w:r>
      <w:r>
        <w:t xml:space="preserve"> </w:t>
      </w:r>
      <w:r>
        <w:rPr>
          <w:b/>
        </w:rPr>
        <w:t xml:space="preserve">relative to the player’s own 28-day baseline</w:t>
      </w:r>
      <w:r>
        <w:t xml:space="preserve">. A 50 means</w:t>
      </w:r>
      <w:r>
        <w:t xml:space="preserve"> </w:t>
      </w:r>
      <w:r>
        <w:t xml:space="preserve">“</w:t>
      </w:r>
      <w:r>
        <w:t xml:space="preserve">exactly your average mechanical load</w:t>
      </w:r>
      <w:r>
        <w:t xml:space="preserve">”</w:t>
      </w:r>
      <w:r>
        <w:t xml:space="preserve">; a 70+ means</w:t>
      </w:r>
      <w:r>
        <w:t xml:space="preserve"> </w:t>
      </w:r>
      <w:r>
        <w:t xml:space="preserve">“</w:t>
      </w:r>
      <w:r>
        <w:t xml:space="preserve">much harder than usual</w:t>
      </w:r>
      <w:r>
        <w:t xml:space="preserve">”</w:t>
      </w:r>
      <w:r>
        <w:t xml:space="preserve">; a 30 means</w:t>
      </w:r>
      <w:r>
        <w:t xml:space="preserve"> </w:t>
      </w:r>
      <w:r>
        <w:t xml:space="preserve">“</w:t>
      </w:r>
      <w:r>
        <w:t xml:space="preserve">much lighter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The MicroPulse implementation is based on the published mechanical-load monitoring literature (notably Vanrenterghem 2017 and the McBurnie 2022 deceleration framework) and combines four sub-scores into a single weighted total.</w:t>
      </w:r>
    </w:p>
    <w:p>
      <w:pPr>
        <w:pStyle w:val="Heading2"/>
      </w:pPr>
      <w:bookmarkStart w:id="23" w:name="the-four-sub-scores-under-mli"/>
      <w:r>
        <w:t xml:space="preserve">2.2 The four sub-scores under MLI</w:t>
      </w:r>
      <w:bookmarkEnd w:id="23"/>
    </w:p>
    <w:tbl>
      <w:tblPr>
        <w:tblStyle w:val="Table"/>
        <w:tblW w:type="pct" w:w="4999.999999999999"/>
        <w:tblLook w:firstRow="1"/>
      </w:tblPr>
      <w:tblGrid>
        <w:gridCol w:w="814"/>
        <w:gridCol w:w="1776"/>
        <w:gridCol w:w="4219"/>
        <w:gridCol w:w="1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Stands for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 in MLI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DSS</w:t>
            </w:r>
          </w:p>
        </w:tc>
        <w:tc>
          <w:p>
            <w:pPr>
              <w:pStyle w:val="Compact"/>
              <w:jc w:val="left"/>
            </w:pPr>
            <w:r>
              <w:t xml:space="preserve">Deceleration Sub-Score</w:t>
            </w:r>
          </w:p>
        </w:tc>
        <w:tc>
          <w:p>
            <w:pPr>
              <w:pStyle w:val="Compact"/>
              <w:jc w:val="left"/>
            </w:pPr>
            <w:r>
              <w:t xml:space="preserve">High decels, total decels, IMA decel count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</w:t>
            </w:r>
          </w:p>
        </w:tc>
        <w:tc>
          <w:p>
            <w:pPr>
              <w:pStyle w:val="Compact"/>
              <w:jc w:val="left"/>
            </w:pPr>
            <w:r>
              <w:t xml:space="preserve">Acceleration Sub-Score</w:t>
            </w:r>
          </w:p>
        </w:tc>
        <w:tc>
          <w:p>
            <w:pPr>
              <w:pStyle w:val="Compact"/>
              <w:jc w:val="left"/>
            </w:pPr>
            <w:r>
              <w:t xml:space="preserve">High accels, total accels, IMA accel count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CSS</w:t>
            </w:r>
          </w:p>
        </w:tc>
        <w:tc>
          <w:p>
            <w:pPr>
              <w:pStyle w:val="Compact"/>
              <w:jc w:val="left"/>
            </w:pPr>
            <w:r>
              <w:t xml:space="preserve">Change-of-Direction Sub-Score</w:t>
            </w:r>
          </w:p>
        </w:tc>
        <w:tc>
          <w:p>
            <w:pPr>
              <w:pStyle w:val="Compact"/>
              <w:jc w:val="left"/>
            </w:pPr>
            <w:r>
              <w:t xml:space="preserve">IMA CoD events, CoD event count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GDS</w:t>
            </w:r>
          </w:p>
        </w:tc>
        <w:tc>
          <w:p>
            <w:pPr>
              <w:pStyle w:val="Compact"/>
              <w:jc w:val="left"/>
            </w:pPr>
            <w:r>
              <w:t xml:space="preserve">General Dynamic Sub-Score</w:t>
            </w:r>
          </w:p>
        </w:tc>
        <w:tc>
          <w:p>
            <w:pPr>
              <w:pStyle w:val="Compact"/>
              <w:jc w:val="left"/>
            </w:pPr>
            <w:r>
              <w:t xml:space="preserve">Player-load-per-minute, IMA total, impacts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</w:tr>
    </w:tbl>
    <w:p>
      <w:pPr>
        <w:pStyle w:val="BodyText"/>
      </w:pPr>
      <w:r>
        <w:t xml:space="preserve">The decel sub-score is weighted most heavily because eccentric braking is the highest tissue-damage driver in field sport — the McBurnie 2022 finding we built the whole Decel Intelligence engine around. Acceleration and CoD round out the picture; player-load-per-minute and impacts are the catch-all dynamic burden signal.</w:t>
      </w:r>
    </w:p>
    <w:p>
      <w:pPr>
        <w:pStyle w:val="BodyText"/>
      </w:pPr>
      <w:r>
        <w:t xml:space="preserve">Each sub-score is itself a personally normalized 0-100 number (today’s value divided by the player’s 28-day median, capped at 2x and rescaled). So a DSS of 80 means</w:t>
      </w:r>
      <w:r>
        <w:t xml:space="preserve"> </w:t>
      </w:r>
      <w:r>
        <w:t xml:space="preserve">“</w:t>
      </w:r>
      <w:r>
        <w:t xml:space="preserve">today’s decel volume was 1.6x your normal</w:t>
      </w:r>
      <w:r>
        <w:t xml:space="preserve">”</w:t>
      </w:r>
      <w:r>
        <w:t xml:space="preserve">.</w:t>
      </w:r>
    </w:p>
    <w:p>
      <w:pPr>
        <w:pStyle w:val="Heading2"/>
      </w:pPr>
      <w:bookmarkStart w:id="24" w:name="the-mli-bands-what-the-number-means"/>
      <w:r>
        <w:t xml:space="preserve">2.3 The MLI bands — what the number means</w:t>
      </w:r>
      <w:bookmarkEnd w:id="24"/>
    </w:p>
    <w:tbl>
      <w:tblPr>
        <w:tblStyle w:val="Table"/>
        <w:tblW w:type="pct" w:w="5000.0"/>
        <w:tblLook w:firstRow="1"/>
      </w:tblPr>
      <w:tblGrid>
        <w:gridCol w:w="957"/>
        <w:gridCol w:w="1044"/>
        <w:gridCol w:w="696"/>
        <w:gridCol w:w="52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MLI 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0–39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Grey</w:t>
            </w:r>
          </w:p>
        </w:tc>
        <w:tc>
          <w:p>
            <w:pPr>
              <w:pStyle w:val="Compact"/>
              <w:jc w:val="left"/>
            </w:pPr>
            <w:r>
              <w:t xml:space="preserve">Light session — well below this player’s normal mechanical 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40–54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p>
            <w:pPr>
              <w:pStyle w:val="Compact"/>
              <w:jc w:val="left"/>
            </w:pPr>
            <w:r>
              <w:t xml:space="preserve">Within personal range — typical training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55–69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p>
            <w:pPr>
              <w:pStyle w:val="Compact"/>
              <w:jc w:val="left"/>
            </w:pPr>
            <w:r>
              <w:t xml:space="preserve">Hard session — meaningfully above this player’s 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70–84</w:t>
            </w:r>
          </w:p>
        </w:tc>
        <w:tc>
          <w:p>
            <w:pPr>
              <w:pStyle w:val="Compact"/>
              <w:jc w:val="left"/>
            </w:pPr>
            <w:r>
              <w:t xml:space="preserve">VERY_HIGH</w:t>
            </w:r>
          </w:p>
        </w:tc>
        <w:tc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p>
            <w:pPr>
              <w:pStyle w:val="Compact"/>
              <w:jc w:val="left"/>
            </w:pPr>
            <w:r>
              <w:t xml:space="preserve">Very demanding — comparable to or exceeding match 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85+</w:t>
            </w:r>
          </w:p>
        </w:tc>
        <w:tc>
          <w:p>
            <w:pPr>
              <w:pStyle w:val="Compact"/>
              <w:jc w:val="left"/>
            </w:pPr>
            <w:r>
              <w:t xml:space="preserve">EXTREME</w:t>
            </w:r>
          </w:p>
        </w:tc>
        <w:tc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p>
            <w:pPr>
              <w:pStyle w:val="Compact"/>
              <w:jc w:val="left"/>
            </w:pPr>
            <w:r>
              <w:t xml:space="preserve">Extreme spike — usually only seen on tournament days or freak sessions</w:t>
            </w:r>
          </w:p>
        </w:tc>
      </w:tr>
    </w:tbl>
    <w:p>
      <w:pPr>
        <w:pStyle w:val="BlockText"/>
      </w:pPr>
      <w:r>
        <w:rPr>
          <w:b/>
        </w:rPr>
        <w:t xml:space="preserve">Why the bands are personal, not absolute</w:t>
      </w:r>
    </w:p>
    <w:p>
      <w:pPr>
        <w:pStyle w:val="BlockText"/>
      </w:pPr>
      <w:r>
        <w:t xml:space="preserve">A centre-back’s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mechanical day might involve 12 high-intensity decels and 4 sprints. A wide forward’s normal might be 22 sprints and 8 decels. If we used absolute thresholds, central players would always look</w:t>
      </w:r>
      <w:r>
        <w:t xml:space="preserve"> </w:t>
      </w:r>
      <w:r>
        <w:t xml:space="preserve">“</w:t>
      </w:r>
      <w:r>
        <w:t xml:space="preserve">low MLI</w:t>
      </w:r>
      <w:r>
        <w:t xml:space="preserve">”</w:t>
      </w:r>
      <w:r>
        <w:t xml:space="preserve"> </w:t>
      </w:r>
      <w:r>
        <w:t xml:space="preserve">and wide players would always look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. By comparing each player against their own 28-day baseline, the same MLI band means the same coach action regardless of position.</w:t>
      </w:r>
    </w:p>
    <w:p>
      <w:pPr>
        <w:pStyle w:val="Heading2"/>
      </w:pPr>
      <w:bookmarkStart w:id="25" w:name="residual-mli-the-3-day-rolling-read"/>
      <w:r>
        <w:t xml:space="preserve">2.4 Residual MLI — the 3-day rolling read</w:t>
      </w:r>
      <w:bookmarkEnd w:id="25"/>
    </w:p>
    <w:p>
      <w:pPr>
        <w:pStyle w:val="FirstParagraph"/>
      </w:pPr>
      <w:r>
        <w:t xml:space="preserve">A single MLI number tells you about today. But injuries don’t usually come from one hard day — they come from accumulated load that the body hasn’t recovered from. Residual MLI is a 3-day rolling weighted accumulation:</w:t>
      </w:r>
    </w:p>
    <w:p>
      <w:pPr>
        <w:pStyle w:val="SourceCode"/>
      </w:pPr>
      <w:r>
        <w:rPr>
          <w:rStyle w:val="VerbatimChar"/>
        </w:rPr>
        <w:t xml:space="preserve">Residual MLI = today × 1.0 + yesterday × 0.6 + 2-days-ago × 0.3</w:t>
      </w:r>
    </w:p>
    <w:p>
      <w:pPr>
        <w:pStyle w:val="FirstParagraph"/>
      </w:pPr>
      <w:r>
        <w:t xml:space="preserve">So a player whose MLI was 65 today, 60 yesterday and 70 two days ago has a Residual MLI of</w:t>
      </w:r>
      <w:r>
        <w:t xml:space="preserve"> </w:t>
      </w:r>
      <w:r>
        <w:rPr>
          <w:rStyle w:val="VerbatimChar"/>
        </w:rPr>
        <w:t xml:space="preserve">65 + 36 + 21 = 122</w:t>
      </w:r>
      <w:r>
        <w:t xml:space="preserve">.</w:t>
      </w:r>
    </w:p>
    <w:p>
      <w:pPr>
        <w:pStyle w:val="BodyText"/>
      </w:pPr>
      <w:r>
        <w:t xml:space="preserve">The residual bands flag accumulated risk:</w:t>
      </w:r>
    </w:p>
    <w:tbl>
      <w:tblPr>
        <w:tblStyle w:val="Table"/>
        <w:tblW w:type="pct" w:w="5000.0"/>
        <w:tblLook w:firstRow="1"/>
      </w:tblPr>
      <w:tblGrid>
        <w:gridCol w:w="1320"/>
        <w:gridCol w:w="942"/>
        <w:gridCol w:w="565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Residual MLI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&lt;70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Steady accumulation, no concern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70–109</w:t>
            </w:r>
          </w:p>
        </w:tc>
        <w:tc>
          <w:p>
            <w:pPr>
              <w:pStyle w:val="Compact"/>
              <w:jc w:val="left"/>
            </w:pPr>
            <w:r>
              <w:t xml:space="preserve">ELEVATED</w:t>
            </w:r>
          </w:p>
        </w:tc>
        <w:tc>
          <w:p>
            <w:pPr>
              <w:pStyle w:val="Compact"/>
              <w:jc w:val="left"/>
            </w:pPr>
            <w:r>
              <w:t xml:space="preserve">Multiple consecutive demanding days — monitor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110–134</w:t>
            </w:r>
          </w:p>
        </w:tc>
        <w:tc>
          <w:p>
            <w:pPr>
              <w:pStyle w:val="Compact"/>
              <w:jc w:val="left"/>
            </w:pPr>
            <w:r>
              <w:t xml:space="preserve">CAUTION</w:t>
            </w:r>
          </w:p>
        </w:tc>
        <w:tc>
          <w:p>
            <w:pPr>
              <w:pStyle w:val="Compact"/>
              <w:jc w:val="left"/>
            </w:pPr>
            <w:r>
              <w:t xml:space="preserve">Sustained high mechanical load — recovery time recommended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≥135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Multi-day mechanical overload — modify or rest before next hard session</w:t>
            </w:r>
          </w:p>
        </w:tc>
      </w:tr>
    </w:tbl>
    <w:p>
      <w:pPr>
        <w:pStyle w:val="BodyText"/>
      </w:pPr>
      <w:r>
        <w:t xml:space="preserve">Residual MLI is what bumps Composite Load Concern into</w:t>
      </w:r>
      <w:r>
        <w:t xml:space="preserve"> </w:t>
      </w:r>
      <w:r>
        <w:t xml:space="preserve">“</w:t>
      </w:r>
      <w:r>
        <w:t xml:space="preserve">moderate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 </w:t>
      </w:r>
      <w:r>
        <w:t xml:space="preserve">even on a day where today’s MLI looks normal. The body is still carrying the accumulated effect of the previous two days.</w:t>
      </w:r>
    </w:p>
    <w:p>
      <w:pPr>
        <w:pStyle w:val="Heading2"/>
      </w:pPr>
      <w:bookmarkStart w:id="26" w:name="the-flags-that-fire-from-mli"/>
      <w:r>
        <w:t xml:space="preserve">2.5 The flags that fire from MLI</w:t>
      </w:r>
      <w:bookmarkEnd w:id="26"/>
    </w:p>
    <w:p>
      <w:pPr>
        <w:pStyle w:val="FirstParagraph"/>
      </w:pPr>
      <w:r>
        <w:t xml:space="preserve">Beyond the band, the MLI engine raises specific flags when individual signals spike: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Decel spike</w:t>
      </w:r>
      <w:r>
        <w:t xml:space="preserve"> </w:t>
      </w:r>
      <w:r>
        <w:t xml:space="preserve">— high-decel ratio ≥ 1.35× personal baseline. Most predictive single flag for hamstring strain.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CoD spike</w:t>
      </w:r>
      <w:r>
        <w:t xml:space="preserve"> </w:t>
      </w:r>
      <w:r>
        <w:t xml:space="preserve">— IMA CoD ratio ≥ 1.40× personal baseline. Predictive for groin and ACL.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Dense mechanical</w:t>
      </w:r>
      <w:r>
        <w:t xml:space="preserve"> </w:t>
      </w:r>
      <w:r>
        <w:t xml:space="preserve">— player-load-per-minute AND IMA total both ≥ 1.25–1.3× baseline. Means the session was mechanically intense without being long.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High mechanical</w:t>
      </w:r>
      <w:r>
        <w:t xml:space="preserve"> </w:t>
      </w:r>
      <w:r>
        <w:t xml:space="preserve">— MLI ≥ 70 (the VERY_HIGH band)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Extreme mechanical</w:t>
      </w:r>
      <w:r>
        <w:t xml:space="preserve"> </w:t>
      </w:r>
      <w:r>
        <w:t xml:space="preserve">— MLI ≥ 85 (the EXTREME band)</w:t>
      </w:r>
    </w:p>
    <w:p>
      <w:pPr>
        <w:pStyle w:val="FirstParagraph"/>
      </w:pPr>
      <w:r>
        <w:t xml:space="preserve">These flags surface in the verdict explanation and the AI Player Summary when relevant.</w:t>
      </w:r>
    </w:p>
    <w:p>
      <w:pPr>
        <w:pStyle w:val="Heading2"/>
      </w:pPr>
      <w:bookmarkStart w:id="27" w:name="confidence"/>
      <w:r>
        <w:t xml:space="preserve">2.6 Confidence</w:t>
      </w:r>
      <w:bookmarkEnd w:id="27"/>
    </w:p>
    <w:p>
      <w:pPr>
        <w:pStyle w:val="FirstParagraph"/>
      </w:pPr>
      <w:r>
        <w:t xml:space="preserve">MLI requires up to 11 input signals (the various accel/decel/CoD/impact counts). When data is partial, the score still computes but with reduced confidence: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High confidence</w:t>
      </w:r>
      <w:r>
        <w:t xml:space="preserve"> </w:t>
      </w:r>
      <w:r>
        <w:t xml:space="preserve">— ≥80% of inputs present AND ≥5 days of baseline. Trust the number.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Medium confidence</w:t>
      </w:r>
      <w:r>
        <w:t xml:space="preserve"> </w:t>
      </w:r>
      <w:r>
        <w:t xml:space="preserve">— 50–80% of inputs present. The MLI is directionally correct but specific banding may shift if more data arrives.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Low confidence</w:t>
      </w:r>
      <w:r>
        <w:t xml:space="preserve"> </w:t>
      </w:r>
      <w:r>
        <w:t xml:space="preserve">— &lt;50% of inputs. The score should be read as</w:t>
      </w:r>
      <w:r>
        <w:t xml:space="preserve"> </w:t>
      </w:r>
      <w:r>
        <w:t xml:space="preserve">“</w:t>
      </w:r>
      <w:r>
        <w:t xml:space="preserve">rough estimate</w:t>
      </w:r>
      <w:r>
        <w:t xml:space="preserve">”</w:t>
      </w:r>
      <w:r>
        <w:t xml:space="preserve"> </w:t>
      </w:r>
      <w:r>
        <w:t xml:space="preserve">only — usually appears for new players (still building a baseline) or when Catapult had a bad data day.</w:t>
      </w:r>
    </w:p>
    <w:p>
      <w:pPr>
        <w:pStyle w:val="FirstParagraph"/>
      </w:pPr>
      <w:r>
        <w:t xml:space="preserve">The confidence is shown next to the score in the load-detail UI when relevant.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metabolic-load-score-mls"/>
      <w:r>
        <w:t xml:space="preserve">3. Metabolic Load Score (MLS)</w:t>
      </w:r>
      <w:bookmarkEnd w:id="28"/>
    </w:p>
    <w:p>
      <w:pPr>
        <w:pStyle w:val="Heading2"/>
      </w:pPr>
      <w:bookmarkStart w:id="29" w:name="what-it-measures-1"/>
      <w:r>
        <w:t xml:space="preserve">3.1 What it measures</w:t>
      </w:r>
      <w:bookmarkEnd w:id="29"/>
    </w:p>
    <w:p>
      <w:pPr>
        <w:pStyle w:val="FirstParagraph"/>
      </w:pPr>
      <w:r>
        <w:t xml:space="preserve">MLS is a 0-100 score representing how energy-system-demanding today’s session was, relative to the player’s 28-day metabolic baseline. Built from Catapult’s metabolic-power family of fields (di Prampero 2005 framework).</w:t>
      </w:r>
    </w:p>
    <w:p>
      <w:pPr>
        <w:pStyle w:val="BodyText"/>
      </w:pPr>
      <w:r>
        <w:t xml:space="preserve">Four signals contribute, each z-scored against the player’s 28-day metabolic distribution then weight-blended:</w:t>
      </w:r>
    </w:p>
    <w:tbl>
      <w:tblPr>
        <w:tblStyle w:val="Table"/>
        <w:tblW w:type="pct" w:w="5000.0"/>
        <w:tblLook w:firstRow="1"/>
      </w:tblPr>
      <w:tblGrid>
        <w:gridCol w:w="3001"/>
        <w:gridCol w:w="666"/>
        <w:gridCol w:w="425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captures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HML Distance (m)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Distance covered while metabolic power exceeds the high threshold (~25.5 W/kg)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above HML threshold (s)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How long the player was working at high metabolic power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Peak metabolic power (W/kg)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The single hardest moment of the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Average metabolic power (W/kg)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Mean intensity over the whole session</w:t>
            </w:r>
          </w:p>
        </w:tc>
      </w:tr>
    </w:tbl>
    <w:p>
      <w:pPr>
        <w:pStyle w:val="BodyText"/>
      </w:pPr>
      <w:r>
        <w:t xml:space="preserve">The 40% weight on HML distance is intentional — a player who covers a lot of ground at high metabolic power is doing the work that drives aerobic adaptation (and aerobic fatigue). Peak power is a sanity check, average power is the smoothed background.</w:t>
      </w:r>
    </w:p>
    <w:p>
      <w:pPr>
        <w:pStyle w:val="Heading2"/>
      </w:pPr>
      <w:bookmarkStart w:id="30" w:name="the-score-formula"/>
      <w:r>
        <w:t xml:space="preserve">3.2 The score formula</w:t>
      </w:r>
      <w:bookmarkEnd w:id="30"/>
    </w:p>
    <w:p>
      <w:pPr>
        <w:pStyle w:val="SourceCode"/>
      </w:pPr>
      <w:r>
        <w:rPr>
          <w:rStyle w:val="VerbatimChar"/>
        </w:rPr>
        <w:t xml:space="preserve">score = clamp(50 + 15 × (weighted_z_composite), 0, 100)</w:t>
      </w:r>
    </w:p>
    <w:p>
      <w:pPr>
        <w:pStyle w:val="FirstParagraph"/>
      </w:pPr>
      <w:r>
        <w:t xml:space="preserve">So 50 is the player’s personal mean, every full standard deviation above adds 15 to the score, capped at 100. A score of 80 means</w:t>
      </w:r>
      <w:r>
        <w:t xml:space="preserve"> </w:t>
      </w:r>
      <w:r>
        <w:t xml:space="preserve">“</w:t>
      </w:r>
      <w:r>
        <w:t xml:space="preserve">today was about 2 standard deviations above your typical metabolic day</w:t>
      </w:r>
      <w:r>
        <w:t xml:space="preserve">”</w:t>
      </w:r>
      <w:r>
        <w:t xml:space="preserve">.</w:t>
      </w:r>
    </w:p>
    <w:p>
      <w:pPr>
        <w:pStyle w:val="Heading2"/>
      </w:pPr>
      <w:bookmarkStart w:id="31" w:name="the-mls-bands"/>
      <w:r>
        <w:t xml:space="preserve">3.3 The MLS bands</w:t>
      </w:r>
      <w:bookmarkEnd w:id="31"/>
    </w:p>
    <w:tbl>
      <w:tblPr>
        <w:tblStyle w:val="Table"/>
        <w:tblW w:type="pct" w:w="5000.0"/>
        <w:tblLook w:firstRow="1"/>
      </w:tblPr>
      <w:tblGrid>
        <w:gridCol w:w="1049"/>
        <w:gridCol w:w="1145"/>
        <w:gridCol w:w="57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MLS 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0–34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Light metabolic day — well below 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35–54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Within personal range — typical training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55–74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Demanding metabolic session — above this player’s 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75–100</w:t>
            </w:r>
          </w:p>
        </w:tc>
        <w:tc>
          <w:p>
            <w:pPr>
              <w:pStyle w:val="Compact"/>
              <w:jc w:val="left"/>
            </w:pPr>
            <w:r>
              <w:t xml:space="preserve">VERY_HIGH</w:t>
            </w:r>
          </w:p>
        </w:tc>
        <w:tc>
          <w:p>
            <w:pPr>
              <w:pStyle w:val="Compact"/>
              <w:jc w:val="left"/>
            </w:pPr>
            <w:r>
              <w:t xml:space="preserve">Very demanding — comparable to or exceeding match metabolic load</w:t>
            </w:r>
          </w:p>
        </w:tc>
      </w:tr>
    </w:tbl>
    <w:p>
      <w:pPr>
        <w:pStyle w:val="Heading2"/>
      </w:pPr>
      <w:bookmarkStart w:id="32" w:name="Xdb2e10dbc2fa0c6e4f86c8d54a1b7582c4a8af0"/>
      <w:r>
        <w:t xml:space="preserve">3.4 Important caveat about MLS — the Brown 2016 finding</w:t>
      </w:r>
      <w:bookmarkEnd w:id="32"/>
    </w:p>
    <w:p>
      <w:pPr>
        <w:pStyle w:val="FirstParagraph"/>
      </w:pPr>
      <w:r>
        <w:t xml:space="preserve">The Catapult-derived metabolic power numbers that feed MLS are</w:t>
      </w:r>
      <w:r>
        <w:t xml:space="preserve"> </w:t>
      </w:r>
      <w:r>
        <w:rPr>
          <w:b/>
        </w:rPr>
        <w:t xml:space="preserve">systematically wrong</w:t>
      </w:r>
      <w:r>
        <w:t xml:space="preserve"> </w:t>
      </w:r>
      <w:r>
        <w:t xml:space="preserve">in specific ways (see Brown et al. 2016, J Sci Med Sport):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Walking</w:t>
      </w:r>
      <w:r>
        <w:t xml:space="preserve"> </w:t>
      </w:r>
      <w:r>
        <w:t xml:space="preserve">→ GPS-MP overestimates true energy cost by ~43%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Steady running</w:t>
      </w:r>
      <w:r>
        <w:t xml:space="preserve"> </w:t>
      </w:r>
      <w:r>
        <w:t xml:space="preserve">→ GPS-MP within 5–8% of truth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Intermittent (sport-specific)</w:t>
      </w:r>
      <w:r>
        <w:t xml:space="preserve"> </w:t>
      </w:r>
      <w:r>
        <w:t xml:space="preserve">→ GPS-MP</w:t>
      </w:r>
      <w:r>
        <w:t xml:space="preserve"> </w:t>
      </w:r>
      <w:r>
        <w:rPr>
          <w:b/>
        </w:rPr>
        <w:t xml:space="preserve">under-estimates</w:t>
      </w:r>
      <w:r>
        <w:t xml:space="preserve"> </w:t>
      </w:r>
      <w:r>
        <w:t xml:space="preserve">true energy cost by ~44%</w:t>
      </w:r>
    </w:p>
    <w:p>
      <w:pPr>
        <w:pStyle w:val="FirstParagraph"/>
      </w:pPr>
      <w:r>
        <w:t xml:space="preserve">This means MLS will under-flag intermittent-heavy days and over-flag walk-heavy days. We addressed this by adding the</w:t>
      </w:r>
      <w:r>
        <w:t xml:space="preserve"> </w:t>
      </w:r>
      <w:r>
        <w:rPr>
          <w:rStyle w:val="VerbatimChar"/>
        </w:rPr>
        <w:t xml:space="preserve">metabolic_power_corrected_brown</w:t>
      </w:r>
      <w:r>
        <w:t xml:space="preserve"> </w:t>
      </w:r>
      <w:r>
        <w:t xml:space="preserve">column with activity-aware multipliers (×1.43 for intermittent, ×0.566 for walk, ×1.0 for steady). The corrected number is what powers the Indoor Composite Load Score’s metabolic weighting; MLS itself currently still uses raw values until we re-run baselines on corrected numbers.</w:t>
      </w:r>
    </w:p>
    <w:p>
      <w:pPr>
        <w:pStyle w:val="BodyText"/>
      </w:pPr>
      <w:r>
        <w:t xml:space="preserve">If MLS reports a player at</w:t>
      </w:r>
      <w:r>
        <w:t xml:space="preserve"> </w:t>
      </w:r>
      <w:r>
        <w:t xml:space="preserve">“</w:t>
      </w:r>
      <w:r>
        <w:t xml:space="preserve">moderate</w:t>
      </w:r>
      <w:r>
        <w:t xml:space="preserve">”</w:t>
      </w:r>
      <w:r>
        <w:t xml:space="preserve"> </w:t>
      </w:r>
      <w:r>
        <w:t xml:space="preserve">but the Decision Summary’s verdict says</w:t>
      </w:r>
      <w:r>
        <w:t xml:space="preserve"> </w:t>
      </w:r>
      <w:r>
        <w:t xml:space="preserve">“</w:t>
      </w:r>
      <w:r>
        <w:t xml:space="preserve">watch</w:t>
      </w:r>
      <w:r>
        <w:t xml:space="preserve">”</w:t>
      </w:r>
      <w:r>
        <w:t xml:space="preserve"> </w:t>
      </w:r>
      <w:r>
        <w:t xml:space="preserve">because of decel signals,</w:t>
      </w:r>
      <w:r>
        <w:t xml:space="preserve"> </w:t>
      </w:r>
      <w:r>
        <w:rPr>
          <w:b/>
        </w:rPr>
        <w:t xml:space="preserve">trust the verdict</w:t>
      </w:r>
      <w:r>
        <w:t xml:space="preserve"> </w:t>
      </w:r>
      <w:r>
        <w:t xml:space="preserve">— MLS is the noisier of the two engines for football specifically.</w:t>
      </w:r>
    </w:p>
    <w:p>
      <w:pPr>
        <w:pStyle w:val="Heading2"/>
      </w:pPr>
      <w:bookmarkStart w:id="33" w:name="metabolic-confidence"/>
      <w:r>
        <w:t xml:space="preserve">3.5 Metabolic confidence</w:t>
      </w:r>
      <w:bookmarkEnd w:id="33"/>
    </w:p>
    <w:p>
      <w:pPr>
        <w:pStyle w:val="FirstParagraph"/>
      </w:pPr>
      <w:r>
        <w:t xml:space="preserve">Like MLI, MLS has confidence tiers based on input coverage: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High</w:t>
      </w:r>
      <w:r>
        <w:t xml:space="preserve"> </w:t>
      </w:r>
      <w:r>
        <w:t xml:space="preserve">— all 4 metabolic inputs present today, ≥10 baseline days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Medium</w:t>
      </w:r>
      <w:r>
        <w:t xml:space="preserve"> </w:t>
      </w:r>
      <w:r>
        <w:t xml:space="preserve">— 2–3 inputs, ≥6 baseline days. Score directionally correct.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Low</w:t>
      </w:r>
      <w:r>
        <w:t xml:space="preserve"> </w:t>
      </w:r>
      <w:r>
        <w:t xml:space="preserve">— &lt;2 inputs OR &lt;6 baseline days. Score not used in Composite Load.</w:t>
      </w:r>
    </w:p>
    <w:p>
      <w:pPr>
        <w:pStyle w:val="FirstParagraph"/>
      </w:pPr>
      <w:r>
        <w:t xml:space="preserve">Composite Load only includes MLS when confidence is medium or high. Below that, the metabolic arm is excluded and Composite is computed from MLI + ACWR alone.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Xc8f2d801d299f5e0f428c7a02eca59ce4659d3e"/>
      <w:r>
        <w:t xml:space="preserve">4. How MLI and MLS combine into Fatigue Type</w:t>
      </w:r>
      <w:bookmarkEnd w:id="34"/>
    </w:p>
    <w:p>
      <w:pPr>
        <w:pStyle w:val="FirstParagraph"/>
      </w:pPr>
      <w:r>
        <w:t xml:space="preserve">When both MLI and MLS are available with at least medium confidence, the engine categorises the dominant fatigue type. This is the</w:t>
      </w:r>
      <w:r>
        <w:t xml:space="preserve"> </w:t>
      </w:r>
      <w:r>
        <w:t xml:space="preserve">“</w:t>
      </w:r>
      <w:r>
        <w:t xml:space="preserve">mechanical fatigue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metabolic fatigue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global fatigue</w:t>
      </w:r>
      <w:r>
        <w:t xml:space="preserve">”</w:t>
      </w:r>
      <w:r>
        <w:t xml:space="preserve"> </w:t>
      </w:r>
      <w:r>
        <w:t xml:space="preserve">tag you see next to flagged players.</w:t>
      </w:r>
    </w:p>
    <w:tbl>
      <w:tblPr>
        <w:tblStyle w:val="Table"/>
        <w:tblW w:type="pct" w:w="5000.0"/>
        <w:tblLook w:firstRow="1"/>
      </w:tblPr>
      <w:tblGrid>
        <w:gridCol w:w="1444"/>
        <w:gridCol w:w="1177"/>
        <w:gridCol w:w="2889"/>
        <w:gridCol w:w="24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Combination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to modify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MLI HIGH, MLS LOW–MOD</w:t>
            </w:r>
          </w:p>
        </w:tc>
        <w:tc>
          <w:p>
            <w:pPr>
              <w:pStyle w:val="Compact"/>
              <w:jc w:val="left"/>
            </w:pPr>
            <w:r>
              <w:t xml:space="preserve">mechanical_fatigue</w:t>
            </w:r>
          </w:p>
        </w:tc>
        <w:tc>
          <w:p>
            <w:pPr>
              <w:pStyle w:val="Compact"/>
              <w:jc w:val="left"/>
            </w:pPr>
            <w:r>
              <w:t xml:space="preserve">Joints/tendons taxed, energy systems fine</w:t>
            </w:r>
          </w:p>
        </w:tc>
        <w:tc>
          <w:p>
            <w:pPr>
              <w:pStyle w:val="Compact"/>
              <w:jc w:val="left"/>
            </w:pPr>
            <w:r>
              <w:t xml:space="preserve">Drop decel-heavy drill; aerobic work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MLI LOW–MOD, MLS HIGH</w:t>
            </w:r>
          </w:p>
        </w:tc>
        <w:tc>
          <w:p>
            <w:pPr>
              <w:pStyle w:val="Compact"/>
              <w:jc w:val="left"/>
            </w:pPr>
            <w:r>
              <w:t xml:space="preserve">metabolic_fatigue</w:t>
            </w:r>
          </w:p>
        </w:tc>
        <w:tc>
          <w:p>
            <w:pPr>
              <w:pStyle w:val="Compact"/>
              <w:jc w:val="left"/>
            </w:pPr>
            <w:r>
              <w:t xml:space="preserve">Energy systems taxed, joints fine</w:t>
            </w:r>
          </w:p>
        </w:tc>
        <w:tc>
          <w:p>
            <w:pPr>
              <w:pStyle w:val="Compact"/>
              <w:jc w:val="left"/>
            </w:pPr>
            <w:r>
              <w:t xml:space="preserve">Drop long-running drill; explosive work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Both HIGH</w:t>
            </w:r>
          </w:p>
        </w:tc>
        <w:tc>
          <w:p>
            <w:pPr>
              <w:pStyle w:val="Compact"/>
              <w:jc w:val="left"/>
            </w:pPr>
            <w:r>
              <w:t xml:space="preserve">global_fatigue</w:t>
            </w:r>
          </w:p>
        </w:tc>
        <w:tc>
          <w:p>
            <w:pPr>
              <w:pStyle w:val="Compact"/>
              <w:jc w:val="left"/>
            </w:pPr>
            <w:r>
              <w:t xml:space="preserve">Everything taxed — typical post-match</w:t>
            </w:r>
          </w:p>
        </w:tc>
        <w:tc>
          <w:p>
            <w:pPr>
              <w:pStyle w:val="Compact"/>
              <w:jc w:val="left"/>
            </w:pPr>
            <w:r>
              <w:t xml:space="preserve">Drop overall intensity, prioritize 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Both LOW–MOD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Healthy training day</w:t>
            </w:r>
          </w:p>
        </w:tc>
        <w:tc>
          <w:p>
            <w:pPr>
              <w:pStyle w:val="Compact"/>
              <w:jc w:val="left"/>
            </w:pPr>
            <w:r>
              <w:t xml:space="preserve">Train as planned</w:t>
            </w:r>
          </w:p>
        </w:tc>
      </w:tr>
    </w:tbl>
    <w:p>
      <w:pPr>
        <w:pStyle w:val="BodyText"/>
      </w:pPr>
      <w:r>
        <w:t xml:space="preserve">Coaches who can quickly read the fatigue type save the player from the wrong modification. A common mistake is to</w:t>
      </w:r>
      <w:r>
        <w:t xml:space="preserve"> </w:t>
      </w:r>
      <w:r>
        <w:t xml:space="preserve">“</w:t>
      </w:r>
      <w:r>
        <w:t xml:space="preserve">give a recovery jog</w:t>
      </w:r>
      <w:r>
        <w:t xml:space="preserve">”</w:t>
      </w:r>
      <w:r>
        <w:t xml:space="preserve"> </w:t>
      </w:r>
      <w:r>
        <w:t xml:space="preserve">to a player with mechanical fatigue — the mechanical load doesn’t recover from a jog, it recovers from time off the legs. Conversely a metabolic-fatigued player can still benefit from short, sharp explosive work because their joints aren’t compromised.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where-you-see-mli-and-mls-in-the-ui"/>
      <w:r>
        <w:t xml:space="preserve">5. Where you see MLI and MLS in the UI</w:t>
      </w:r>
      <w:bookmarkEnd w:id="35"/>
    </w:p>
    <w:p>
      <w:pPr>
        <w:pStyle w:val="FirstParagraph"/>
      </w:pPr>
      <w:r>
        <w:t xml:space="preserve">Most coaches will not look up raw MLI/MLS numbers. The values feed into: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Composite Load Concern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Comp 0.78</w:t>
      </w:r>
      <w:r>
        <w:t xml:space="preserve">”</w:t>
      </w:r>
      <w:r>
        <w:t xml:space="preserve"> </w:t>
      </w:r>
      <w:r>
        <w:t xml:space="preserve">chip on Daily Briefing) — both engines feed in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Fatigue type tag</w:t>
      </w:r>
      <w:r>
        <w:t xml:space="preserve"> </w:t>
      </w:r>
      <w:r>
        <w:t xml:space="preserve">(</w:t>
      </w:r>
      <w:r>
        <w:t xml:space="preserve">“</w:t>
      </w:r>
      <w:r>
        <w:t xml:space="preserve">mechanical fatigue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metabolic fatigue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global fatigue</w:t>
      </w:r>
      <w:r>
        <w:t xml:space="preserve">”</w:t>
      </w:r>
      <w:r>
        <w:t xml:space="preserve">) on player rows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AI Player Summary</w:t>
      </w:r>
      <w:r>
        <w:t xml:space="preserve"> </w:t>
      </w:r>
      <w:r>
        <w:t xml:space="preserve">— synthesizes both engines into plain-language coach speak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Decision Summary verdict explanation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block lists MLI/MLS reasons when they drove the verdict</w:t>
      </w:r>
    </w:p>
    <w:p>
      <w:pPr>
        <w:pStyle w:val="FirstParagraph"/>
      </w:pPr>
      <w:r>
        <w:t xml:space="preserve">For coaches who want to drill into the raw numbers per player per day, the dev-coach-dashboard exposes them — but day-to-day, trusting the synthesised composite and verdict is the right workflow.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workflow-how-to-act-on-mli-mls"/>
      <w:r>
        <w:t xml:space="preserve">6. Workflow — how to act on MLI / MLS</w:t>
      </w:r>
      <w:bookmarkEnd w:id="36"/>
    </w:p>
    <w:p>
      <w:pPr>
        <w:pStyle w:val="Heading2"/>
      </w:pPr>
      <w:bookmarkStart w:id="37" w:name="daily-morning-briefing"/>
      <w:r>
        <w:t xml:space="preserve">6.1 Daily — morning briefing</w:t>
      </w:r>
      <w:bookmarkEnd w:id="37"/>
    </w:p>
    <w:p>
      <w:pPr>
        <w:pStyle w:val="FirstParagraph"/>
      </w:pPr>
      <w:r>
        <w:t xml:space="preserve">You don’t need to read raw MLI/MLS. Read the fatigue type tag on each flagged player. The tag tells you what to modify: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mechanical fatigue</w:t>
      </w:r>
      <w:r>
        <w:t xml:space="preserve">”</w:t>
      </w:r>
      <w:r>
        <w:t xml:space="preserve"> </w:t>
      </w:r>
      <w:r>
        <w:t xml:space="preserve">→ swap the highest-decel drill for a technical / passing one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metabolic fatigue</w:t>
      </w:r>
      <w:r>
        <w:t xml:space="preserve">”</w:t>
      </w:r>
      <w:r>
        <w:t xml:space="preserve"> </w:t>
      </w:r>
      <w:r>
        <w:t xml:space="preserve">→ cut the long-distance running portion, keep the explosive work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global fatigue</w:t>
      </w:r>
      <w:r>
        <w:t xml:space="preserve">”</w:t>
      </w:r>
      <w:r>
        <w:t xml:space="preserve"> </w:t>
      </w:r>
      <w:r>
        <w:t xml:space="preserve">→ cut overall session intensity by ~20% or convert to recovery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→ train as planned</w:t>
      </w:r>
    </w:p>
    <w:p>
      <w:pPr>
        <w:pStyle w:val="Heading2"/>
      </w:pPr>
      <w:bookmarkStart w:id="38" w:name="after-a-match"/>
      <w:r>
        <w:t xml:space="preserve">6.2 After a match</w:t>
      </w:r>
      <w:bookmarkEnd w:id="38"/>
    </w:p>
    <w:p>
      <w:pPr>
        <w:pStyle w:val="FirstParagraph"/>
      </w:pPr>
      <w:r>
        <w:t xml:space="preserve">Both MLI and MLS will be high for most players the next morning — that’s expected. The Composite Load Concern engine and the AI Summary now tag this as</w:t>
      </w:r>
      <w:r>
        <w:t xml:space="preserve"> </w:t>
      </w:r>
      <w:r>
        <w:t xml:space="preserve">“</w:t>
      </w:r>
      <w:r>
        <w:t xml:space="preserve">post-match — expected</w:t>
      </w:r>
      <w:r>
        <w:t xml:space="preserve">”</w:t>
      </w:r>
      <w:r>
        <w:t xml:space="preserve"> </w:t>
      </w:r>
      <w:r>
        <w:t xml:space="preserve">automatically (since we wired in match-day awareness). Don’t panic if every player’s fatigue type tag reads</w:t>
      </w:r>
      <w:r>
        <w:t xml:space="preserve"> </w:t>
      </w:r>
      <w:r>
        <w:t xml:space="preserve">“</w:t>
      </w:r>
      <w:r>
        <w:t xml:space="preserve">global fatigue</w:t>
      </w:r>
      <w:r>
        <w:t xml:space="preserve">”</w:t>
      </w:r>
      <w:r>
        <w:t xml:space="preserve"> </w:t>
      </w:r>
      <w:r>
        <w:t xml:space="preserve">the morning after a match.</w:t>
      </w:r>
    </w:p>
    <w:p>
      <w:pPr>
        <w:pStyle w:val="Heading2"/>
      </w:pPr>
      <w:bookmarkStart w:id="39" w:name="during-return-to-play"/>
      <w:r>
        <w:t xml:space="preserve">6.3 During Return-to-Play</w:t>
      </w:r>
      <w:bookmarkEnd w:id="39"/>
    </w:p>
    <w:p>
      <w:pPr>
        <w:pStyle w:val="FirstParagraph"/>
      </w:pPr>
      <w:r>
        <w:t xml:space="preserve">For a player coming back from injury, watch the trajectory of MLI specifically: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Weeks 1–2</w:t>
      </w:r>
      <w:r>
        <w:t xml:space="preserve"> </w:t>
      </w:r>
      <w:r>
        <w:t xml:space="preserve">— MLI in the 30–50 range (LOW to MODERATE). Player is being protected — good.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Weeks 3–4</w:t>
      </w:r>
      <w:r>
        <w:t xml:space="preserve"> </w:t>
      </w:r>
      <w:r>
        <w:t xml:space="preserve">— MLI rising into 50–65 range (MODERATE to HIGH). Body re-adapting to mechanical demand.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Week 5+</w:t>
      </w:r>
      <w:r>
        <w:t xml:space="preserve"> </w:t>
      </w:r>
      <w:r>
        <w:t xml:space="preserve">— MLI hitting 70+ on individual sessions (VERY_HIGH). Player is back to full training tolerance.</w:t>
      </w:r>
    </w:p>
    <w:p>
      <w:pPr>
        <w:pStyle w:val="FirstParagraph"/>
      </w:pPr>
      <w:r>
        <w:t xml:space="preserve">A return-to-play that jumps from MLI 30 to MLI 75 in one session is a re-injury risk. Smooth progression is what you want.</w:t>
      </w:r>
    </w:p>
    <w:p>
      <w:pPr>
        <w:pStyle w:val="Heading2"/>
      </w:pPr>
      <w:bookmarkStart w:id="40" w:name="periodisation-review"/>
      <w:r>
        <w:t xml:space="preserve">6.4 Periodisation review</w:t>
      </w:r>
      <w:bookmarkEnd w:id="40"/>
    </w:p>
    <w:p>
      <w:pPr>
        <w:pStyle w:val="FirstParagraph"/>
      </w:pPr>
      <w:r>
        <w:t xml:space="preserve">Look at team-average Residual MLI across the week. A team consistently in NORMAL band is in a healthy training rhythm. Multiple consecutive days where the team is in ELEVATED or CAUTION means you’re carrying multi-day mechanical load — make sure the next 48 hours have recovery built in.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common-patterns"/>
      <w:r>
        <w:t xml:space="preserve">7. Common patterns</w:t>
      </w:r>
      <w:bookmarkEnd w:id="41"/>
    </w:p>
    <w:p>
      <w:pPr>
        <w:pStyle w:val="Heading3"/>
      </w:pPr>
      <w:bookmarkStart w:id="42" w:name="composite-is-high-but-mli-is-low"/>
      <w:r>
        <w:t xml:space="preserve">“</w:t>
      </w:r>
      <w:r>
        <w:t xml:space="preserve">Composite is high but MLI is low</w:t>
      </w:r>
      <w:r>
        <w:t xml:space="preserve">”</w:t>
      </w:r>
      <w:bookmarkEnd w:id="42"/>
    </w:p>
    <w:p>
      <w:pPr>
        <w:pStyle w:val="FirstParagraph"/>
      </w:pPr>
      <w:r>
        <w:t xml:space="preserve">Either the metabolic arm or the RPE-ACWR arm is driving the composite. Read the fatigue type — if</w:t>
      </w:r>
      <w:r>
        <w:t xml:space="preserve"> </w:t>
      </w:r>
      <w:r>
        <w:t xml:space="preserve">“</w:t>
      </w:r>
      <w:r>
        <w:t xml:space="preserve">metabolic fatigue</w:t>
      </w:r>
      <w:r>
        <w:t xml:space="preserve">”</w:t>
      </w:r>
      <w:r>
        <w:t xml:space="preserve">, the metabolic side is dominant. If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, check the wellness check-in — the player may just be self-reporting tired without the load actually being high.</w:t>
      </w:r>
    </w:p>
    <w:p>
      <w:pPr>
        <w:pStyle w:val="Heading3"/>
      </w:pPr>
      <w:bookmarkStart w:id="43" w:name="mli-is-high-but-the-player-feels-fine"/>
      <w:r>
        <w:t xml:space="preserve">“</w:t>
      </w:r>
      <w:r>
        <w:t xml:space="preserve">MLI is HIGH but the player feels fine</w:t>
      </w:r>
      <w:r>
        <w:t xml:space="preserve">”</w:t>
      </w:r>
      <w:bookmarkEnd w:id="43"/>
    </w:p>
    <w:p>
      <w:pPr>
        <w:pStyle w:val="FirstParagraph"/>
      </w:pPr>
      <w:r>
        <w:t xml:space="preserve">Two reads: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Post-match (MD+1, MD+2)</w:t>
      </w:r>
      <w:r>
        <w:t xml:space="preserve"> </w:t>
      </w:r>
      <w:r>
        <w:t xml:space="preserve">— expected. Body is supposed to feel it. The player will feel it tomorrow even if not today.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Mid-week</w:t>
      </w:r>
      <w:r>
        <w:t xml:space="preserve"> </w:t>
      </w:r>
      <w:r>
        <w:t xml:space="preserve">— the player is well-adapted to high mechanical load. Watch for delayed-onset soreness 24-48h later, but no immediate action.</w:t>
      </w:r>
    </w:p>
    <w:p>
      <w:pPr>
        <w:pStyle w:val="Heading3"/>
      </w:pPr>
      <w:bookmarkStart w:id="44" w:name="mls-is-very_high-and-mli-is-low"/>
      <w:r>
        <w:t xml:space="preserve">“</w:t>
      </w:r>
      <w:r>
        <w:t xml:space="preserve">MLS is VERY_HIGH and MLI is LOW</w:t>
      </w:r>
      <w:r>
        <w:t xml:space="preserve">”</w:t>
      </w:r>
      <w:bookmarkEnd w:id="44"/>
    </w:p>
    <w:p>
      <w:pPr>
        <w:pStyle w:val="FirstParagraph"/>
      </w:pPr>
      <w:r>
        <w:t xml:space="preserve">Pure metabolic day — typical of a positional/possession session with lots of high-speed running but limited braking or direction changes. Common for wingers and attacking midfielders. Action: prioritize hydration and sleep; mechanical strength work tomorrow is fine.</w:t>
      </w:r>
    </w:p>
    <w:p>
      <w:pPr>
        <w:pStyle w:val="Heading3"/>
      </w:pPr>
      <w:bookmarkStart w:id="45" w:name="X8971232c112a7238484f51a28efaf13febed51b"/>
      <w:r>
        <w:t xml:space="preserve">“</w:t>
      </w:r>
      <w:r>
        <w:t xml:space="preserve">MLI is LOW for everyone but Composite is high</w:t>
      </w:r>
      <w:r>
        <w:t xml:space="preserve">”</w:t>
      </w:r>
      <w:bookmarkEnd w:id="45"/>
    </w:p>
    <w:p>
      <w:pPr>
        <w:pStyle w:val="FirstParagraph"/>
      </w:pPr>
      <w:r>
        <w:t xml:space="preserve">Sanity-check the ACWR (RPE arm) — if RPE is high but mechanical is low, it might be a technical session where players reported high effort but the load monitor didn’t catch it (e.g. a tactical walkthrough with lots of stop-start that doesn’t register as decels). Trust RPE in this case.</w:t>
      </w:r>
    </w:p>
    <w:p>
      <w:pPr>
        <w:pStyle w:val="Heading3"/>
      </w:pPr>
      <w:bookmarkStart w:id="46" w:name="Xd0025f20a3cbc4c450cc31d189fd2e6c94a16e5"/>
      <w:r>
        <w:t xml:space="preserve">“</w:t>
      </w:r>
      <w:r>
        <w:t xml:space="preserve">MLI confidence is</w:t>
      </w:r>
      <w:r>
        <w:t xml:space="preserve"> </w:t>
      </w:r>
      <w:r>
        <w:t xml:space="preserve">‘</w:t>
      </w:r>
      <w:r>
        <w:t xml:space="preserve">low</w:t>
      </w:r>
      <w:r>
        <w:t xml:space="preserve">’</w:t>
      </w:r>
      <w:r>
        <w:t xml:space="preserve"> </w:t>
      </w:r>
      <w:r>
        <w:t xml:space="preserve">for several players</w:t>
      </w:r>
      <w:r>
        <w:t xml:space="preserve">”</w:t>
      </w:r>
      <w:bookmarkEnd w:id="46"/>
    </w:p>
    <w:p>
      <w:pPr>
        <w:pStyle w:val="FirstParagraph"/>
      </w:pPr>
      <w:r>
        <w:t xml:space="preserve">Catapult sync had a partial day. Open</w:t>
      </w:r>
      <w:r>
        <w:t xml:space="preserve"> </w:t>
      </w:r>
      <w:r>
        <w:rPr>
          <w:rStyle w:val="VerbatimChar"/>
        </w:rPr>
        <w:t xml:space="preserve">/coach/load</w:t>
      </w:r>
      <w:r>
        <w:t xml:space="preserve"> </w:t>
      </w:r>
      <w:r>
        <w:t xml:space="preserve">and check raw signal coverage. Usually self-corrects within 24 hours when the next sync runs.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sport-science-references"/>
      <w:r>
        <w:t xml:space="preserve">8. Sport-science references</w:t>
      </w:r>
      <w:bookmarkEnd w:id="47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Vanrenterghem et al. 2017</w:t>
      </w:r>
      <w:r>
        <w:t xml:space="preserve"> </w:t>
      </w:r>
      <w:r>
        <w:t xml:space="preserve">(</w:t>
      </w:r>
      <w:r>
        <w:rPr>
          <w:i/>
        </w:rPr>
        <w:t xml:space="preserve">Sports Medicine</w:t>
      </w:r>
      <w:r>
        <w:t xml:space="preserve">) — Training load and mechanical injury risk in team sports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McBurnie, Harper, Jones &amp; Dos’Santos 2022</w:t>
      </w:r>
      <w:r>
        <w:t xml:space="preserve"> </w:t>
      </w:r>
      <w:r>
        <w:t xml:space="preserve">(</w:t>
      </w:r>
      <w:r>
        <w:rPr>
          <w:i/>
        </w:rPr>
        <w:t xml:space="preserve">Sports Medicine</w:t>
      </w:r>
      <w:r>
        <w:t xml:space="preserve">) — Deceleration framework (drives the DSS weighting in MLI)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di Prampero et al. 2005</w:t>
      </w:r>
      <w:r>
        <w:t xml:space="preserve"> </w:t>
      </w:r>
      <w:r>
        <w:t xml:space="preserve">(</w:t>
      </w:r>
      <w:r>
        <w:rPr>
          <w:i/>
        </w:rPr>
        <w:t xml:space="preserve">J Exp Biol</w:t>
      </w:r>
      <w:r>
        <w:t xml:space="preserve">) — Sprint running energetics (basis for Catapult’s metabolic power)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Brown et al. 2016</w:t>
      </w:r>
      <w:r>
        <w:t xml:space="preserve"> </w:t>
      </w:r>
      <w:r>
        <w:t xml:space="preserve">(</w:t>
      </w:r>
      <w:r>
        <w:rPr>
          <w:i/>
        </w:rPr>
        <w:t xml:space="preserve">J Sci Med Sport</w:t>
      </w:r>
      <w:r>
        <w:t xml:space="preserve">) — GPS-derived metabolic power validation vs gas analysis (the Brown correction we apply)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Halson 2014</w:t>
      </w:r>
      <w:r>
        <w:t xml:space="preserve"> </w:t>
      </w:r>
      <w:r>
        <w:t xml:space="preserve">(</w:t>
      </w:r>
      <w:r>
        <w:rPr>
          <w:i/>
        </w:rPr>
        <w:t xml:space="preserve">Sports Med</w:t>
      </w:r>
      <w:r>
        <w:t xml:space="preserve">) — Training load monitoring framework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Bourdon et al. 2017</w:t>
      </w:r>
      <w:r>
        <w:t xml:space="preserve"> </w:t>
      </w:r>
      <w:r>
        <w:t xml:space="preserve">(</w:t>
      </w:r>
      <w:r>
        <w:rPr>
          <w:i/>
        </w:rPr>
        <w:t xml:space="preserve">Int J Sports Physiol Perform</w:t>
      </w:r>
      <w:r>
        <w:t xml:space="preserve">) — Monitoring athlete training loads consensus statement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Last updated: 29 April 2026 · MicroPulse Performance Intelligence Platform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MicroPulse — MLI &amp; Metabolic Load Score Guide</dc:title>
  <dc:creator>MicroPulse Performance Intelligence Platform</dc:creator>
  <cp:keywords/>
  <dcterms:created xsi:type="dcterms:W3CDTF">2026-04-29T12:36:15Z</dcterms:created>
  <dcterms:modified xsi:type="dcterms:W3CDTF">2026-04-29T12:36:15Z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geometry">
    <vt:lpwstr>margin=1in</vt:lpwstr>
  </property>
  <property fmtid="{D5CDD505-2E9C-101B-9397-08002B2CF9AE}" pid="4" name="mainfont">
    <vt:lpwstr>Arial</vt:lpwstr>
  </property>
  <property fmtid="{D5CDD505-2E9C-101B-9397-08002B2CF9AE}" pid="5" name="subtitle">
    <vt:lpwstr>The two pillars under Composite Load — what they measure and how to read them</vt:lpwstr>
  </property>
</Properties>
</file>