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MicroPulse</w:t>
      </w:r>
      <w:r>
        <w:t xml:space="preserve"> </w:t>
      </w:r>
      <w:r>
        <w:t xml:space="preserve">—</w:t>
      </w:r>
      <w:r>
        <w:t xml:space="preserve"> </w:t>
      </w:r>
      <w:r>
        <w:t xml:space="preserve">Quadrant</w:t>
      </w:r>
      <w:r>
        <w:t xml:space="preserve"> </w:t>
      </w:r>
      <w:r>
        <w:t xml:space="preserve">View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Reading</w:t>
      </w:r>
      <w:r>
        <w:t xml:space="preserve"> </w:t>
      </w:r>
      <w:r>
        <w:t xml:space="preserve">the</w:t>
      </w:r>
      <w:r>
        <w:t xml:space="preserve"> </w:t>
      </w:r>
      <w:r>
        <w:t xml:space="preserve">Gabbett</w:t>
      </w:r>
      <w:r>
        <w:t xml:space="preserve"> </w:t>
      </w:r>
      <w:r>
        <w:t xml:space="preserve">2017</w:t>
      </w:r>
      <w:r>
        <w:t xml:space="preserve"> </w:t>
      </w:r>
      <w:r>
        <w:t xml:space="preserve">internal</w:t>
      </w:r>
      <w:r>
        <w:t xml:space="preserve"> </w:t>
      </w:r>
      <w:r>
        <w:t xml:space="preserve">vs</w:t>
      </w:r>
      <w:r>
        <w:t xml:space="preserve"> </w:t>
      </w:r>
      <w:r>
        <w:t xml:space="preserve">external</w:t>
      </w:r>
      <w:r>
        <w:t xml:space="preserve"> </w:t>
      </w:r>
      <w:r>
        <w:t xml:space="preserve">load</w:t>
      </w:r>
      <w:r>
        <w:t xml:space="preserve"> </w:t>
      </w:r>
      <w:r>
        <w:t xml:space="preserve">framework</w:t>
      </w:r>
    </w:p>
    <w:p>
      <w:pPr>
        <w:pStyle w:val="Author"/>
      </w:pPr>
      <w:r>
        <w:t xml:space="preserve">MicroPulse</w:t>
      </w:r>
      <w:r>
        <w:t xml:space="preserve"> </w:t>
      </w:r>
      <w:r>
        <w:t xml:space="preserve">Performance</w:t>
      </w:r>
      <w:r>
        <w:t xml:space="preserve"> </w:t>
      </w:r>
      <w:r>
        <w:t xml:space="preserve">Intelligence</w:t>
      </w:r>
      <w:r>
        <w:t xml:space="preserve"> </w:t>
      </w:r>
      <w:r>
        <w:t xml:space="preserve">Platform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what-this-page-tells-you"/>
      <w:r>
        <w:t xml:space="preserve">1. What this page tells you</w:t>
      </w:r>
      <w:bookmarkEnd w:id="20"/>
    </w:p>
    <w:p>
      <w:pPr>
        <w:pStyle w:val="FirstParagraph"/>
      </w:pPr>
      <w:r>
        <w:t xml:space="preserve">The Quadrant view (</w:t>
      </w:r>
      <w:r>
        <w:rPr>
          <w:rStyle w:val="VerbatimChar"/>
        </w:rPr>
        <w:t xml:space="preserve">Monitoring → Quadrant</w:t>
      </w:r>
      <w:r>
        <w:t xml:space="preserve">) is a single-screen visual that splits your squad into four groups by comparing</w:t>
      </w:r>
      <w:r>
        <w:t xml:space="preserve"> </w:t>
      </w:r>
      <w:r>
        <w:rPr>
          <w:b/>
        </w:rPr>
        <w:t xml:space="preserve">what the body actually did</w:t>
      </w:r>
      <w:r>
        <w:t xml:space="preserve"> </w:t>
      </w:r>
      <w:r>
        <w:t xml:space="preserve">(external load — distance, sprints, accelerations, captured by Catapult) against</w:t>
      </w:r>
      <w:r>
        <w:t xml:space="preserve"> </w:t>
      </w:r>
      <w:r>
        <w:rPr>
          <w:b/>
        </w:rPr>
        <w:t xml:space="preserve">what it cost the player to do it</w:t>
      </w:r>
      <w:r>
        <w:t xml:space="preserve"> </w:t>
      </w:r>
      <w:r>
        <w:t xml:space="preserve">(internal load — perceived effort, captured by daily RPE).</w:t>
      </w:r>
    </w:p>
    <w:p>
      <w:pPr>
        <w:pStyle w:val="BodyText"/>
      </w:pPr>
      <w:r>
        <w:t xml:space="preserve">It is built on the</w:t>
      </w:r>
      <w:r>
        <w:t xml:space="preserve"> </w:t>
      </w:r>
      <w:r>
        <w:rPr>
          <w:b/>
        </w:rPr>
        <w:t xml:space="preserve">Gabbett 2017</w:t>
      </w:r>
      <w:r>
        <w:t xml:space="preserve"> </w:t>
      </w:r>
      <w:r>
        <w:t xml:space="preserve">framework, which is the most cited reference in modern football periodisation. The core insight is simple: the relationship between external work and internal cost predicts injury risk and fitness adaptation better than either signal in isolation. A player whose internal cost is rising while their external work is staying flat is on the edge of overreaching, even though their session sheet looks normal.</w:t>
      </w:r>
    </w:p>
    <w:p>
      <w:pPr>
        <w:pStyle w:val="BodyText"/>
      </w:pPr>
      <w:r>
        <w:t xml:space="preserve">This page gives you that read for the entire squad in one glance. It updates immediately whenever new GPS or RPE data lands.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the-four-quadrants"/>
      <w:r>
        <w:t xml:space="preserve">2. The four quadrants</w:t>
      </w:r>
      <w:bookmarkEnd w:id="21"/>
    </w:p>
    <w:p>
      <w:pPr>
        <w:pStyle w:val="FirstParagraph"/>
      </w:pPr>
      <w:r>
        <w:t xml:space="preserve">The chart is divided by team-median crosshairs. Where each player lands relative to those crosshairs places them in one of four quadrants:</w:t>
      </w:r>
    </w:p>
    <w:p>
      <w:pPr>
        <w:pStyle w:val="Heading3"/>
      </w:pPr>
      <w:bookmarkStart w:id="22" w:name="top-right-injury-risk-red-background"/>
      <w:r>
        <w:t xml:space="preserve">2.1 Top-right — Injury risk (red background)</w:t>
      </w:r>
      <w:bookmarkEnd w:id="22"/>
    </w:p>
    <w:p>
      <w:pPr>
        <w:pStyle w:val="FirstParagraph"/>
      </w:pPr>
      <w:r>
        <w:rPr>
          <w:b/>
        </w:rPr>
        <w:t xml:space="preserve">High external load, high internal cost.</w:t>
      </w:r>
      <w:r>
        <w:t xml:space="preserve"> </w:t>
      </w:r>
      <w:r>
        <w:t xml:space="preserve">These players are doing a lot AND finding it hard. This is the classic pre-injury profile: the body is signalling it cannot keep absorbing what’s being asked of it. Sustained presence in this quadrant is the strongest week-to-week predictor of soft-tissue injury in the published literature.</w:t>
      </w:r>
    </w:p>
    <w:p>
      <w:pPr>
        <w:pStyle w:val="BodyText"/>
      </w:pPr>
      <w:r>
        <w:rPr>
          <w:b/>
        </w:rPr>
        <w:t xml:space="preserve">What to do:</w:t>
      </w:r>
      <w:r>
        <w:t xml:space="preserve"> </w:t>
      </w:r>
      <w:r>
        <w:t xml:space="preserve">prescribe recovery. Cut session intensity for the next 2–3 days, pull them out of the highest-load drills, prioritise sleep + nutrition messaging.</w:t>
      </w:r>
    </w:p>
    <w:p>
      <w:pPr>
        <w:pStyle w:val="Heading3"/>
      </w:pPr>
      <w:bookmarkStart w:id="23" w:name="top-left-decoupled-amber-background"/>
      <w:r>
        <w:t xml:space="preserve">2.2 Top-left — Decoupled (amber background)</w:t>
      </w:r>
      <w:bookmarkEnd w:id="23"/>
    </w:p>
    <w:p>
      <w:pPr>
        <w:pStyle w:val="FirstParagraph"/>
      </w:pPr>
      <w:r>
        <w:rPr>
          <w:b/>
        </w:rPr>
        <w:t xml:space="preserve">Low external load, high internal cost.</w:t>
      </w:r>
      <w:r>
        <w:t xml:space="preserve"> </w:t>
      </w:r>
      <w:r>
        <w:t xml:space="preserve">Players who are doing relatively little but feeling it heavily. This is the early-fatigue warning. Often appears 1–2 days before a player would otherwise show up in the red quadrant.</w:t>
      </w:r>
    </w:p>
    <w:p>
      <w:pPr>
        <w:pStyle w:val="BodyText"/>
      </w:pPr>
      <w:r>
        <w:t xml:space="preserve">Common drivers: poor sleep, illness incoming, accumulated fatigue from previous weeks, life stress, or a previously protected player whose readiness hasn’t yet caught up to a returning training load.</w:t>
      </w:r>
    </w:p>
    <w:p>
      <w:pPr>
        <w:pStyle w:val="BodyText"/>
      </w:pPr>
      <w:r>
        <w:rPr>
          <w:b/>
        </w:rPr>
        <w:t xml:space="preserve">What to do:</w:t>
      </w:r>
      <w:r>
        <w:t xml:space="preserve"> </w:t>
      </w:r>
      <w:r>
        <w:t xml:space="preserve">check the player’s wellness check-in for context. Drop training intensity rather than volume — let the legs keep moving but take the spike out.</w:t>
      </w:r>
    </w:p>
    <w:p>
      <w:pPr>
        <w:pStyle w:val="Heading3"/>
      </w:pPr>
      <w:bookmarkStart w:id="24" w:name="Xfbd40c8439533702e297eafc8fe8ee634a9c9a7"/>
      <w:r>
        <w:t xml:space="preserve">2.3 Bottom-right — Peak fitness (green background)</w:t>
      </w:r>
      <w:bookmarkEnd w:id="24"/>
    </w:p>
    <w:p>
      <w:pPr>
        <w:pStyle w:val="FirstParagraph"/>
      </w:pPr>
      <w:r>
        <w:rPr>
          <w:b/>
        </w:rPr>
        <w:t xml:space="preserve">High external load, low internal cost.</w:t>
      </w:r>
      <w:r>
        <w:t xml:space="preserve"> </w:t>
      </w:r>
      <w:r>
        <w:t xml:space="preserve">The player is doing the most work AND finding it easy. This is what every periodisation plan is trying to produce — high adaptation with low cost. Very often these are your most prepared starters during the in-season.</w:t>
      </w:r>
    </w:p>
    <w:p>
      <w:pPr>
        <w:pStyle w:val="BodyText"/>
      </w:pPr>
      <w:r>
        <w:rPr>
          <w:b/>
        </w:rPr>
        <w:t xml:space="preserve">What to do:</w:t>
      </w:r>
      <w:r>
        <w:t xml:space="preserve"> </w:t>
      </w:r>
      <w:r>
        <w:t xml:space="preserve">progress them. They have headroom. This is also the quadrant where you can legitimately push someone toward higher demand without worrying about overreaching.</w:t>
      </w:r>
    </w:p>
    <w:p>
      <w:pPr>
        <w:pStyle w:val="Heading3"/>
      </w:pPr>
      <w:bookmarkStart w:id="25" w:name="X478efe2113ae69a3259315a7decbbbe892d236d"/>
      <w:r>
        <w:t xml:space="preserve">2.4 Bottom-left — Under-stimulated (gray background)</w:t>
      </w:r>
      <w:bookmarkEnd w:id="25"/>
    </w:p>
    <w:p>
      <w:pPr>
        <w:pStyle w:val="FirstParagraph"/>
      </w:pPr>
      <w:r>
        <w:rPr>
          <w:b/>
        </w:rPr>
        <w:t xml:space="preserve">Low external load, low internal cost.</w:t>
      </w:r>
      <w:r>
        <w:t xml:space="preserve"> </w:t>
      </w:r>
      <w:r>
        <w:t xml:space="preserve">The player isn’t doing much and isn’t feeling much either. Common during recovery weeks, deload phases, or for fringe squad members not getting enough drill time.</w:t>
      </w:r>
    </w:p>
    <w:p>
      <w:pPr>
        <w:pStyle w:val="BodyText"/>
      </w:pPr>
      <w:r>
        <w:rPr>
          <w:b/>
        </w:rPr>
        <w:t xml:space="preserve">What to do:</w:t>
      </w:r>
      <w:r>
        <w:t xml:space="preserve"> </w:t>
      </w:r>
      <w:r>
        <w:t xml:space="preserve">depends on context. During a planned deload this is exactly where the squad should be. Outside a deload it is a sign to increase exposure — either give them more match minutes or add an extra session, otherwise they will not be ready when called 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reading-the-page"/>
      <w:r>
        <w:t xml:space="preserve">3. Reading the page</w:t>
      </w:r>
      <w:bookmarkEnd w:id="26"/>
    </w:p>
    <w:p>
      <w:pPr>
        <w:pStyle w:val="Heading2"/>
      </w:pPr>
      <w:bookmarkStart w:id="27" w:name="time-window-selector-top-right"/>
      <w:r>
        <w:t xml:space="preserve">3.1 Time window selector — top right</w:t>
      </w:r>
      <w:bookmarkEnd w:id="27"/>
    </w:p>
    <w:p>
      <w:pPr>
        <w:pStyle w:val="FirstParagraph"/>
      </w:pPr>
      <w:r>
        <w:t xml:space="preserve">Three buttons:</w:t>
      </w:r>
      <w:r>
        <w:t xml:space="preserve"> </w:t>
      </w:r>
      <w:r>
        <w:rPr>
          <w:b/>
        </w:rPr>
        <w:t xml:space="preserve">7d / 14d / 28d</w:t>
      </w:r>
      <w:r>
        <w:t xml:space="preserve">. They control which window of data the chart averages over.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7d</w:t>
      </w:r>
      <w:r>
        <w:t xml:space="preserve"> </w:t>
      </w:r>
      <w:r>
        <w:t xml:space="preserve">— most reactive. Shows the</w:t>
      </w:r>
      <w:r>
        <w:t xml:space="preserve"> </w:t>
      </w:r>
      <w:r>
        <w:rPr>
          <w:i/>
        </w:rPr>
        <w:t xml:space="preserve">current</w:t>
      </w:r>
      <w:r>
        <w:t xml:space="preserve"> </w:t>
      </w:r>
      <w:r>
        <w:t xml:space="preserve">state of the squad. Use for daily / weekly decisions.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14d</w:t>
      </w:r>
      <w:r>
        <w:t xml:space="preserve"> </w:t>
      </w:r>
      <w:r>
        <w:t xml:space="preserve">— smooths week-over-week noise. Best for periodisation discussions in the staff meeting.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28d</w:t>
      </w:r>
      <w:r>
        <w:t xml:space="preserve"> </w:t>
      </w:r>
      <w:r>
        <w:t xml:space="preserve">— chronic load view. Best for longer-term decisions like return-to-play readiness, contract / loan discussions, monitoring across an international break.</w:t>
      </w:r>
    </w:p>
    <w:p>
      <w:pPr>
        <w:pStyle w:val="FirstParagraph"/>
      </w:pPr>
      <w:r>
        <w:t xml:space="preserve">The page defaults to 7d and remembers your last choice.</w:t>
      </w:r>
    </w:p>
    <w:p>
      <w:pPr>
        <w:pStyle w:val="Heading2"/>
      </w:pPr>
      <w:bookmarkStart w:id="28" w:name="count-cards-top-of-page"/>
      <w:r>
        <w:t xml:space="preserve">3.2 Count cards — top of page</w:t>
      </w:r>
      <w:bookmarkEnd w:id="28"/>
    </w:p>
    <w:p>
      <w:pPr>
        <w:pStyle w:val="FirstParagraph"/>
      </w:pPr>
      <w:r>
        <w:t xml:space="preserve">Four colored count cards above the chart, one per quadrant:</w:t>
      </w:r>
      <w:r>
        <w:t xml:space="preserve"> </w:t>
      </w:r>
      <w:r>
        <w:rPr>
          <w:b/>
        </w:rPr>
        <w:t xml:space="preserve">Injury risk</w:t>
      </w:r>
      <w:r>
        <w:t xml:space="preserve">,</w:t>
      </w:r>
      <w:r>
        <w:t xml:space="preserve"> </w:t>
      </w:r>
      <w:r>
        <w:rPr>
          <w:b/>
        </w:rPr>
        <w:t xml:space="preserve">Decoupled</w:t>
      </w:r>
      <w:r>
        <w:t xml:space="preserve">,</w:t>
      </w:r>
      <w:r>
        <w:t xml:space="preserve"> </w:t>
      </w:r>
      <w:r>
        <w:rPr>
          <w:b/>
        </w:rPr>
        <w:t xml:space="preserve">Peak fitness</w:t>
      </w:r>
      <w:r>
        <w:t xml:space="preserve">,</w:t>
      </w:r>
      <w:r>
        <w:t xml:space="preserve"> </w:t>
      </w:r>
      <w:r>
        <w:rPr>
          <w:b/>
        </w:rPr>
        <w:t xml:space="preserve">Under-stimulated</w:t>
      </w:r>
      <w:r>
        <w:t xml:space="preserve">. They tell you instantly how many players are in each group.</w:t>
      </w:r>
    </w:p>
    <w:p>
      <w:pPr>
        <w:pStyle w:val="BodyText"/>
      </w:pPr>
      <w:r>
        <w:t xml:space="preserve">A healthy squad pattern in mid-season is roughly: 2 risk / 3 decoupled / 6 peak / 7 under-stimulated for an 18-player squad. Significantly more in risk + decoupled together (&gt;30% of squad) means the team-wide load is too high — flag it for the head coach, not just for individual players.</w:t>
      </w:r>
    </w:p>
    <w:p>
      <w:pPr>
        <w:pStyle w:val="Heading2"/>
      </w:pPr>
      <w:bookmarkStart w:id="29" w:name="the-chart-itself"/>
      <w:r>
        <w:t xml:space="preserve">3.3 The chart itself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 axis</w:t>
      </w:r>
      <w:r>
        <w:t xml:space="preserve"> </w:t>
      </w:r>
      <w:r>
        <w:t xml:space="preserve">— average external load (m/day) in your selected window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Y axis</w:t>
      </w:r>
      <w:r>
        <w:t xml:space="preserve"> </w:t>
      </w:r>
      <w:r>
        <w:t xml:space="preserve">— average internal cost (sRPE AU/day) in your selected window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Crosshairs</w:t>
      </w:r>
      <w:r>
        <w:t xml:space="preserve"> </w:t>
      </w:r>
      <w:r>
        <w:t xml:space="preserve">— the team median on each axis (so the four quadrants always have ~25% of your squad each on a balanced team)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Each dot</w:t>
      </w:r>
      <w:r>
        <w:t xml:space="preserve"> </w:t>
      </w:r>
      <w:r>
        <w:t xml:space="preserve">— one player. Hover to see their name and exact values</w:t>
      </w:r>
    </w:p>
    <w:p>
      <w:pPr>
        <w:pStyle w:val="Heading3"/>
      </w:pPr>
      <w:bookmarkStart w:id="30" w:name="dot-size-acwr-overlay"/>
      <w:r>
        <w:t xml:space="preserve">Dot size — ACWR overlay</w:t>
      </w:r>
      <w:bookmarkEnd w:id="30"/>
    </w:p>
    <w:p>
      <w:pPr>
        <w:pStyle w:val="FirstParagraph"/>
      </w:pPr>
      <w:r>
        <w:t xml:space="preserve">The size of each dot encodes that player’s</w:t>
      </w:r>
      <w:r>
        <w:t xml:space="preserve"> </w:t>
      </w:r>
      <w:r>
        <w:rPr>
          <w:b/>
        </w:rPr>
        <w:t xml:space="preserve">Acute:Chronic Workload Ratio (ACWR)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Small dot</w:t>
      </w:r>
      <w:r>
        <w:t xml:space="preserve"> </w:t>
      </w:r>
      <w:r>
        <w:t xml:space="preserve">— ACWR below 1.3. Healthy chronic adaptation.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Medium dot</w:t>
      </w:r>
      <w:r>
        <w:t xml:space="preserve"> </w:t>
      </w:r>
      <w:r>
        <w:t xml:space="preserve">— ACWR between 1.3 and 1.5. Watch list.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Large dot</w:t>
      </w:r>
      <w:r>
        <w:t xml:space="preserve"> </w:t>
      </w:r>
      <w:r>
        <w:t xml:space="preserve">— ACWR above 1.5. The Gabbett</w:t>
      </w:r>
      <w:r>
        <w:t xml:space="preserve"> </w:t>
      </w:r>
      <w:r>
        <w:t xml:space="preserve">“</w:t>
      </w:r>
      <w:r>
        <w:t xml:space="preserve">danger zone</w:t>
      </w:r>
      <w:r>
        <w:t xml:space="preserve">”</w:t>
      </w:r>
      <w:r>
        <w:t xml:space="preserve"> </w:t>
      </w:r>
      <w:r>
        <w:t xml:space="preserve">— significantly elevated injury risk regardless of which quadrant they sit in.</w:t>
      </w:r>
    </w:p>
    <w:p>
      <w:pPr>
        <w:pStyle w:val="FirstParagraph"/>
      </w:pPr>
      <w:r>
        <w:t xml:space="preserve">A large dot in the top-right quadrant is the worst combination on the page. Treat it as a hard stop signal.</w:t>
      </w:r>
    </w:p>
    <w:p>
      <w:pPr>
        <w:pStyle w:val="Heading2"/>
      </w:pPr>
      <w:bookmarkStart w:id="31" w:name="the-how-to-read-this-helper-text"/>
      <w:r>
        <w:t xml:space="preserve">3.4 The</w:t>
      </w:r>
      <w:r>
        <w:t xml:space="preserve"> </w:t>
      </w:r>
      <w:r>
        <w:t xml:space="preserve">“</w:t>
      </w:r>
      <w:r>
        <w:t xml:space="preserve">How to read this</w:t>
      </w:r>
      <w:r>
        <w:t xml:space="preserve">”</w:t>
      </w:r>
      <w:r>
        <w:t xml:space="preserve"> </w:t>
      </w:r>
      <w:r>
        <w:t xml:space="preserve">helper text</w:t>
      </w:r>
      <w:bookmarkEnd w:id="31"/>
    </w:p>
    <w:p>
      <w:pPr>
        <w:pStyle w:val="FirstParagraph"/>
      </w:pPr>
      <w:r>
        <w:t xml:space="preserve">Below the chart there is a short legend explaining each quadrant. It mirrors what’s in this guide, in case you have a new staff member who needs the orientation. Everything you need to interpret the page is on the page.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X90e90f4c4fa60d0fde59d8202ae564df86c1f7e"/>
      <w:r>
        <w:t xml:space="preserve">4. Workflow — how to use this in a normal week</w:t>
      </w:r>
      <w:bookmarkEnd w:id="32"/>
    </w:p>
    <w:p>
      <w:pPr>
        <w:pStyle w:val="Heading2"/>
      </w:pPr>
      <w:bookmarkStart w:id="33" w:name="monday-morning-planning-meeting"/>
      <w:r>
        <w:t xml:space="preserve">4.1 Monday morning planning meeting</w:t>
      </w:r>
      <w:bookmarkEnd w:id="33"/>
    </w:p>
    <w:p>
      <w:pPr>
        <w:pStyle w:val="FirstParagraph"/>
      </w:pPr>
      <w:r>
        <w:t xml:space="preserve">Open the Quadrant view at 14d. Scan for:</w:t>
      </w:r>
    </w:p>
    <w:p>
      <w:pPr>
        <w:numPr>
          <w:ilvl w:val="0"/>
          <w:numId w:val="1004"/>
        </w:numPr>
        <w:pStyle w:val="Compact"/>
      </w:pPr>
      <w:r>
        <w:t xml:space="preserve">Any large dots (high ACWR) — these get individual modification regardless of quadrant</w:t>
      </w:r>
    </w:p>
    <w:p>
      <w:pPr>
        <w:numPr>
          <w:ilvl w:val="0"/>
          <w:numId w:val="1004"/>
        </w:numPr>
        <w:pStyle w:val="Compact"/>
      </w:pPr>
      <w:r>
        <w:t xml:space="preserve">The shape of the cluster — is it shifted up-right (team-wide overreach) or down-left (team-wide deload)?</w:t>
      </w:r>
    </w:p>
    <w:p>
      <w:pPr>
        <w:numPr>
          <w:ilvl w:val="0"/>
          <w:numId w:val="1004"/>
        </w:numPr>
        <w:pStyle w:val="Compact"/>
      </w:pPr>
      <w:r>
        <w:t xml:space="preserve">Players who have moved quadrant since last week (you’ll need to remember from previous Monday or compare to a screenshot)</w:t>
      </w:r>
    </w:p>
    <w:p>
      <w:pPr>
        <w:pStyle w:val="FirstParagraph"/>
      </w:pPr>
      <w:r>
        <w:t xml:space="preserve">Set the week’s training intensity bias from this view. If half the squad is in risk + decoupled, the week should be lighter than planned even if the schedule says otherwise.</w:t>
      </w:r>
    </w:p>
    <w:p>
      <w:pPr>
        <w:pStyle w:val="Heading2"/>
      </w:pPr>
      <w:bookmarkStart w:id="34" w:name="friday-match-selection-input"/>
      <w:r>
        <w:t xml:space="preserve">4.2 Friday — match selection input</w:t>
      </w:r>
      <w:bookmarkEnd w:id="34"/>
    </w:p>
    <w:p>
      <w:pPr>
        <w:pStyle w:val="FirstParagraph"/>
      </w:pPr>
      <w:r>
        <w:t xml:space="preserve">Switch to 7d before squad selection. Players with elevated ACWR (large dots) in the risk quadrant are hard nos for starting unless a starter is unavailable. Decoupled-quadrant players can start but should be prepared for an early sub.</w:t>
      </w:r>
    </w:p>
    <w:p>
      <w:pPr>
        <w:pStyle w:val="Heading2"/>
      </w:pPr>
      <w:bookmarkStart w:id="35" w:name="mid-week-single-day-check"/>
      <w:r>
        <w:t xml:space="preserve">4.3 Mid-week — single-day check</w:t>
      </w:r>
      <w:bookmarkEnd w:id="35"/>
    </w:p>
    <w:p>
      <w:pPr>
        <w:pStyle w:val="FirstParagraph"/>
      </w:pPr>
      <w:r>
        <w:t xml:space="preserve">A quick 7d glance after every training session lets you catch fast-moving players. Someone who jumped from peak fitness to decoupled in one session is signalling acute fatigue from that session — adjust the next day’s plan accordingly.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Xdab9e42078fd173ec269e4decad0cbcc464f52a"/>
      <w:r>
        <w:t xml:space="preserve">5. Data requirements — when this page is useful</w:t>
      </w:r>
      <w:bookmarkEnd w:id="36"/>
    </w:p>
    <w:p>
      <w:pPr>
        <w:pStyle w:val="FirstParagraph"/>
      </w:pPr>
      <w:r>
        <w:t xml:space="preserve">The Quadrant view needs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GPS data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RPE check-ins to plot a player. If a player is missing one of the two, they won’t appear on the chart.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GPS data</w:t>
      </w:r>
      <w:r>
        <w:t xml:space="preserve"> </w:t>
      </w:r>
      <w:r>
        <w:t xml:space="preserve">— usually because the player was unavailable that day (injury, illness, missed session). Check</w:t>
      </w:r>
      <w:r>
        <w:t xml:space="preserve"> </w:t>
      </w:r>
      <w:r>
        <w:rPr>
          <w:rStyle w:val="VerbatimChar"/>
        </w:rPr>
        <w:t xml:space="preserve">Monitoring → Squad</w:t>
      </w:r>
      <w:r>
        <w:t xml:space="preserve"> </w:t>
      </w:r>
      <w:r>
        <w:t xml:space="preserve">for context.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RPE data</w:t>
      </w:r>
      <w:r>
        <w:t xml:space="preserve"> </w:t>
      </w:r>
      <w:r>
        <w:t xml:space="preserve">— the player didn’t fill in their daily check-in. The system imputes a value where confident, but if the imputation also failed (e.g. player was off the squad), they drop off the chart.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data at all</w:t>
      </w:r>
      <w:r>
        <w:t xml:space="preserve"> </w:t>
      </w:r>
      <w:r>
        <w:t xml:space="preserve">— there will be a</w:t>
      </w:r>
      <w:r>
        <w:t xml:space="preserve"> </w:t>
      </w:r>
      <w:r>
        <w:t xml:space="preserve">“</w:t>
      </w:r>
      <w:r>
        <w:t xml:space="preserve">Add GPS / RPE data →</w:t>
      </w:r>
      <w:r>
        <w:t xml:space="preserve">”</w:t>
      </w:r>
      <w:r>
        <w:t xml:space="preserve"> </w:t>
      </w:r>
      <w:r>
        <w:t xml:space="preserve">link below the chart pointing you to where to wire that up.</w:t>
      </w:r>
    </w:p>
    <w:p>
      <w:pPr>
        <w:pStyle w:val="FirstParagraph"/>
      </w:pPr>
      <w:r>
        <w:t xml:space="preserve">For new clubs: you need at least 7 days of paired GPS + RPE before this page becomes useful. With 28 days of data the ACWR overlay becomes meaningful.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X72a03ad1edf3984b2810969f2af8908fb31696d"/>
      <w:r>
        <w:t xml:space="preserve">6. How this fits with the rest of MicroPulse</w:t>
      </w:r>
      <w:bookmarkEnd w:id="37"/>
    </w:p>
    <w:p>
      <w:pPr>
        <w:pStyle w:val="FirstParagraph"/>
      </w:pPr>
      <w:r>
        <w:t xml:space="preserve">The Quadrant view gives you the</w:t>
      </w:r>
      <w:r>
        <w:t xml:space="preserve"> </w:t>
      </w:r>
      <w:r>
        <w:rPr>
          <w:b/>
        </w:rPr>
        <w:t xml:space="preserve">shape</w:t>
      </w:r>
      <w:r>
        <w:t xml:space="preserve"> </w:t>
      </w:r>
      <w:r>
        <w:t xml:space="preserve">of the squad. Other pages give you the depth on each player:</w:t>
      </w:r>
    </w:p>
    <w:p>
      <w:pPr>
        <w:numPr>
          <w:ilvl w:val="0"/>
          <w:numId w:val="1006"/>
        </w:numPr>
        <w:pStyle w:val="Compact"/>
      </w:pPr>
      <w:r>
        <w:t xml:space="preserve">A red-quadrant player → check</w:t>
      </w:r>
      <w:r>
        <w:t xml:space="preserve"> </w:t>
      </w:r>
      <w:r>
        <w:rPr>
          <w:b/>
        </w:rPr>
        <w:t xml:space="preserve">Decel Intelligence</w:t>
      </w:r>
      <w:r>
        <w:t xml:space="preserve"> </w:t>
      </w:r>
      <w:r>
        <w:t xml:space="preserve">to see</w:t>
      </w:r>
      <w:r>
        <w:t xml:space="preserve"> </w:t>
      </w:r>
      <w:r>
        <w:rPr>
          <w:i/>
        </w:rPr>
        <w:t xml:space="preserve">which dimension</w:t>
      </w:r>
      <w:r>
        <w:t xml:space="preserve"> </w:t>
      </w:r>
      <w:r>
        <w:t xml:space="preserve">of load is most stressful.</w:t>
      </w:r>
    </w:p>
    <w:p>
      <w:pPr>
        <w:numPr>
          <w:ilvl w:val="0"/>
          <w:numId w:val="1006"/>
        </w:numPr>
        <w:pStyle w:val="Compact"/>
      </w:pPr>
      <w:r>
        <w:t xml:space="preserve">A decoupled player → check the</w:t>
      </w:r>
      <w:r>
        <w:t xml:space="preserve"> </w:t>
      </w:r>
      <w:r>
        <w:rPr>
          <w:b/>
        </w:rPr>
        <w:t xml:space="preserve">Today / Decision Summary</w:t>
      </w:r>
      <w:r>
        <w:t xml:space="preserve"> </w:t>
      </w:r>
      <w:r>
        <w:t xml:space="preserve">to see what their wellness check-in says, and whether they have an active injury or illness.</w:t>
      </w:r>
    </w:p>
    <w:p>
      <w:pPr>
        <w:numPr>
          <w:ilvl w:val="0"/>
          <w:numId w:val="1006"/>
        </w:numPr>
        <w:pStyle w:val="Compact"/>
      </w:pPr>
      <w:r>
        <w:t xml:space="preserve">A team-wide overload pattern → check</w:t>
      </w:r>
      <w:r>
        <w:t xml:space="preserve"> </w:t>
      </w:r>
      <w:r>
        <w:rPr>
          <w:b/>
        </w:rPr>
        <w:t xml:space="preserve">Indoor Load</w:t>
      </w:r>
      <w:r>
        <w:t xml:space="preserve"> </w:t>
      </w:r>
      <w:r>
        <w:t xml:space="preserve">if the recent sessions were indoor — sometimes the spike is FMP-driven rather than GPS-driven.</w:t>
      </w:r>
    </w:p>
    <w:p>
      <w:pPr>
        <w:pStyle w:val="FirstParagraph"/>
      </w:pPr>
      <w:r>
        <w:t xml:space="preserve">The Quadrant view is the strongest</w:t>
      </w:r>
      <w:r>
        <w:t xml:space="preserve"> </w:t>
      </w:r>
      <w:r>
        <w:rPr>
          <w:i/>
        </w:rPr>
        <w:t xml:space="preserve">single screen</w:t>
      </w:r>
      <w:r>
        <w:t xml:space="preserve"> </w:t>
      </w:r>
      <w:r>
        <w:t xml:space="preserve">in the platform for explaining squad load to a head coach who doesn’t want to read five different pages. Take a screenshot, drop it in the staff group chat, talk through it.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troubleshooting"/>
      <w:r>
        <w:t xml:space="preserve">7. Troubleshooting</w:t>
      </w:r>
      <w:bookmarkEnd w:id="38"/>
    </w:p>
    <w:p>
      <w:pPr>
        <w:pStyle w:val="Heading3"/>
      </w:pPr>
      <w:bookmarkStart w:id="39" w:name="all-my-dots-are-clustered-in-one-corner"/>
      <w:r>
        <w:t xml:space="preserve">“</w:t>
      </w:r>
      <w:r>
        <w:t xml:space="preserve">All my dots are clustered in one corner</w:t>
      </w:r>
      <w:r>
        <w:t xml:space="preserve">”</w:t>
      </w:r>
      <w:bookmarkEnd w:id="39"/>
    </w:p>
    <w:p>
      <w:pPr>
        <w:pStyle w:val="FirstParagraph"/>
      </w:pPr>
      <w:r>
        <w:t xml:space="preserve">This usually means the team-median crosshairs are skewed by one or two outlier players (often a returning-from-injury player whose load is artificially low). The quadrants are</w:t>
      </w:r>
      <w:r>
        <w:t xml:space="preserve"> </w:t>
      </w:r>
      <w:r>
        <w:rPr>
          <w:i/>
        </w:rPr>
        <w:t xml:space="preserve">relative to the team</w:t>
      </w:r>
      <w:r>
        <w:t xml:space="preserve">, so an extreme outlier compresses everyone else.</w:t>
      </w:r>
    </w:p>
    <w:p>
      <w:pPr>
        <w:pStyle w:val="BodyText"/>
      </w:pPr>
      <w:r>
        <w:t xml:space="preserve">Switch to 14d or 28d to smooth the effect, or temporarily exclude the outlier from the team for analysis. The page does not support manual exclusion yet — that’s on the roadmap.</w:t>
      </w:r>
    </w:p>
    <w:p>
      <w:pPr>
        <w:pStyle w:val="Heading3"/>
      </w:pPr>
      <w:bookmarkStart w:id="40" w:name="Xeddbd4c782e7193dbae34148c32a11e04828568"/>
      <w:r>
        <w:t xml:space="preserve">“</w:t>
      </w:r>
      <w:r>
        <w:t xml:space="preserve">I can’t see a player I know was at training</w:t>
      </w:r>
      <w:r>
        <w:t xml:space="preserve">”</w:t>
      </w:r>
      <w:bookmarkEnd w:id="40"/>
    </w:p>
    <w:p>
      <w:pPr>
        <w:pStyle w:val="FirstParagraph"/>
      </w:pPr>
      <w:r>
        <w:t xml:space="preserve">They are missing either GPS or RPE for the window. Open</w:t>
      </w:r>
      <w:r>
        <w:t xml:space="preserve"> </w:t>
      </w:r>
      <w:r>
        <w:rPr>
          <w:rStyle w:val="VerbatimChar"/>
        </w:rPr>
        <w:t xml:space="preserve">Monitoring → Squad</w:t>
      </w:r>
      <w:r>
        <w:t xml:space="preserve"> </w:t>
      </w:r>
      <w:r>
        <w:t xml:space="preserve">and check their data presence directly. Most common cause: the player skipped their RPE check-in, or wore a Catapult pod assigned to someone else.</w:t>
      </w:r>
    </w:p>
    <w:p>
      <w:pPr>
        <w:pStyle w:val="Heading3"/>
      </w:pPr>
      <w:bookmarkStart w:id="41" w:name="acwr-dots-all-look-the-same-size"/>
      <w:r>
        <w:t xml:space="preserve">“</w:t>
      </w:r>
      <w:r>
        <w:t xml:space="preserve">ACWR dots all look the same size</w:t>
      </w:r>
      <w:r>
        <w:t xml:space="preserve">”</w:t>
      </w:r>
      <w:bookmarkEnd w:id="41"/>
    </w:p>
    <w:p>
      <w:pPr>
        <w:pStyle w:val="FirstParagraph"/>
      </w:pPr>
      <w:r>
        <w:t xml:space="preserve">You don’t have 28 days of data yet. ACWR needs a chronic 28-day baseline to compute. The dot-size encoding becomes visible once you have ~21+ days of paired data per player.</w:t>
      </w:r>
    </w:p>
    <w:p>
      <w:pPr>
        <w:pStyle w:val="Heading3"/>
      </w:pPr>
      <w:bookmarkStart w:id="42" w:name="window-selector-doesnt-change-anything"/>
      <w:r>
        <w:t xml:space="preserve">“</w:t>
      </w:r>
      <w:r>
        <w:t xml:space="preserve">Window selector doesn’t change anything</w:t>
      </w:r>
      <w:r>
        <w:t xml:space="preserve">”</w:t>
      </w:r>
      <w:bookmarkEnd w:id="42"/>
    </w:p>
    <w:p>
      <w:pPr>
        <w:pStyle w:val="FirstParagraph"/>
      </w:pPr>
      <w:r>
        <w:t xml:space="preserve">Check the timestamp under the title — it should update whenever you change window. If it doesn’t, your browser may have a stale render. Hit refresh (</w:t>
      </w:r>
      <w:r>
        <w:rPr>
          <w:rStyle w:val="VerbatimChar"/>
        </w:rPr>
        <w:t xml:space="preserve">Cmd-R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Ctrl-R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Last updated: 28 April 2026 · MicroPulse Performance Intelligence Platform · Methodology: Gabbett 2017 (External vs Internal Load); Hulin 2014 (ACWR)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MicroPulse — Quadrant View Guide</dc:title>
  <dc:creator>MicroPulse Performance Intelligence Platform</dc:creator>
  <cp:keywords/>
  <dcterms:created xsi:type="dcterms:W3CDTF">2026-04-28T22:18:35Z</dcterms:created>
  <dcterms:modified xsi:type="dcterms:W3CDTF">2026-04-28T22:18:35Z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geometry">
    <vt:lpwstr>margin=1in</vt:lpwstr>
  </property>
  <property fmtid="{D5CDD505-2E9C-101B-9397-08002B2CF9AE}" pid="4" name="mainfont">
    <vt:lpwstr>Arial</vt:lpwstr>
  </property>
  <property fmtid="{D5CDD505-2E9C-101B-9397-08002B2CF9AE}" pid="5" name="subtitle">
    <vt:lpwstr>Reading the Gabbett 2017 internal vs external load framework</vt:lpwstr>
  </property>
</Properties>
</file>