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i w:val="0"/>
          <w:color w:val="0C4E8A"/>
          <w:sz w:val="17"/>
          <w:spacing w:val="30"/>
        </w:rPr>
        <w:t>PIANO MARKETING 2026 · PROPOSTA DI CRESCITA</w:t>
      </w:r>
    </w:p>
    <w:p>
      <w:pPr>
        <w:spacing w:before="40" w:after="80"/>
      </w:pPr>
      <w:r>
        <w:rPr>
          <w:b/>
          <w:i w:val="0"/>
          <w:color w:val="14222B"/>
          <w:sz w:val="60"/>
        </w:rPr>
        <w:t>Dalla piattaforma alla crescita multicanale</w:t>
      </w:r>
    </w:p>
    <w:p>
      <w:pPr>
        <w:spacing w:before="0" w:after="200"/>
      </w:pPr>
      <w:r>
        <w:rPr>
          <w:b w:val="0"/>
          <w:i w:val="0"/>
          <w:color w:val="5A6B76"/>
          <w:sz w:val="26"/>
        </w:rPr>
        <w:t>La migrazione a Magento 2 ha rimesso in moto il motore commerciale. Ora costruiamo i canali che lo alimentano: ricerca organica, advertising, automazione e marketplace.</w:t>
      </w:r>
    </w:p>
    <w:p>
      <w:pPr>
        <w:spacing w:before="0" w:after="40"/>
      </w:pPr>
      <w:r>
        <w:rPr>
          <w:b/>
          <w:i/>
          <w:color w:val="5A6B76"/>
          <w:sz w:val="26"/>
        </w:rPr>
        <w:t>OpenCart</w:t>
      </w:r>
      <w:r>
        <w:rPr>
          <w:b/>
          <w:i w:val="0"/>
          <w:color w:val="146FC4"/>
          <w:sz w:val="26"/>
        </w:rPr>
        <w:t xml:space="preserve">   →   </w:t>
      </w:r>
      <w:r>
        <w:rPr>
          <w:b/>
          <w:i w:val="0"/>
          <w:color w:val="14222B"/>
          <w:sz w:val="26"/>
        </w:rPr>
        <w:t>Magento 2</w:t>
      </w:r>
      <w:r>
        <w:rPr>
          <w:b w:val="0"/>
          <w:i w:val="0"/>
          <w:color w:val="5A6B76"/>
          <w:sz w:val="22"/>
        </w:rPr>
        <w:t xml:space="preserve">   ·  piattaforma solida, scalabile, integrabile</w:t>
      </w:r>
    </w:p>
    <w:p>
      <w:pPr>
        <w:spacing w:before="120" w:after="120"/>
        <w:pBdr>
          <w:bottom w:val="single" w:sz="6" w:space="1" w:color="D8E4EE"/>
        </w:pBdr>
      </w:pPr>
    </w:p>
    <w:p>
      <w:pPr>
        <w:spacing w:before="0" w:after="40"/>
      </w:pPr>
      <w:r>
        <w:rPr>
          <w:b/>
          <w:i w:val="0"/>
          <w:color w:val="5A6B76"/>
          <w:sz w:val="17"/>
          <w:spacing w:val="30"/>
        </w:rPr>
        <w:t>01 — IL PUNTO DI PARTENZA GIÀ VINTO</w:t>
      </w:r>
    </w:p>
    <w:p>
      <w:pPr>
        <w:spacing w:before="0" w:after="80"/>
      </w:pPr>
      <w:r>
        <w:rPr>
          <w:b/>
          <w:i w:val="0"/>
          <w:color w:val="14222B"/>
          <w:sz w:val="40"/>
        </w:rPr>
        <w:t>La migrazione ha pagato da subito</w:t>
      </w:r>
    </w:p>
    <w:p>
      <w:pPr>
        <w:spacing w:before="0" w:after="200"/>
      </w:pPr>
      <w:r>
        <w:rPr>
          <w:b w:val="0"/>
          <w:i w:val="0"/>
          <w:color w:val="5A6B76"/>
          <w:sz w:val="23"/>
        </w:rPr>
        <w:t>Cambiare piattaforma non è stato un progetto tecnico fine a sé stesso: fin dai primi mesi su Magento 2 tutti gli indicatori commerciali sono saliti — insieme.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7F1FB"/>
            <w:tcMar>
              <w:top w:w="140" w:type="dxa"/>
              <w:bottom w:w="140" w:type="dxa"/>
              <w:start w:w="14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146FC4"/>
                <w:sz w:val="52"/>
              </w:rPr>
              <w:t>+70%</w:t>
            </w:r>
          </w:p>
          <w:p>
            <w:pPr>
              <w:spacing w:after="20"/>
            </w:pPr>
            <w:r>
              <w:rPr>
                <w:b/>
                <w:i w:val="0"/>
                <w:color w:val="14222B"/>
                <w:sz w:val="22"/>
              </w:rPr>
              <w:t>Fatturato</w:t>
            </w:r>
          </w:p>
          <w:p>
            <w:r>
              <w:rPr>
                <w:b w:val="0"/>
                <w:i w:val="0"/>
                <w:color w:val="5A6B76"/>
                <w:sz w:val="17"/>
              </w:rPr>
              <w:t>vs piattaforma precedente</w:t>
            </w:r>
          </w:p>
        </w:tc>
        <w:tc>
          <w:tcPr>
            <w:tcW w:type="dxa" w:w="2484"/>
            <w:shd w:val="clear" w:color="auto" w:fill="E7F1FB"/>
            <w:tcMar>
              <w:top w:w="140" w:type="dxa"/>
              <w:bottom w:w="140" w:type="dxa"/>
              <w:start w:w="14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146FC4"/>
                <w:sz w:val="52"/>
              </w:rPr>
              <w:t>+70%</w:t>
            </w:r>
          </w:p>
          <w:p>
            <w:pPr>
              <w:spacing w:after="20"/>
            </w:pPr>
            <w:r>
              <w:rPr>
                <w:b/>
                <w:i w:val="0"/>
                <w:color w:val="14222B"/>
                <w:sz w:val="22"/>
              </w:rPr>
              <w:t>Numero ordini</w:t>
            </w:r>
          </w:p>
          <w:p>
            <w:r>
              <w:rPr>
                <w:b w:val="0"/>
                <w:i w:val="0"/>
                <w:color w:val="5A6B76"/>
                <w:sz w:val="17"/>
              </w:rPr>
              <w:t>più volume, stesso bacino</w:t>
            </w:r>
          </w:p>
        </w:tc>
        <w:tc>
          <w:tcPr>
            <w:tcW w:type="dxa" w:w="2484"/>
            <w:shd w:val="clear" w:color="auto" w:fill="E7F1FB"/>
            <w:tcMar>
              <w:top w:w="140" w:type="dxa"/>
              <w:bottom w:w="140" w:type="dxa"/>
              <w:start w:w="14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146FC4"/>
                <w:sz w:val="52"/>
              </w:rPr>
              <w:t>↑</w:t>
            </w:r>
          </w:p>
          <w:p>
            <w:pPr>
              <w:spacing w:after="20"/>
            </w:pPr>
            <w:r>
              <w:rPr>
                <w:b/>
                <w:i w:val="0"/>
                <w:color w:val="14222B"/>
                <w:sz w:val="22"/>
              </w:rPr>
              <w:t>Scontrino medio (AOV)</w:t>
            </w:r>
          </w:p>
          <w:p>
            <w:r>
              <w:rPr>
                <w:b w:val="0"/>
                <w:i w:val="0"/>
                <w:color w:val="5A6B76"/>
                <w:sz w:val="17"/>
              </w:rPr>
              <w:t>carrelli più ricchi</w:t>
            </w:r>
          </w:p>
        </w:tc>
        <w:tc>
          <w:tcPr>
            <w:tcW w:type="dxa" w:w="2484"/>
            <w:shd w:val="clear" w:color="auto" w:fill="E7F1FB"/>
            <w:tcMar>
              <w:top w:w="140" w:type="dxa"/>
              <w:bottom w:w="140" w:type="dxa"/>
              <w:start w:w="14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146FC4"/>
                <w:sz w:val="52"/>
              </w:rPr>
              <w:t>↑</w:t>
            </w:r>
          </w:p>
          <w:p>
            <w:pPr>
              <w:spacing w:after="20"/>
            </w:pPr>
            <w:r>
              <w:rPr>
                <w:b/>
                <w:i w:val="0"/>
                <w:color w:val="14222B"/>
                <w:sz w:val="22"/>
              </w:rPr>
              <w:t>MOL</w:t>
            </w:r>
          </w:p>
          <w:p>
            <w:r>
              <w:rPr>
                <w:b w:val="0"/>
                <w:i w:val="0"/>
                <w:color w:val="5A6B76"/>
                <w:sz w:val="17"/>
              </w:rPr>
              <w:t>margine operativo lordo</w:t>
            </w:r>
          </w:p>
        </w:tc>
      </w:tr>
    </w:tbl>
    <w:p>
      <w:pPr>
        <w:spacing w:before="240" w:after="120"/>
      </w:pPr>
      <w:r>
        <w:rPr>
          <w:b w:val="0"/>
          <w:i w:val="0"/>
          <w:color w:val="5A6B76"/>
          <w:sz w:val="22"/>
        </w:rPr>
        <w:t xml:space="preserve">Fatturato e ordini in crescita </w:t>
      </w:r>
      <w:r>
        <w:rPr>
          <w:b w:val="0"/>
          <w:i/>
          <w:color w:val="5A6B76"/>
          <w:sz w:val="22"/>
        </w:rPr>
        <w:t>mentre</w:t>
      </w:r>
      <w:r>
        <w:rPr>
          <w:b w:val="0"/>
          <w:i w:val="0"/>
          <w:color w:val="5A6B76"/>
          <w:sz w:val="22"/>
        </w:rPr>
        <w:t xml:space="preserve"> saliva anche la marginalità: la piattaforma non ha solo venduto di più, ha venduto meglio. Questa è la base su cui costruiamo.</w:t>
      </w:r>
    </w:p>
    <w:p>
      <w:pPr>
        <w:spacing w:before="120" w:after="120"/>
        <w:pBdr>
          <w:bottom w:val="single" w:sz="6" w:space="1" w:color="D8E4EE"/>
        </w:pBdr>
      </w:pPr>
    </w:p>
    <w:p>
      <w:pPr>
        <w:spacing w:before="0" w:after="40"/>
      </w:pPr>
      <w:r>
        <w:rPr>
          <w:b/>
          <w:i w:val="0"/>
          <w:color w:val="5A6B76"/>
          <w:sz w:val="17"/>
          <w:spacing w:val="30"/>
        </w:rPr>
        <w:t>02 — LA PROVA NEI NUMERI DI OGGI</w:t>
      </w:r>
    </w:p>
    <w:p>
      <w:pPr>
        <w:spacing w:before="0" w:after="80"/>
      </w:pPr>
      <w:r>
        <w:rPr>
          <w:b/>
          <w:i w:val="0"/>
          <w:color w:val="14222B"/>
          <w:sz w:val="40"/>
        </w:rPr>
        <w:t>Il canale comparatori gira già a pieno regime</w:t>
      </w:r>
    </w:p>
    <w:p>
      <w:pPr>
        <w:spacing w:before="0" w:after="200"/>
      </w:pPr>
      <w:r>
        <w:rPr>
          <w:b w:val="0"/>
          <w:i w:val="0"/>
          <w:color w:val="5A6B76"/>
          <w:sz w:val="23"/>
        </w:rPr>
        <w:t>Ultimi 60 giorni sul solo canale Trovaprezzi — numeri reali dagli ordini, a dimostrazione di quanto rende una macchina ben tarata.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C4E8A"/>
            <w:tcMar>
              <w:top w:w="150" w:type="dxa"/>
              <w:bottom w:w="150" w:type="dxa"/>
              <w:start w:w="140" w:type="dxa"/>
              <w:end w:w="14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FFFFFF"/>
                <w:sz w:val="44"/>
              </w:rPr>
              <w:t>€465k</w:t>
            </w:r>
          </w:p>
          <w:p>
            <w:r>
              <w:rPr>
                <w:b w:val="0"/>
                <w:i w:val="0"/>
                <w:color w:val="C7DDF2"/>
                <w:sz w:val="18"/>
              </w:rPr>
              <w:t>Fatturato 60 giorni</w:t>
            </w:r>
          </w:p>
        </w:tc>
        <w:tc>
          <w:tcPr>
            <w:tcW w:type="dxa" w:w="2484"/>
            <w:shd w:val="clear" w:color="auto" w:fill="0C4E8A"/>
            <w:tcMar>
              <w:top w:w="150" w:type="dxa"/>
              <w:bottom w:w="150" w:type="dxa"/>
              <w:start w:w="140" w:type="dxa"/>
              <w:end w:w="14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FFFFFF"/>
                <w:sz w:val="44"/>
              </w:rPr>
              <w:t>6.300</w:t>
            </w:r>
          </w:p>
          <w:p>
            <w:r>
              <w:rPr>
                <w:b w:val="0"/>
                <w:i w:val="0"/>
                <w:color w:val="C7DDF2"/>
                <w:sz w:val="18"/>
              </w:rPr>
              <w:t>Ordini</w:t>
            </w:r>
          </w:p>
        </w:tc>
        <w:tc>
          <w:tcPr>
            <w:tcW w:type="dxa" w:w="2484"/>
            <w:shd w:val="clear" w:color="auto" w:fill="0C4E8A"/>
            <w:tcMar>
              <w:top w:w="150" w:type="dxa"/>
              <w:bottom w:w="150" w:type="dxa"/>
              <w:start w:w="140" w:type="dxa"/>
              <w:end w:w="14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FFFFFF"/>
                <w:sz w:val="44"/>
              </w:rPr>
              <w:t>€86,81</w:t>
            </w:r>
          </w:p>
          <w:p>
            <w:r>
              <w:rPr>
                <w:b w:val="0"/>
                <w:i w:val="0"/>
                <w:color w:val="C7DDF2"/>
                <w:sz w:val="18"/>
              </w:rPr>
              <w:t>Scontrino medio</w:t>
            </w:r>
          </w:p>
        </w:tc>
        <w:tc>
          <w:tcPr>
            <w:tcW w:type="dxa" w:w="2484"/>
            <w:shd w:val="clear" w:color="auto" w:fill="0C4E8A"/>
            <w:tcMar>
              <w:top w:w="150" w:type="dxa"/>
              <w:bottom w:w="150" w:type="dxa"/>
              <w:start w:w="140" w:type="dxa"/>
              <w:end w:w="14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FFFFFF"/>
                <w:sz w:val="44"/>
              </w:rPr>
              <w:t>7,5%</w:t>
            </w:r>
          </w:p>
          <w:p>
            <w:r>
              <w:rPr>
                <w:b w:val="0"/>
                <w:i w:val="0"/>
                <w:color w:val="C7DDF2"/>
                <w:sz w:val="18"/>
              </w:rPr>
              <w:t>Incidenza pubblicitaria</w:t>
            </w:r>
          </w:p>
        </w:tc>
      </w:tr>
    </w:tbl>
    <w:p>
      <w:pPr>
        <w:spacing w:before="240" w:after="120"/>
      </w:pPr>
      <w:r>
        <w:rPr>
          <w:b w:val="0"/>
          <w:i w:val="0"/>
          <w:color w:val="5A6B76"/>
          <w:sz w:val="22"/>
        </w:rPr>
        <w:t>Un solo canale, spesa efficiente sotto l'8%. Immaginiamo cosa succede aprendo quattro nuovi rubinetti di traffico e vendita.</w:t>
      </w:r>
    </w:p>
    <w:p>
      <w:pPr>
        <w:spacing w:before="120" w:after="120"/>
        <w:pBdr>
          <w:bottom w:val="single" w:sz="6" w:space="1" w:color="D8E4EE"/>
        </w:pBdr>
      </w:pPr>
    </w:p>
    <w:p>
      <w:pPr>
        <w:spacing w:before="0" w:after="40"/>
      </w:pPr>
      <w:r>
        <w:rPr>
          <w:b/>
          <w:i w:val="0"/>
          <w:color w:val="5A6B76"/>
          <w:sz w:val="17"/>
          <w:spacing w:val="30"/>
        </w:rPr>
        <w:t>03 — IL PIANO</w:t>
      </w:r>
    </w:p>
    <w:p>
      <w:pPr>
        <w:spacing w:before="0" w:after="80"/>
      </w:pPr>
      <w:r>
        <w:rPr>
          <w:b/>
          <w:i w:val="0"/>
          <w:color w:val="14222B"/>
          <w:sz w:val="40"/>
        </w:rPr>
        <w:t>Quattro canali per moltiplicare la domanda</w:t>
      </w:r>
    </w:p>
    <w:p>
      <w:pPr>
        <w:spacing w:before="0" w:after="200"/>
      </w:pPr>
      <w:r>
        <w:rPr>
          <w:b w:val="0"/>
          <w:i w:val="0"/>
          <w:color w:val="5A6B76"/>
          <w:sz w:val="23"/>
        </w:rPr>
        <w:t>Non un canale alla volta: un sistema dove SEO porta traffico gratuito, ADS accende la domanda calda, l'automazione recupera e fidelizza, Amazon intercetta chi compra fuori dal sito.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968"/>
        <w:gridCol w:w="4968"/>
      </w:tblGrid>
      <w:tr>
        <w:tc>
          <w:tcPr>
            <w:tcW w:type="dxa" w:w="4968"/>
            <w:shd w:val="clear" w:color="auto" w:fill="F4F8FC"/>
            <w:tcMar>
              <w:top w:w="160" w:type="dxa"/>
              <w:bottom w:w="160" w:type="dxa"/>
              <w:start w:w="170" w:type="dxa"/>
              <w:end w:w="17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5A6B76"/>
                <w:sz w:val="17"/>
                <w:spacing w:val="20"/>
              </w:rPr>
              <w:t>CANALE 01</w:t>
            </w:r>
          </w:p>
          <w:p>
            <w:pPr>
              <w:spacing w:after="20"/>
            </w:pPr>
            <w:r>
              <w:rPr>
                <w:b/>
                <w:i w:val="0"/>
                <w:color w:val="146FC4"/>
                <w:sz w:val="28"/>
              </w:rPr>
              <w:t>SEO — Ricerca organica</w:t>
            </w:r>
          </w:p>
          <w:p>
            <w:pPr>
              <w:spacing w:after="120"/>
            </w:pPr>
            <w:r>
              <w:rPr>
                <w:b/>
                <w:i w:val="0"/>
                <w:color w:val="0C4E8A"/>
                <w:sz w:val="20"/>
              </w:rPr>
              <w:t>Traffico che non si paga a click</w:t>
            </w:r>
          </w:p>
          <w:p>
            <w:pPr>
              <w:spacing w:after="40"/>
              <w:ind w:left="202"/>
            </w:pPr>
            <w:r>
              <w:rPr>
                <w:b/>
                <w:i w:val="0"/>
                <w:color w:val="146FC4"/>
                <w:sz w:val="20"/>
              </w:rPr>
              <w:t xml:space="preserve">•  </w:t>
            </w:r>
            <w:r>
              <w:rPr>
                <w:b w:val="0"/>
                <w:i w:val="0"/>
                <w:color w:val="5A6B76"/>
                <w:sz w:val="19"/>
              </w:rPr>
              <w:t>Audit tecnico Magento 2: velocità, indicizzazione, dati strutturati prodotto</w:t>
            </w:r>
          </w:p>
          <w:p>
            <w:pPr>
              <w:spacing w:after="40"/>
              <w:ind w:left="202"/>
            </w:pPr>
            <w:r>
              <w:rPr>
                <w:b/>
                <w:i w:val="0"/>
                <w:color w:val="146FC4"/>
                <w:sz w:val="20"/>
              </w:rPr>
              <w:t xml:space="preserve">•  </w:t>
            </w:r>
            <w:r>
              <w:rPr>
                <w:b w:val="0"/>
                <w:i w:val="0"/>
                <w:color w:val="5A6B76"/>
                <w:sz w:val="19"/>
              </w:rPr>
              <w:t>Alberatura categorie e schede ottimizzate per intento di ricerca</w:t>
            </w:r>
          </w:p>
          <w:p>
            <w:pPr>
              <w:spacing w:after="40"/>
              <w:ind w:left="202"/>
            </w:pPr>
            <w:r>
              <w:rPr>
                <w:b/>
                <w:i w:val="0"/>
                <w:color w:val="146FC4"/>
                <w:sz w:val="20"/>
              </w:rPr>
              <w:t xml:space="preserve">•  </w:t>
            </w:r>
            <w:r>
              <w:rPr>
                <w:b w:val="0"/>
                <w:i w:val="0"/>
                <w:color w:val="5A6B76"/>
                <w:sz w:val="19"/>
              </w:rPr>
              <w:t>Contenuti informativi (blog salute/consigli) per keyword a volume</w:t>
            </w:r>
          </w:p>
          <w:p>
            <w:pPr>
              <w:spacing w:after="40"/>
              <w:ind w:left="202"/>
            </w:pPr>
            <w:r>
              <w:rPr>
                <w:b/>
                <w:i w:val="0"/>
                <w:color w:val="146FC4"/>
                <w:sz w:val="20"/>
              </w:rPr>
              <w:t xml:space="preserve">•  </w:t>
            </w:r>
            <w:r>
              <w:rPr>
                <w:b w:val="0"/>
                <w:i w:val="0"/>
                <w:color w:val="5A6B76"/>
                <w:sz w:val="19"/>
              </w:rPr>
              <w:t>Link building e autorevolezza di dominio</w:t>
            </w:r>
          </w:p>
          <w:p>
            <w:pPr>
              <w:spacing w:before="120"/>
            </w:pPr>
            <w:r>
              <w:rPr>
                <w:b/>
                <w:i w:val="0"/>
                <w:color w:val="0C4E8A"/>
                <w:sz w:val="18"/>
              </w:rPr>
              <w:t xml:space="preserve">  Obiettivo: traffico organico incrementale a costo marginale zero  </w:t>
            </w:r>
          </w:p>
        </w:tc>
        <w:tc>
          <w:tcPr>
            <w:tcW w:type="dxa" w:w="4968"/>
            <w:shd w:val="clear" w:color="auto" w:fill="F4F8FC"/>
            <w:tcMar>
              <w:top w:w="160" w:type="dxa"/>
              <w:bottom w:w="160" w:type="dxa"/>
              <w:start w:w="170" w:type="dxa"/>
              <w:end w:w="17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5A6B76"/>
                <w:sz w:val="17"/>
                <w:spacing w:val="20"/>
              </w:rPr>
              <w:t>CANALE 02</w:t>
            </w:r>
          </w:p>
          <w:p>
            <w:pPr>
              <w:spacing w:after="20"/>
            </w:pPr>
            <w:r>
              <w:rPr>
                <w:b/>
                <w:i w:val="0"/>
                <w:color w:val="C98A12"/>
                <w:sz w:val="28"/>
              </w:rPr>
              <w:t>ADS — Advertising a performance</w:t>
            </w:r>
          </w:p>
          <w:p>
            <w:pPr>
              <w:spacing w:after="120"/>
            </w:pPr>
            <w:r>
              <w:rPr>
                <w:b/>
                <w:i w:val="0"/>
                <w:color w:val="0C4E8A"/>
                <w:sz w:val="20"/>
              </w:rPr>
              <w:t>Google Shopping, Search, Meta</w:t>
            </w:r>
          </w:p>
          <w:p>
            <w:pPr>
              <w:spacing w:after="40"/>
              <w:ind w:left="202"/>
            </w:pPr>
            <w:r>
              <w:rPr>
                <w:b/>
                <w:i w:val="0"/>
                <w:color w:val="C98A12"/>
                <w:sz w:val="20"/>
              </w:rPr>
              <w:t xml:space="preserve">•  </w:t>
            </w:r>
            <w:r>
              <w:rPr>
                <w:b w:val="0"/>
                <w:i w:val="0"/>
                <w:color w:val="5A6B76"/>
                <w:sz w:val="19"/>
              </w:rPr>
              <w:t>Google Shopping su catalogo Magento con feed ottimizzato</w:t>
            </w:r>
          </w:p>
          <w:p>
            <w:pPr>
              <w:spacing w:after="40"/>
              <w:ind w:left="202"/>
            </w:pPr>
            <w:r>
              <w:rPr>
                <w:b/>
                <w:i w:val="0"/>
                <w:color w:val="C98A12"/>
                <w:sz w:val="20"/>
              </w:rPr>
              <w:t xml:space="preserve">•  </w:t>
            </w:r>
            <w:r>
              <w:rPr>
                <w:b w:val="0"/>
                <w:i w:val="0"/>
                <w:color w:val="5A6B76"/>
                <w:sz w:val="19"/>
              </w:rPr>
              <w:t>Campagne Search sulla domanda calda (brand + prodotti top)</w:t>
            </w:r>
          </w:p>
          <w:p>
            <w:pPr>
              <w:spacing w:after="40"/>
              <w:ind w:left="202"/>
            </w:pPr>
            <w:r>
              <w:rPr>
                <w:b/>
                <w:i w:val="0"/>
                <w:color w:val="C98A12"/>
                <w:sz w:val="20"/>
              </w:rPr>
              <w:t xml:space="preserve">•  </w:t>
            </w:r>
            <w:r>
              <w:rPr>
                <w:b w:val="0"/>
                <w:i w:val="0"/>
                <w:color w:val="5A6B76"/>
                <w:sz w:val="19"/>
              </w:rPr>
              <w:t>Meta/Social per domanda latente e remarketing visivo</w:t>
            </w:r>
          </w:p>
          <w:p>
            <w:pPr>
              <w:spacing w:after="40"/>
              <w:ind w:left="202"/>
            </w:pPr>
            <w:r>
              <w:rPr>
                <w:b/>
                <w:i w:val="0"/>
                <w:color w:val="C98A12"/>
                <w:sz w:val="20"/>
              </w:rPr>
              <w:t xml:space="preserve">•  </w:t>
            </w:r>
            <w:r>
              <w:rPr>
                <w:b w:val="0"/>
                <w:i w:val="0"/>
                <w:color w:val="5A6B76"/>
                <w:sz w:val="19"/>
              </w:rPr>
              <w:t>Governo dell'incidenza pubblicitaria, canale per canale</w:t>
            </w:r>
          </w:p>
          <w:p>
            <w:pPr>
              <w:spacing w:before="120"/>
            </w:pPr>
            <w:r>
              <w:rPr>
                <w:b/>
                <w:i w:val="0"/>
                <w:color w:val="0C4E8A"/>
                <w:sz w:val="18"/>
              </w:rPr>
              <w:t xml:space="preserve">  Obiettivo: scalare le vendite tenendo l'incidenza sotto controllo  </w:t>
            </w:r>
          </w:p>
        </w:tc>
      </w:tr>
      <w:tr>
        <w:tc>
          <w:tcPr>
            <w:tcW w:type="dxa" w:w="4968"/>
            <w:shd w:val="clear" w:color="auto" w:fill="F4F8FC"/>
            <w:tcMar>
              <w:top w:w="160" w:type="dxa"/>
              <w:bottom w:w="160" w:type="dxa"/>
              <w:start w:w="170" w:type="dxa"/>
              <w:end w:w="17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5A6B76"/>
                <w:sz w:val="17"/>
                <w:spacing w:val="20"/>
              </w:rPr>
              <w:t>CANALE 03</w:t>
            </w:r>
          </w:p>
          <w:p>
            <w:pPr>
              <w:spacing w:after="20"/>
            </w:pPr>
            <w:r>
              <w:rPr>
                <w:b/>
                <w:i w:val="0"/>
                <w:color w:val="146FC4"/>
                <w:sz w:val="28"/>
              </w:rPr>
              <w:t>Marketing Automation — Klaviyo</w:t>
            </w:r>
          </w:p>
          <w:p>
            <w:pPr>
              <w:spacing w:after="120"/>
            </w:pPr>
            <w:r>
              <w:rPr>
                <w:b/>
                <w:i w:val="0"/>
                <w:color w:val="0C4E8A"/>
                <w:sz w:val="20"/>
              </w:rPr>
              <w:t>Valore dai clienti che già abbiamo</w:t>
            </w:r>
          </w:p>
          <w:p>
            <w:pPr>
              <w:spacing w:after="40"/>
              <w:ind w:left="202"/>
            </w:pPr>
            <w:r>
              <w:rPr>
                <w:b/>
                <w:i w:val="0"/>
                <w:color w:val="146FC4"/>
                <w:sz w:val="20"/>
              </w:rPr>
              <w:t xml:space="preserve">•  </w:t>
            </w:r>
            <w:r>
              <w:rPr>
                <w:b w:val="0"/>
                <w:i w:val="0"/>
                <w:color w:val="5A6B76"/>
                <w:sz w:val="19"/>
              </w:rPr>
              <w:t>Integrazione Klaviyo ↔ Magento 2 (ordini, carrelli, catalogo)</w:t>
            </w:r>
          </w:p>
          <w:p>
            <w:pPr>
              <w:spacing w:after="40"/>
              <w:ind w:left="202"/>
            </w:pPr>
            <w:r>
              <w:rPr>
                <w:b/>
                <w:i w:val="0"/>
                <w:color w:val="146FC4"/>
                <w:sz w:val="20"/>
              </w:rPr>
              <w:t xml:space="preserve">•  </w:t>
            </w:r>
            <w:r>
              <w:rPr>
                <w:b w:val="0"/>
                <w:i w:val="0"/>
                <w:color w:val="5A6B76"/>
                <w:sz w:val="19"/>
              </w:rPr>
              <w:t>Flussi automatici: benvenuto, carrello abbandonato, post-acquisto, riacquisto</w:t>
            </w:r>
          </w:p>
          <w:p>
            <w:pPr>
              <w:spacing w:after="40"/>
              <w:ind w:left="202"/>
            </w:pPr>
            <w:r>
              <w:rPr>
                <w:b/>
                <w:i w:val="0"/>
                <w:color w:val="146FC4"/>
                <w:sz w:val="20"/>
              </w:rPr>
              <w:t xml:space="preserve">•  </w:t>
            </w:r>
            <w:r>
              <w:rPr>
                <w:b w:val="0"/>
                <w:i w:val="0"/>
                <w:color w:val="5A6B76"/>
                <w:sz w:val="19"/>
              </w:rPr>
              <w:t>Segmentazione per categoria terapeutica e valore cliente</w:t>
            </w:r>
          </w:p>
          <w:p>
            <w:pPr>
              <w:spacing w:after="40"/>
              <w:ind w:left="202"/>
            </w:pPr>
            <w:r>
              <w:rPr>
                <w:b/>
                <w:i w:val="0"/>
                <w:color w:val="146FC4"/>
                <w:sz w:val="20"/>
              </w:rPr>
              <w:t xml:space="preserve">•  </w:t>
            </w:r>
            <w:r>
              <w:rPr>
                <w:b w:val="0"/>
                <w:i w:val="0"/>
                <w:color w:val="5A6B76"/>
                <w:sz w:val="19"/>
              </w:rPr>
              <w:t>Email + SMS su ricorrenze d'acquisto (integratori, cronici)</w:t>
            </w:r>
          </w:p>
          <w:p>
            <w:pPr>
              <w:spacing w:before="120"/>
            </w:pPr>
            <w:r>
              <w:rPr>
                <w:b/>
                <w:i w:val="0"/>
                <w:color w:val="0C4E8A"/>
                <w:sz w:val="18"/>
              </w:rPr>
              <w:t xml:space="preserve">  Obiettivo: alzare frequenza d'acquisto e lifetime value  </w:t>
            </w:r>
          </w:p>
        </w:tc>
        <w:tc>
          <w:tcPr>
            <w:tcW w:type="dxa" w:w="4968"/>
            <w:shd w:val="clear" w:color="auto" w:fill="F4F8FC"/>
            <w:tcMar>
              <w:top w:w="160" w:type="dxa"/>
              <w:bottom w:w="160" w:type="dxa"/>
              <w:start w:w="170" w:type="dxa"/>
              <w:end w:w="17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5A6B76"/>
                <w:sz w:val="17"/>
                <w:spacing w:val="20"/>
              </w:rPr>
              <w:t>CANALE 04</w:t>
            </w:r>
          </w:p>
          <w:p>
            <w:pPr>
              <w:spacing w:after="20"/>
            </w:pPr>
            <w:r>
              <w:rPr>
                <w:b/>
                <w:i w:val="0"/>
                <w:color w:val="0E2A3F"/>
                <w:sz w:val="28"/>
              </w:rPr>
              <w:t>Amazon — Marketplace</w:t>
            </w:r>
          </w:p>
          <w:p>
            <w:pPr>
              <w:spacing w:after="120"/>
            </w:pPr>
            <w:r>
              <w:rPr>
                <w:b/>
                <w:i w:val="0"/>
                <w:color w:val="0C4E8A"/>
                <w:sz w:val="20"/>
              </w:rPr>
              <w:t>Il bacino di chi non arriva sul sito</w:t>
            </w:r>
          </w:p>
          <w:p>
            <w:pPr>
              <w:spacing w:after="40"/>
              <w:ind w:left="202"/>
            </w:pPr>
            <w:r>
              <w:rPr>
                <w:b/>
                <w:i w:val="0"/>
                <w:color w:val="0E2A3F"/>
                <w:sz w:val="20"/>
              </w:rPr>
              <w:t xml:space="preserve">•  </w:t>
            </w:r>
            <w:r>
              <w:rPr>
                <w:b w:val="0"/>
                <w:i w:val="0"/>
                <w:color w:val="5A6B76"/>
                <w:sz w:val="19"/>
              </w:rPr>
              <w:t>Apertura/ottimizzazione store e catalogo su Amazon</w:t>
            </w:r>
          </w:p>
          <w:p>
            <w:pPr>
              <w:spacing w:after="40"/>
              <w:ind w:left="202"/>
            </w:pPr>
            <w:r>
              <w:rPr>
                <w:b/>
                <w:i w:val="0"/>
                <w:color w:val="0E2A3F"/>
                <w:sz w:val="20"/>
              </w:rPr>
              <w:t xml:space="preserve">•  </w:t>
            </w:r>
            <w:r>
              <w:rPr>
                <w:b w:val="0"/>
                <w:i w:val="0"/>
                <w:color w:val="5A6B76"/>
                <w:sz w:val="19"/>
              </w:rPr>
              <w:t>Schede prodotto a conversione + contenuti A+</w:t>
            </w:r>
          </w:p>
          <w:p>
            <w:pPr>
              <w:spacing w:after="40"/>
              <w:ind w:left="202"/>
            </w:pPr>
            <w:r>
              <w:rPr>
                <w:b/>
                <w:i w:val="0"/>
                <w:color w:val="0E2A3F"/>
                <w:sz w:val="20"/>
              </w:rPr>
              <w:t xml:space="preserve">•  </w:t>
            </w:r>
            <w:r>
              <w:rPr>
                <w:b w:val="0"/>
                <w:i w:val="0"/>
                <w:color w:val="5A6B76"/>
                <w:sz w:val="19"/>
              </w:rPr>
              <w:t>Amazon Ads (Sponsored Products) sui best-seller</w:t>
            </w:r>
          </w:p>
          <w:p>
            <w:pPr>
              <w:spacing w:after="40"/>
              <w:ind w:left="202"/>
            </w:pPr>
            <w:r>
              <w:rPr>
                <w:b/>
                <w:i w:val="0"/>
                <w:color w:val="0E2A3F"/>
                <w:sz w:val="20"/>
              </w:rPr>
              <w:t xml:space="preserve">•  </w:t>
            </w:r>
            <w:r>
              <w:rPr>
                <w:b w:val="0"/>
                <w:i w:val="0"/>
                <w:color w:val="5A6B76"/>
                <w:sz w:val="19"/>
              </w:rPr>
              <w:t>Gestione logistica e presidio del prezzo di rete</w:t>
            </w:r>
          </w:p>
          <w:p>
            <w:pPr>
              <w:spacing w:before="120"/>
            </w:pPr>
            <w:r>
              <w:rPr>
                <w:b/>
                <w:i w:val="0"/>
                <w:color w:val="0C4E8A"/>
                <w:sz w:val="18"/>
              </w:rPr>
              <w:t xml:space="preserve">  Obiettivo: nuovo fatturato incrementale fuori dal sito  </w:t>
            </w:r>
          </w:p>
        </w:tc>
      </w:tr>
    </w:tbl>
    <w:p>
      <w:pPr>
        <w:spacing w:before="120" w:after="120"/>
        <w:pBdr>
          <w:bottom w:val="single" w:sz="6" w:space="1" w:color="D8E4EE"/>
        </w:pBdr>
      </w:pPr>
    </w:p>
    <w:p>
      <w:pPr>
        <w:spacing w:before="0" w:after="40"/>
      </w:pPr>
      <w:r>
        <w:rPr>
          <w:b/>
          <w:i w:val="0"/>
          <w:color w:val="5A6B76"/>
          <w:sz w:val="17"/>
          <w:spacing w:val="30"/>
        </w:rPr>
        <w:t>04 — COME PARTIAMO</w:t>
      </w:r>
    </w:p>
    <w:p>
      <w:pPr>
        <w:spacing w:before="0" w:after="160"/>
      </w:pPr>
      <w:r>
        <w:rPr>
          <w:b/>
          <w:i w:val="0"/>
          <w:color w:val="14222B"/>
          <w:sz w:val="40"/>
        </w:rPr>
        <w:t>Roadmap per fasi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F4F8FC"/>
            <w:tcMar>
              <w:top w:w="150" w:type="dxa"/>
              <w:bottom w:w="150" w:type="dxa"/>
              <w:start w:w="150" w:type="dxa"/>
              <w:end w:w="150" w:type="dxa"/>
            </w:tcMar>
          </w:tcPr>
          <w:p>
            <w:pPr>
              <w:spacing w:after="80"/>
            </w:pPr>
            <w:r>
              <w:rPr>
                <w:b/>
                <w:i w:val="0"/>
                <w:color w:val="0C4E8A"/>
                <w:sz w:val="17"/>
                <w:spacing w:val="15"/>
              </w:rPr>
              <w:t>FASE 1 · FONDAMENTA</w:t>
            </w:r>
          </w:p>
          <w:p>
            <w:pPr>
              <w:spacing w:after="80"/>
            </w:pPr>
            <w:r>
              <w:rPr>
                <w:b/>
                <w:i w:val="0"/>
                <w:color w:val="14222B"/>
                <w:sz w:val="26"/>
              </w:rPr>
              <w:t>SEO tecnico + Klaviyo</w:t>
            </w:r>
          </w:p>
          <w:p>
            <w:r>
              <w:rPr>
                <w:b w:val="0"/>
                <w:i w:val="0"/>
                <w:color w:val="5A6B76"/>
                <w:sz w:val="19"/>
              </w:rPr>
              <w:t>Mettiamo a reddito ciò che già abbiamo: sistemiamo le basi organiche e attiviamo i flussi automatici sui clienti esistenti. Ritorno rapido, costo contenuto.</w:t>
            </w:r>
          </w:p>
        </w:tc>
        <w:tc>
          <w:tcPr>
            <w:tcW w:type="dxa" w:w="3312"/>
            <w:shd w:val="clear" w:color="auto" w:fill="F4F8FC"/>
            <w:tcMar>
              <w:top w:w="150" w:type="dxa"/>
              <w:bottom w:w="150" w:type="dxa"/>
              <w:start w:w="150" w:type="dxa"/>
              <w:end w:w="150" w:type="dxa"/>
            </w:tcMar>
          </w:tcPr>
          <w:p>
            <w:pPr>
              <w:spacing w:after="80"/>
            </w:pPr>
            <w:r>
              <w:rPr>
                <w:b/>
                <w:i w:val="0"/>
                <w:color w:val="0C4E8A"/>
                <w:sz w:val="17"/>
                <w:spacing w:val="15"/>
              </w:rPr>
              <w:t>FASE 2 · ACCELERAZIONE</w:t>
            </w:r>
          </w:p>
          <w:p>
            <w:pPr>
              <w:spacing w:after="80"/>
            </w:pPr>
            <w:r>
              <w:rPr>
                <w:b/>
                <w:i w:val="0"/>
                <w:color w:val="14222B"/>
                <w:sz w:val="26"/>
              </w:rPr>
              <w:t>ADS a performance</w:t>
            </w:r>
          </w:p>
          <w:p>
            <w:r>
              <w:rPr>
                <w:b w:val="0"/>
                <w:i w:val="0"/>
                <w:color w:val="5A6B76"/>
                <w:sz w:val="19"/>
              </w:rPr>
              <w:t>Accendiamo Google Shopping e Search sui prodotti che già convertono, poi scaliamo per categoria governando l'incidenza.</w:t>
            </w:r>
          </w:p>
        </w:tc>
        <w:tc>
          <w:tcPr>
            <w:tcW w:type="dxa" w:w="3312"/>
            <w:shd w:val="clear" w:color="auto" w:fill="F4F8FC"/>
            <w:tcMar>
              <w:top w:w="150" w:type="dxa"/>
              <w:bottom w:w="150" w:type="dxa"/>
              <w:start w:w="150" w:type="dxa"/>
              <w:end w:w="150" w:type="dxa"/>
            </w:tcMar>
          </w:tcPr>
          <w:p>
            <w:pPr>
              <w:spacing w:after="80"/>
            </w:pPr>
            <w:r>
              <w:rPr>
                <w:b/>
                <w:i w:val="0"/>
                <w:color w:val="0C4E8A"/>
                <w:sz w:val="17"/>
                <w:spacing w:val="15"/>
              </w:rPr>
              <w:t>FASE 3 · ESPANSIONE</w:t>
            </w:r>
          </w:p>
          <w:p>
            <w:pPr>
              <w:spacing w:after="80"/>
            </w:pPr>
            <w:r>
              <w:rPr>
                <w:b/>
                <w:i w:val="0"/>
                <w:color w:val="14222B"/>
                <w:sz w:val="26"/>
              </w:rPr>
              <w:t>Amazon marketplace</w:t>
            </w:r>
          </w:p>
          <w:p>
            <w:r>
              <w:rPr>
                <w:b w:val="0"/>
                <w:i w:val="0"/>
                <w:color w:val="5A6B76"/>
                <w:sz w:val="19"/>
              </w:rPr>
              <w:t>Apriamo il canale marketplace per intercettare la domanda che oggi compra altrove. Fatturato nuovo, non cannibalizzato.</w:t>
            </w:r>
          </w:p>
        </w:tc>
      </w:tr>
    </w:tbl>
    <w:p>
      <w:pPr>
        <w:spacing w:before="120" w:after="120"/>
        <w:pBdr>
          <w:bottom w:val="single" w:sz="6" w:space="1" w:color="D8E4EE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936"/>
      </w:tblGrid>
      <w:tr>
        <w:tc>
          <w:tcPr>
            <w:tcW w:type="dxa" w:w="9936"/>
            <w:shd w:val="clear" w:color="auto" w:fill="0E2A3F"/>
            <w:tcMar>
              <w:top w:w="260" w:type="dxa"/>
              <w:bottom w:w="260" w:type="dxa"/>
              <w:start w:w="240" w:type="dxa"/>
              <w:end w:w="240" w:type="dxa"/>
            </w:tcMar>
          </w:tcPr>
          <w:p>
            <w:pPr>
              <w:spacing w:after="120"/>
              <w:jc w:val="center"/>
            </w:pPr>
            <w:r>
              <w:rPr>
                <w:b/>
                <w:i w:val="0"/>
                <w:color w:val="FFFFFF"/>
                <w:sz w:val="36"/>
              </w:rPr>
              <w:t>La piattaforma è pronta. Costruiamo la crescita.</w:t>
            </w:r>
          </w:p>
          <w:p>
            <w:pPr>
              <w:jc w:val="center"/>
            </w:pPr>
            <w:r>
              <w:rPr>
                <w:b w:val="0"/>
                <w:i w:val="0"/>
                <w:color w:val="C7DDF2"/>
                <w:sz w:val="21"/>
              </w:rPr>
              <w:t>Magento 2 ci ha dato il +70%. I quattro canali sono la fase due: trasformare una piattaforma solida in una macchina di acquisizione e fidelizzazione multicanale.</w:t>
            </w:r>
          </w:p>
        </w:tc>
      </w:tr>
    </w:tbl>
    <w:p>
      <w:pPr>
        <w:spacing w:before="280" w:after="0"/>
      </w:pPr>
      <w:r>
        <w:rPr>
          <w:b w:val="0"/>
          <w:i w:val="0"/>
          <w:color w:val="5A6B76"/>
          <w:sz w:val="17"/>
        </w:rPr>
        <w:t>Proposta piano marketing · numeri canale comparatori reali (60 gg, ordini registrati) · 2026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22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