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/>
      </w:pPr>
      <w:r>
        <w:rPr>
          <w:rFonts w:ascii="Arial" w:cs="Arial" w:eastAsia="Arial" w:hAnsi="Arial"/>
          <w:b/>
          <w:bCs/>
          <w:color w:val="17211F"/>
          <w:sz w:val="40"/>
          <w:szCs w:val="40"/>
        </w:rPr>
        <w:t xml:space="preserve">Heliang Pu</w:t>
      </w:r>
      <w:r>
        <w:rPr>
          <w:rFonts w:ascii="Arial" w:cs="Arial" w:eastAsia="Arial" w:hAnsi="Arial"/>
          <w:color w:val="62706D"/>
          <w:sz w:val="24"/>
          <w:szCs w:val="24"/>
        </w:rPr>
        <w:t xml:space="preserve">  蒲贺良</w:t>
      </w:r>
    </w:p>
    <w:p>
      <w:pPr>
        <w:spacing w:after="36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VLA / Embodied AI Engineer</w:t>
      </w:r>
    </w:p>
    <w:p>
      <w:pPr>
        <w:spacing w:after="64"/>
      </w:pPr>
      <w:r>
        <w:rPr>
          <w:rFonts w:ascii="Arial" w:cs="Arial" w:eastAsia="Arial" w:hAnsi="Arial"/>
          <w:i/>
          <w:iCs/>
          <w:color w:val="62706D"/>
          <w:sz w:val="18"/>
          <w:szCs w:val="18"/>
        </w:rPr>
        <w:t xml:space="preserve">LeRobot · VLA/VLM Policy · ACT / Diffusion Policy / π0 · robot data collection, training, inference &amp; real-robot closed-loop deployment</w:t>
      </w:r>
    </w:p>
    <w:p>
      <w:pPr>
        <w:spacing w:after="26"/>
      </w:pPr>
      <w:r>
        <w:rPr>
          <w:rFonts w:ascii="Arial" w:cs="Arial" w:eastAsia="Arial" w:hAnsi="Arial"/>
          <w:color w:val="62706D"/>
          <w:sz w:val="18"/>
          <w:szCs w:val="18"/>
        </w:rPr>
        <w:t xml:space="preserve">+86 180-3799-5507</w:t>
      </w:r>
      <w:r>
        <w:rPr>
          <w:rFonts w:ascii="Arial" w:cs="Arial" w:eastAsia="Arial" w:hAnsi="Arial"/>
          <w:color w:val="62706D"/>
          <w:sz w:val="18"/>
          <w:szCs w:val="18"/>
        </w:rPr>
        <w:t xml:space="preserve">   ·   </w:t>
      </w:r>
      <w:hyperlink w:history="1" r:id="rIdzbrhn9rs2ea75e2rxd530">
        <w:r>
          <w:rPr>
            <w:rStyle w:val="Hyperlink"/>
            <w:sz w:val="18"/>
            <w:szCs w:val="18"/>
          </w:rPr>
          <w:t xml:space="preserve">2303935680@qq.com</w:t>
        </w:r>
      </w:hyperlink>
      <w:r>
        <w:rPr>
          <w:rFonts w:ascii="Arial" w:cs="Arial" w:eastAsia="Arial" w:hAnsi="Arial"/>
          <w:color w:val="62706D"/>
          <w:sz w:val="18"/>
          <w:szCs w:val="18"/>
        </w:rPr>
        <w:t xml:space="preserve">   ·   </w:t>
      </w:r>
      <w:hyperlink w:history="1" r:id="rIdfxupxca6l9rkgojsr-qir">
        <w:r>
          <w:rPr>
            <w:rStyle w:val="Hyperlink"/>
            <w:sz w:val="18"/>
            <w:szCs w:val="18"/>
          </w:rPr>
          <w:t xml:space="preserve">heliang-pu.github.io</w:t>
        </w:r>
      </w:hyperlink>
      <w:r>
        <w:rPr>
          <w:rFonts w:ascii="Arial" w:cs="Arial" w:eastAsia="Arial" w:hAnsi="Arial"/>
          <w:color w:val="62706D"/>
          <w:sz w:val="18"/>
          <w:szCs w:val="18"/>
        </w:rPr>
        <w:t xml:space="preserve">   ·   </w:t>
      </w:r>
      <w:hyperlink w:history="1" r:id="rIdzbh6h4xen3j1kjyao89ug">
        <w:r>
          <w:rPr>
            <w:rStyle w:val="Hyperlink"/>
            <w:sz w:val="18"/>
            <w:szCs w:val="18"/>
          </w:rPr>
          <w:t xml:space="preserve">github.com/heliang-pu</w:t>
        </w:r>
      </w:hyperlink>
    </w:p>
    <w:p>
      <w:pPr>
        <w:spacing w:after="36"/>
      </w:pPr>
      <w:r>
        <w:rPr>
          <w:rFonts w:ascii="Arial" w:cs="Arial" w:eastAsia="Arial" w:hAnsi="Arial"/>
          <w:color w:val="62706D"/>
          <w:sz w:val="18"/>
          <w:szCs w:val="18"/>
        </w:rPr>
        <w:t xml:space="preserve">Bachelor’s (Graduated)  ·  CET-6  ·  CPC Member</w:t>
      </w:r>
    </w:p>
    <w:p>
      <w:pPr>
        <w:pBdr>
          <w:bottom w:val="single" w:color="0F766E" w:sz="6" w:space="2"/>
        </w:pBdr>
        <w:spacing w:after="64" w:before="20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SUMMARY</w:t>
      </w:r>
    </w:p>
    <w:p>
      <w:pPr>
        <w:spacing w:after="36"/>
      </w:pPr>
      <w:r>
        <w:rPr>
          <w:rFonts w:ascii="Arial" w:cs="Arial" w:eastAsia="Arial" w:hAnsi="Arial"/>
          <w:color w:val="17211F"/>
          <w:sz w:val="20"/>
          <w:szCs w:val="20"/>
        </w:rPr>
        <w:t xml:space="preserve">Embodied AI engineer working across the full robotics loop — data collection, policy training, inference, and real-robot closed-loop deployment. Hands-on with robot arms, dexterous hands, and humanoid robots; turns VLA/VLM policies into runnable, reproducible, deployable systems.</w:t>
      </w:r>
    </w:p>
    <w:p>
      <w:pPr>
        <w:pBdr>
          <w:bottom w:val="single" w:color="0F766E" w:sz="6" w:space="2"/>
        </w:pBdr>
        <w:spacing w:after="64" w:before="20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18"/>
      </w:pPr>
      <w:r>
        <w:rPr>
          <w:rFonts w:ascii="Arial" w:cs="Arial" w:eastAsia="Arial" w:hAnsi="Arial"/>
          <w:b/>
          <w:bCs/>
          <w:color w:val="17211F"/>
          <w:sz w:val="20"/>
          <w:szCs w:val="20"/>
        </w:rPr>
        <w:t xml:space="preserve">FMC3-Robotics</w:t>
      </w:r>
      <w:r>
        <w:rPr>
          <w:rFonts w:ascii="Arial" w:cs="Arial" w:eastAsia="Arial" w:hAnsi="Arial"/>
          <w:color w:val="17211F"/>
          <w:sz w:val="20"/>
          <w:szCs w:val="20"/>
        </w:rPr>
        <w:t xml:space="preserve">, Shanghai  —  Full-Stack Embodied AI Engineer</w:t>
      </w:r>
      <w:r>
        <w:rPr>
          <w:rFonts w:ascii="Arial" w:cs="Arial" w:eastAsia="Arial" w:hAnsi="Arial"/>
          <w:color w:val="62706D"/>
          <w:sz w:val="18"/>
          <w:szCs w:val="18"/>
        </w:rPr>
        <w:t xml:space="preserve">	2026.01 – Present</w:t>
      </w:r>
    </w:p>
    <w:p>
      <w:pPr>
        <w:spacing w:after="18" w:before="110"/>
      </w:pPr>
      <w:r>
        <w:rPr>
          <w:rFonts w:ascii="Arial" w:cs="Arial" w:eastAsia="Arial" w:hAnsi="Arial"/>
          <w:b/>
          <w:bCs/>
          <w:color w:val="17211F"/>
          <w:sz w:val="21"/>
          <w:szCs w:val="21"/>
        </w:rPr>
        <w:t xml:space="preserve">S101 Single-Arm Grasping Policy Validation</w:t>
      </w:r>
      <w:r>
        <w:rPr>
          <w:rFonts w:ascii="Arial" w:cs="Arial" w:eastAsia="Arial" w:hAnsi="Arial"/>
          <w:color w:val="0F766E"/>
          <w:sz w:val="18"/>
          <w:szCs w:val="18"/>
        </w:rPr>
        <w:t xml:space="preserve">  —  ACT / π0 (VLA)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color w:val="17211F"/>
          <w:sz w:val="20"/>
          <w:szCs w:val="20"/>
        </w:rPr>
        <w:t xml:space="preserve">Independently prototyped and validated ACT (Action Chunking Transformer) and π0 (VLA) on the S101 arm for an irregular-object grasp-and-place-into-box task.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color w:val="17211F"/>
          <w:sz w:val="20"/>
          <w:szCs w:val="20"/>
        </w:rPr>
        <w:t xml:space="preserve">Completed data-collection hardware integration, demonstration recording, dataset construction, training, and inference deployment — closing the full data-to-deployment loop for single-arm embodied manipulation.</w:t>
      </w:r>
    </w:p>
    <w:p>
      <w:pPr>
        <w:spacing w:after="18" w:before="110"/>
      </w:pPr>
      <w:r>
        <w:rPr>
          <w:rFonts w:ascii="Arial" w:cs="Arial" w:eastAsia="Arial" w:hAnsi="Arial"/>
          <w:b/>
          <w:bCs/>
          <w:color w:val="17211F"/>
          <w:sz w:val="21"/>
          <w:szCs w:val="21"/>
        </w:rPr>
        <w:t xml:space="preserve">Fourier GR2 Humanoid — Cargo Handling &amp; Skill Scheduling</w:t>
      </w:r>
      <w:r>
        <w:rPr>
          <w:rFonts w:ascii="Arial" w:cs="Arial" w:eastAsia="Arial" w:hAnsi="Arial"/>
          <w:color w:val="0F766E"/>
          <w:sz w:val="18"/>
          <w:szCs w:val="18"/>
        </w:rPr>
        <w:t xml:space="preserve">  —  π0 / LeRobot / DDS / RoboOS / RoboBrain VLM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color w:val="17211F"/>
          <w:sz w:val="20"/>
          <w:szCs w:val="20"/>
        </w:rPr>
        <w:t xml:space="preserve">Migrated single-arm manipulation policies to the Fourier GR2 humanoid on LeRobot, bridging body, perception, and control interfaces.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color w:val="17211F"/>
          <w:sz w:val="20"/>
          <w:szCs w:val="20"/>
        </w:rPr>
        <w:t xml:space="preserve">Deeply integrated RoboOS over the DDS protocol and connected the RoboBrain VLM for high-level task decomposition and multi-skill scheduling.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color w:val="17211F"/>
          <w:sz w:val="20"/>
          <w:szCs w:val="20"/>
        </w:rPr>
        <w:t xml:space="preserve">Delivered end-to-end deployment and closed-loop validation of VLA policies on the humanoid for cargo-handling scenarios.</w:t>
      </w:r>
    </w:p>
    <w:p>
      <w:pPr>
        <w:spacing w:after="18" w:before="110"/>
      </w:pPr>
      <w:r>
        <w:rPr>
          <w:rFonts w:ascii="Arial" w:cs="Arial" w:eastAsia="Arial" w:hAnsi="Arial"/>
          <w:b/>
          <w:bCs/>
          <w:color w:val="17211F"/>
          <w:sz w:val="21"/>
          <w:szCs w:val="21"/>
        </w:rPr>
        <w:t xml:space="preserve">Robot Arms + AgiBot Dexterous Hands — Dual-Arm Collaboration</w:t>
      </w:r>
      <w:r>
        <w:rPr>
          <w:rFonts w:ascii="Arial" w:cs="Arial" w:eastAsia="Arial" w:hAnsi="Arial"/>
          <w:color w:val="0F766E"/>
          <w:sz w:val="18"/>
          <w:szCs w:val="18"/>
        </w:rPr>
        <w:t xml:space="preserve">  —  Diffusion Policy / π0 / Tactile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color w:val="17211F"/>
          <w:sz w:val="20"/>
          <w:szCs w:val="20"/>
        </w:rPr>
        <w:t xml:space="preserve">Built a bimanual platform (arm + tactile-sensing AgiBot dexterous hand) on LeRobot; bridged control, collection, and inference, and packaged a reusable robot-adaptation layer.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color w:val="17211F"/>
          <w:sz w:val="20"/>
          <w:szCs w:val="20"/>
        </w:rPr>
        <w:t xml:space="preserve">Trained and validated policies with Diffusion Policy and π0 using tactile feedback for bimanual coordinated grasping and fine manipulation, improving action-generation stability and task adaptability.</w:t>
      </w:r>
    </w:p>
    <w:p>
      <w:pPr>
        <w:pBdr>
          <w:bottom w:val="single" w:color="0F766E" w:sz="6" w:space="2"/>
        </w:pBdr>
        <w:spacing w:after="64" w:before="20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EDUCATION</w:t>
      </w:r>
    </w:p>
    <w:p>
      <w:pPr>
        <w:tabs>
          <w:tab w:val="right" w:pos="9026"/>
        </w:tabs>
        <w:spacing w:after="18"/>
      </w:pPr>
      <w:r>
        <w:rPr>
          <w:rFonts w:ascii="Arial" w:cs="Arial" w:eastAsia="Arial" w:hAnsi="Arial"/>
          <w:b/>
          <w:bCs/>
          <w:color w:val="17211F"/>
          <w:sz w:val="20"/>
          <w:szCs w:val="20"/>
        </w:rPr>
        <w:t xml:space="preserve">East China Normal University</w:t>
      </w:r>
      <w:r>
        <w:rPr>
          <w:rFonts w:ascii="Arial" w:cs="Arial" w:eastAsia="Arial" w:hAnsi="Arial"/>
          <w:color w:val="17211F"/>
          <w:sz w:val="20"/>
          <w:szCs w:val="20"/>
        </w:rPr>
        <w:t xml:space="preserve">  —  M.Eng., Software Engineering (part-time)</w:t>
      </w:r>
      <w:r>
        <w:rPr>
          <w:rFonts w:ascii="Arial" w:cs="Arial" w:eastAsia="Arial" w:hAnsi="Arial"/>
          <w:color w:val="62706D"/>
          <w:sz w:val="18"/>
          <w:szCs w:val="18"/>
        </w:rPr>
        <w:t xml:space="preserve">	2026.09 – 2029.06</w:t>
      </w:r>
    </w:p>
    <w:p>
      <w:pPr>
        <w:tabs>
          <w:tab w:val="right" w:pos="9026"/>
        </w:tabs>
        <w:spacing w:after="18"/>
      </w:pPr>
      <w:r>
        <w:rPr>
          <w:rFonts w:ascii="Arial" w:cs="Arial" w:eastAsia="Arial" w:hAnsi="Arial"/>
          <w:b/>
          <w:bCs/>
          <w:color w:val="17211F"/>
          <w:sz w:val="20"/>
          <w:szCs w:val="20"/>
        </w:rPr>
        <w:t xml:space="preserve">Jiangsu Univ. of Science &amp; Technology, Suzhou Inst. of Technology</w:t>
      </w:r>
      <w:r>
        <w:rPr>
          <w:rFonts w:ascii="Arial" w:cs="Arial" w:eastAsia="Arial" w:hAnsi="Arial"/>
          <w:color w:val="17211F"/>
          <w:sz w:val="20"/>
          <w:szCs w:val="20"/>
        </w:rPr>
        <w:t xml:space="preserve">  —  B.Eng., Computer Science &amp; Technology, GPA 3.98/4.0</w:t>
      </w:r>
      <w:r>
        <w:rPr>
          <w:rFonts w:ascii="Arial" w:cs="Arial" w:eastAsia="Arial" w:hAnsi="Arial"/>
          <w:color w:val="62706D"/>
          <w:sz w:val="18"/>
          <w:szCs w:val="18"/>
        </w:rPr>
        <w:t xml:space="preserve">	2021.09 – 2025.06</w:t>
      </w:r>
    </w:p>
    <w:p>
      <w:pPr>
        <w:pBdr>
          <w:bottom w:val="single" w:color="0F766E" w:sz="6" w:space="2"/>
        </w:pBdr>
        <w:spacing w:after="64" w:before="20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ACTIVITIES &amp; LEADERSHIP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color w:val="17211F"/>
          <w:sz w:val="20"/>
          <w:szCs w:val="20"/>
        </w:rPr>
        <w:t xml:space="preserve">Core member, Electronics Association; Lead of the Smart Car Lab, School of Telecommunications &amp; Information Engineering.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color w:val="17211F"/>
          <w:sz w:val="20"/>
          <w:szCs w:val="20"/>
        </w:rPr>
        <w:t xml:space="preserve">People’s Scholarship ×3, Merit Student ×3, National Endeavor Scholarship; National Scholarship 2024 (ranked #1 overall).</w:t>
      </w:r>
    </w:p>
    <w:p>
      <w:pPr>
        <w:pBdr>
          <w:bottom w:val="single" w:color="0F766E" w:sz="6" w:space="2"/>
        </w:pBdr>
        <w:spacing w:after="64" w:before="20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AWARDS &amp; COMPETITIONS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color w:val="17211F"/>
          <w:sz w:val="20"/>
          <w:szCs w:val="20"/>
        </w:rPr>
        <w:t xml:space="preserve">17th ICAN College Innovation &amp; Entrepreneurship Competition, “Edge AI + Industry” Challenge (Team Captain) — National Second Prize.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color w:val="17211F"/>
          <w:sz w:val="20"/>
          <w:szCs w:val="20"/>
        </w:rPr>
        <w:t xml:space="preserve">18th National College Student Smart Car Competition, Smart Logistics Creative Group (Team Captain) — National Third Prize / East China Second Prize.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color w:val="17211F"/>
          <w:sz w:val="20"/>
          <w:szCs w:val="20"/>
        </w:rPr>
        <w:t xml:space="preserve">19th National College Student Smart Car Competition, Smart Healthcare Creative Group (model training &amp; quantization) — East China Second Prize.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color w:val="17211F"/>
          <w:sz w:val="20"/>
          <w:szCs w:val="20"/>
        </w:rPr>
        <w:t xml:space="preserve">4th Aerospace Cup Mobile Robot AI Innovation Challenge (Team Captain) — National Third Prize.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color w:val="17211F"/>
          <w:sz w:val="20"/>
          <w:szCs w:val="20"/>
        </w:rPr>
        <w:t xml:space="preserve">13th College Market Research &amp; Analysis Competition (Python data analysis) — National Third Prize.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color w:val="17211F"/>
          <w:sz w:val="20"/>
          <w:szCs w:val="20"/>
        </w:rPr>
        <w:t xml:space="preserve">21st Jiangsu Advanced Mathematics Competition — Provincial Second Prize;  27th Jiangsu Mathematical Modeling Competition — Provincial Third Prize.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Arial" w:cs="Arial" w:eastAsia="Arial" w:hAnsi="Arial"/>
          <w:color w:val="17211F"/>
          <w:sz w:val="20"/>
          <w:szCs w:val="20"/>
        </w:rPr>
        <w:t xml:space="preserve">Jiangsu Innovation &amp; Entrepreneurship Training Program / journal paper (electronic design): Design of a Novel Smart Door Lock Based on OpenMV.</w:t>
      </w:r>
    </w:p>
    <w:p>
      <w:pPr>
        <w:pBdr>
          <w:bottom w:val="single" w:color="0F766E" w:sz="6" w:space="2"/>
        </w:pBdr>
        <w:spacing w:after="64" w:before="20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SKILLS</w:t>
      </w:r>
    </w:p>
    <w:p>
      <w:pPr>
        <w:spacing w:after="26"/>
      </w:pPr>
      <w:r>
        <w:rPr>
          <w:rFonts w:ascii="Arial" w:cs="Arial" w:eastAsia="Arial" w:hAnsi="Arial"/>
          <w:b/>
          <w:bCs/>
          <w:color w:val="17211F"/>
          <w:sz w:val="20"/>
          <w:szCs w:val="20"/>
        </w:rPr>
        <w:t xml:space="preserve">Policies &amp; Models:  </w:t>
      </w:r>
      <w:r>
        <w:rPr>
          <w:rFonts w:ascii="Arial" w:cs="Arial" w:eastAsia="Arial" w:hAnsi="Arial"/>
          <w:color w:val="17211F"/>
          <w:sz w:val="20"/>
          <w:szCs w:val="20"/>
        </w:rPr>
        <w:t xml:space="preserve">ACT, Diffusion Policy, π0, VLA / VLM, GR00T</w:t>
      </w:r>
    </w:p>
    <w:p>
      <w:pPr>
        <w:spacing w:after="26"/>
      </w:pPr>
      <w:r>
        <w:rPr>
          <w:rFonts w:ascii="Arial" w:cs="Arial" w:eastAsia="Arial" w:hAnsi="Arial"/>
          <w:b/>
          <w:bCs/>
          <w:color w:val="17211F"/>
          <w:sz w:val="20"/>
          <w:szCs w:val="20"/>
        </w:rPr>
        <w:t xml:space="preserve">Frameworks &amp; Tools:  </w:t>
      </w:r>
      <w:r>
        <w:rPr>
          <w:rFonts w:ascii="Arial" w:cs="Arial" w:eastAsia="Arial" w:hAnsi="Arial"/>
          <w:color w:val="17211F"/>
          <w:sz w:val="20"/>
          <w:szCs w:val="20"/>
        </w:rPr>
        <w:t xml:space="preserve">LeRobot, RoboOS, RoboBrain VLM, DDS, inference server</w:t>
      </w:r>
    </w:p>
    <w:p>
      <w:pPr>
        <w:spacing w:after="26"/>
      </w:pPr>
      <w:r>
        <w:rPr>
          <w:rFonts w:ascii="Arial" w:cs="Arial" w:eastAsia="Arial" w:hAnsi="Arial"/>
          <w:b/>
          <w:bCs/>
          <w:color w:val="17211F"/>
          <w:sz w:val="20"/>
          <w:szCs w:val="20"/>
        </w:rPr>
        <w:t xml:space="preserve">Workflow:  </w:t>
      </w:r>
      <w:r>
        <w:rPr>
          <w:rFonts w:ascii="Arial" w:cs="Arial" w:eastAsia="Arial" w:hAnsi="Arial"/>
          <w:color w:val="17211F"/>
          <w:sz w:val="20"/>
          <w:szCs w:val="20"/>
        </w:rPr>
        <w:t xml:space="preserve">Teleoperation, data collection, dataset construction, training, real-robot deployment, closed-loop testing</w:t>
      </w:r>
    </w:p>
    <w:p>
      <w:pPr>
        <w:spacing w:after="26"/>
      </w:pPr>
      <w:r>
        <w:rPr>
          <w:rFonts w:ascii="Arial" w:cs="Arial" w:eastAsia="Arial" w:hAnsi="Arial"/>
          <w:b/>
          <w:bCs/>
          <w:color w:val="17211F"/>
          <w:sz w:val="20"/>
          <w:szCs w:val="20"/>
        </w:rPr>
        <w:t xml:space="preserve">Platforms:  </w:t>
      </w:r>
      <w:r>
        <w:rPr>
          <w:rFonts w:ascii="Arial" w:cs="Arial" w:eastAsia="Arial" w:hAnsi="Arial"/>
          <w:color w:val="17211F"/>
          <w:sz w:val="20"/>
          <w:szCs w:val="20"/>
        </w:rPr>
        <w:t xml:space="preserve">Robot arms, dexterous hands, humanoid robots (Fourier GR2, AgiBot dexterous hand, S101)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brhn9rs2ea75e2rxd530" Type="http://schemas.openxmlformats.org/officeDocument/2006/relationships/hyperlink" Target="mailto:2303935680@qq.com" TargetMode="External"/><Relationship Id="rIdfxupxca6l9rkgojsr-qir" Type="http://schemas.openxmlformats.org/officeDocument/2006/relationships/hyperlink" Target="https://heliang-pu.github.io" TargetMode="External"/><Relationship Id="rIdzbh6h4xen3j1kjyao89ug" Type="http://schemas.openxmlformats.org/officeDocument/2006/relationships/hyperlink" Target="https://github.com/heliang-pu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2026-06-14T04:15:33.750Z</dcterms:created>
  <dcterms:modified xsi:type="dcterms:W3CDTF">2026-06-14T04:15:33.751Z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