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DealerFlow Cloud™ — Product Requirements Document (PRD)</w:t>
      </w:r>
    </w:p>
    <w:p>
      <w:pPr>
        <w:spacing w:after="120"/>
      </w:pPr>
      <w:r>
        <w:t>Company: AxleWave Technologies | Date: 2025-08-10</w:t>
      </w:r>
    </w:p>
    <w:p>
      <w:pPr>
        <w:spacing w:after="120"/>
      </w:pPr>
      <w:r>
        <w:t>Confidential — Google Docs–compatible .docx export</w:t>
      </w:r>
    </w:p>
    <w:p>
      <w:pPr>
        <w:pStyle w:val="Heading1"/>
      </w:pPr>
      <w:r>
        <w:t>1. Overview</w:t>
      </w:r>
    </w:p>
    <w:p>
      <w:pPr>
        <w:spacing w:after="120"/>
      </w:pPr>
      <w:r>
        <w:t>DealerFlow Cloud™ is a cloud-native platform for automotive retailers (dealers and OEM networks). It unifies sales, F&amp;I, service, parts, CRM, and accounting into one modern, API-first system with embedded analytics and AI copilots.</w:t>
      </w:r>
    </w:p>
    <w:p>
      <w:pPr>
        <w:pStyle w:val="Heading1"/>
      </w:pPr>
      <w:r>
        <w:t>2. Objectives &amp; Success Metrics</w:t>
      </w:r>
    </w:p>
    <w:p>
      <w:pPr>
        <w:pStyle w:val="ListBullet"/>
      </w:pPr>
      <w:r>
        <w:t>Reduce average deal time by 25% within 6 months of deployment.</w:t>
      </w:r>
    </w:p>
    <w:p>
      <w:pPr>
        <w:pStyle w:val="ListBullet"/>
      </w:pPr>
      <w:r>
        <w:t>Improve first-time-fix rate in service by 10% within 2 quarters.</w:t>
      </w:r>
    </w:p>
    <w:p>
      <w:pPr>
        <w:pStyle w:val="ListBullet"/>
      </w:pPr>
      <w:r>
        <w:t>Cut month-end close time from 5 days to 2 days for accounting.</w:t>
      </w:r>
    </w:p>
    <w:p>
      <w:pPr>
        <w:pStyle w:val="ListBullet"/>
      </w:pPr>
      <w:r>
        <w:t>Reach NPS ≥ 55 and CSAT ≥ 4.6/5 for primary personas.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Baseline</w:t>
            </w:r>
          </w:p>
        </w:tc>
        <w:tc>
          <w:tcPr>
            <w:tcW w:type="dxa" w:w="2160"/>
          </w:tcPr>
          <w:p>
            <w:r>
              <w:t>Target</w:t>
            </w:r>
          </w:p>
        </w:tc>
        <w:tc>
          <w:tcPr>
            <w:tcW w:type="dxa" w:w="2160"/>
          </w:tcPr>
          <w:p>
            <w:r>
              <w:t>Measurement Method</w:t>
            </w:r>
          </w:p>
        </w:tc>
      </w:tr>
      <w:tr>
        <w:tc>
          <w:tcPr>
            <w:tcW w:type="dxa" w:w="2160"/>
          </w:tcPr>
          <w:p>
            <w:r>
              <w:t>Deal cycle time</w:t>
            </w:r>
          </w:p>
        </w:tc>
        <w:tc>
          <w:tcPr>
            <w:tcW w:type="dxa" w:w="2160"/>
          </w:tcPr>
          <w:p>
            <w:r>
              <w:t>80 mins</w:t>
            </w:r>
          </w:p>
        </w:tc>
        <w:tc>
          <w:tcPr>
            <w:tcW w:type="dxa" w:w="2160"/>
          </w:tcPr>
          <w:p>
            <w:r>
              <w:t>≤ 60 mins</w:t>
            </w:r>
          </w:p>
        </w:tc>
        <w:tc>
          <w:tcPr>
            <w:tcW w:type="dxa" w:w="2160"/>
          </w:tcPr>
          <w:p>
            <w:r>
              <w:t>Process analytics</w:t>
            </w:r>
          </w:p>
        </w:tc>
      </w:tr>
      <w:tr>
        <w:tc>
          <w:tcPr>
            <w:tcW w:type="dxa" w:w="2160"/>
          </w:tcPr>
          <w:p>
            <w:r>
              <w:t>First-time-fix</w:t>
            </w:r>
          </w:p>
        </w:tc>
        <w:tc>
          <w:tcPr>
            <w:tcW w:type="dxa" w:w="2160"/>
          </w:tcPr>
          <w:p>
            <w:r>
              <w:t>72%</w:t>
            </w:r>
          </w:p>
        </w:tc>
        <w:tc>
          <w:tcPr>
            <w:tcW w:type="dxa" w:w="2160"/>
          </w:tcPr>
          <w:p>
            <w:r>
              <w:t>≥ 79%</w:t>
            </w:r>
          </w:p>
        </w:tc>
        <w:tc>
          <w:tcPr>
            <w:tcW w:type="dxa" w:w="2160"/>
          </w:tcPr>
          <w:p>
            <w:r>
              <w:t>Service KPIs dashboard</w:t>
            </w:r>
          </w:p>
        </w:tc>
      </w:tr>
      <w:tr>
        <w:tc>
          <w:tcPr>
            <w:tcW w:type="dxa" w:w="2160"/>
          </w:tcPr>
          <w:p>
            <w:r>
              <w:t>Close time</w:t>
            </w:r>
          </w:p>
        </w:tc>
        <w:tc>
          <w:tcPr>
            <w:tcW w:type="dxa" w:w="2160"/>
          </w:tcPr>
          <w:p>
            <w:r>
              <w:t>5 days</w:t>
            </w:r>
          </w:p>
        </w:tc>
        <w:tc>
          <w:tcPr>
            <w:tcW w:type="dxa" w:w="2160"/>
          </w:tcPr>
          <w:p>
            <w:r>
              <w:t>≤ 2 days</w:t>
            </w:r>
          </w:p>
        </w:tc>
        <w:tc>
          <w:tcPr>
            <w:tcW w:type="dxa" w:w="2160"/>
          </w:tcPr>
          <w:p>
            <w:r>
              <w:t>Finance module telemetry</w:t>
            </w:r>
          </w:p>
        </w:tc>
      </w:tr>
      <w:tr>
        <w:tc>
          <w:tcPr>
            <w:tcW w:type="dxa" w:w="2160"/>
          </w:tcPr>
          <w:p>
            <w:r>
              <w:t>NPS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≥ 55</w:t>
            </w:r>
          </w:p>
        </w:tc>
        <w:tc>
          <w:tcPr>
            <w:tcW w:type="dxa" w:w="2160"/>
          </w:tcPr>
          <w:p>
            <w:r>
              <w:t>Quarterly survey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