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pPr>
      <w:r>
        <w:rPr>
          <w:rFonts w:ascii="Times New Roman" w:hAnsi="Times New Roman"/>
          <w:b/>
          <w:sz w:val="36"/>
        </w:rPr>
        <w:t>Descripción del caso</w:t>
      </w:r>
    </w:p>
    <w:p>
      <w:pPr>
        <w:spacing w:before="0" w:after="160" w:line="276" w:lineRule="auto"/>
        <w:jc w:val="both"/>
      </w:pPr>
      <w:r>
        <w:rPr>
          <w:rFonts w:ascii="Times New Roman" w:hAnsi="Times New Roman"/>
          <w:sz w:val="24"/>
        </w:rPr>
        <w:t>El presente caso corresponde a un sistema de acopio de oro orientado a controlar de manera automatizada las operaciones de cotización previa, recepción, fundición, pesaje, liquidación, pago y consolidación del mineral. En la situación actual, estas actividades se realizaban de forma manual, lo que generaba demoras, errores en los cálculos, pérdida de información y dificultades para mantener un registro confiable de los pagos, historiales y acumulados diarios o semanales.</w:t>
      </w:r>
    </w:p>
    <w:p>
      <w:pPr>
        <w:spacing w:before="0" w:after="160" w:line="276" w:lineRule="auto"/>
        <w:jc w:val="both"/>
      </w:pPr>
      <w:r>
        <w:rPr>
          <w:rFonts w:ascii="Times New Roman" w:hAnsi="Times New Roman"/>
          <w:sz w:val="24"/>
        </w:rPr>
        <w:t xml:space="preserve">El sistema está estructurado en tres grupos independientes: </w:t>
      </w:r>
      <w:r>
        <w:rPr>
          <w:rFonts w:ascii="Times New Roman" w:hAnsi="Times New Roman"/>
          <w:b/>
          <w:sz w:val="24"/>
        </w:rPr>
        <w:t>Minero</w:t>
      </w:r>
      <w:r>
        <w:rPr>
          <w:rFonts w:ascii="Times New Roman" w:hAnsi="Times New Roman"/>
          <w:sz w:val="24"/>
        </w:rPr>
        <w:t xml:space="preserve">, </w:t>
      </w:r>
      <w:r>
        <w:rPr>
          <w:rFonts w:ascii="Times New Roman" w:hAnsi="Times New Roman"/>
          <w:b/>
          <w:sz w:val="24"/>
        </w:rPr>
        <w:t>G2</w:t>
      </w:r>
      <w:r>
        <w:rPr>
          <w:rFonts w:ascii="Times New Roman" w:hAnsi="Times New Roman"/>
          <w:sz w:val="24"/>
        </w:rPr>
        <w:t xml:space="preserve"> y </w:t>
      </w:r>
      <w:r>
        <w:rPr>
          <w:rFonts w:ascii="Times New Roman" w:hAnsi="Times New Roman"/>
          <w:b/>
          <w:sz w:val="24"/>
        </w:rPr>
        <w:t>G1</w:t>
      </w:r>
      <w:r>
        <w:rPr>
          <w:rFonts w:ascii="Times New Roman" w:hAnsi="Times New Roman"/>
          <w:sz w:val="24"/>
        </w:rPr>
        <w:t xml:space="preserve">. Cada grupo cumple una función específica dentro del proceso. El módulo </w:t>
      </w:r>
      <w:r>
        <w:rPr>
          <w:rFonts w:ascii="Times New Roman" w:hAnsi="Times New Roman"/>
          <w:b/>
          <w:sz w:val="24"/>
        </w:rPr>
        <w:t>Minero</w:t>
      </w:r>
      <w:r>
        <w:rPr>
          <w:rFonts w:ascii="Times New Roman" w:hAnsi="Times New Roman"/>
          <w:sz w:val="24"/>
        </w:rPr>
        <w:t xml:space="preserve"> tiene un acceso de consulta y cotización rápida, destinado únicamente a permitir al minero ingresar su peso de </w:t>
      </w:r>
      <w:r>
        <w:rPr>
          <w:rFonts w:ascii="Times New Roman" w:hAnsi="Times New Roman"/>
          <w:b/>
          <w:sz w:val="24"/>
        </w:rPr>
        <w:t>oro bruto sin fundir</w:t>
      </w:r>
      <w:r>
        <w:rPr>
          <w:rFonts w:ascii="Times New Roman" w:hAnsi="Times New Roman"/>
          <w:sz w:val="24"/>
        </w:rPr>
        <w:t xml:space="preserve"> y visualizar una estimación del monto que le correspondería recibir, considerando la bajada o merma estimada por fundición y el </w:t>
      </w:r>
      <w:r>
        <w:rPr>
          <w:rFonts w:ascii="Times New Roman" w:hAnsi="Times New Roman"/>
          <w:b/>
          <w:sz w:val="24"/>
        </w:rPr>
        <w:t>precio predeterminado del día</w:t>
      </w:r>
      <w:r>
        <w:rPr>
          <w:rFonts w:ascii="Times New Roman" w:hAnsi="Times New Roman"/>
          <w:sz w:val="24"/>
        </w:rPr>
        <w:t xml:space="preserve">. La interacción del minero en este módulo </w:t>
      </w:r>
      <w:r>
        <w:rPr>
          <w:rFonts w:ascii="Times New Roman" w:hAnsi="Times New Roman"/>
          <w:b/>
          <w:sz w:val="24"/>
        </w:rPr>
        <w:t>concluye automáticamente</w:t>
      </w:r>
      <w:r>
        <w:rPr>
          <w:rFonts w:ascii="Times New Roman" w:hAnsi="Times New Roman"/>
          <w:sz w:val="24"/>
        </w:rPr>
        <w:t xml:space="preserve"> tras mostrar la cotización estimada en pantalla.</w:t>
      </w:r>
    </w:p>
    <w:p>
      <w:pPr>
        <w:spacing w:before="0" w:after="160" w:line="276" w:lineRule="auto"/>
        <w:jc w:val="both"/>
      </w:pPr>
      <w:r>
        <w:rPr>
          <w:rFonts w:ascii="Times New Roman" w:hAnsi="Times New Roman"/>
          <w:sz w:val="24"/>
        </w:rPr>
        <w:t xml:space="preserve">El módulo </w:t>
      </w:r>
      <w:r>
        <w:rPr>
          <w:rFonts w:ascii="Times New Roman" w:hAnsi="Times New Roman"/>
          <w:b/>
          <w:sz w:val="24"/>
        </w:rPr>
        <w:t>G2</w:t>
      </w:r>
      <w:r>
        <w:rPr>
          <w:rFonts w:ascii="Times New Roman" w:hAnsi="Times New Roman"/>
          <w:sz w:val="24"/>
        </w:rPr>
        <w:t xml:space="preserve"> se encarga de la atención presencial y acopio directo del mineral entregado por el minero. G2 recibe el oro bruto sin fundir, realiza la </w:t>
      </w:r>
      <w:r>
        <w:rPr>
          <w:rFonts w:ascii="Times New Roman" w:hAnsi="Times New Roman"/>
          <w:b/>
          <w:sz w:val="24"/>
        </w:rPr>
        <w:t>fundición física real</w:t>
      </w:r>
      <w:r>
        <w:rPr>
          <w:rFonts w:ascii="Times New Roman" w:hAnsi="Times New Roman"/>
          <w:sz w:val="24"/>
        </w:rPr>
        <w:t xml:space="preserve">, pesa el </w:t>
      </w:r>
      <w:r>
        <w:rPr>
          <w:rFonts w:ascii="Times New Roman" w:hAnsi="Times New Roman"/>
          <w:b/>
          <w:sz w:val="24"/>
        </w:rPr>
        <w:t>oro fundido</w:t>
      </w:r>
      <w:r>
        <w:rPr>
          <w:rFonts w:ascii="Times New Roman" w:hAnsi="Times New Roman"/>
          <w:sz w:val="24"/>
        </w:rPr>
        <w:t xml:space="preserve"> resultante y clasifica el mineral según su tipo en </w:t>
      </w:r>
      <w:r>
        <w:rPr>
          <w:rFonts w:ascii="Times New Roman" w:hAnsi="Times New Roman"/>
          <w:b/>
          <w:sz w:val="24"/>
        </w:rPr>
        <w:t>Oro Rojo</w:t>
      </w:r>
      <w:r>
        <w:rPr>
          <w:rFonts w:ascii="Times New Roman" w:hAnsi="Times New Roman"/>
          <w:sz w:val="24"/>
        </w:rPr>
        <w:t xml:space="preserve"> u </w:t>
      </w:r>
      <w:r>
        <w:rPr>
          <w:rFonts w:ascii="Times New Roman" w:hAnsi="Times New Roman"/>
          <w:b/>
          <w:sz w:val="24"/>
        </w:rPr>
        <w:t>Oro Verde</w:t>
      </w:r>
      <w:r>
        <w:rPr>
          <w:rFonts w:ascii="Times New Roman" w:hAnsi="Times New Roman"/>
          <w:sz w:val="24"/>
        </w:rPr>
        <w:t xml:space="preserve">. A partir de este pesaje y del </w:t>
      </w:r>
      <w:r>
        <w:rPr>
          <w:rFonts w:ascii="Times New Roman" w:hAnsi="Times New Roman"/>
          <w:b/>
          <w:sz w:val="24"/>
        </w:rPr>
        <w:t>precio del oro actual</w:t>
      </w:r>
      <w:r>
        <w:rPr>
          <w:rFonts w:ascii="Times New Roman" w:hAnsi="Times New Roman"/>
          <w:sz w:val="24"/>
        </w:rPr>
        <w:t xml:space="preserve">, G2 calcula y realiza el pago directo al minero, finalizando así la interacción presencial con él. Posteriormente, G2 registra la transacción en el sistema indicando el nombre del minero, el peso sin fundir, el peso fundido, el color del oro, el precio aplicado y el pago total realizado. En el </w:t>
      </w:r>
      <w:r>
        <w:rPr>
          <w:rFonts w:ascii="Times New Roman" w:hAnsi="Times New Roman"/>
          <w:b/>
          <w:sz w:val="24"/>
        </w:rPr>
        <w:t>panel inferior</w:t>
      </w:r>
      <w:r>
        <w:rPr>
          <w:rFonts w:ascii="Times New Roman" w:hAnsi="Times New Roman"/>
          <w:sz w:val="24"/>
        </w:rPr>
        <w:t xml:space="preserve"> de la pantalla, el sistema calcula y muestra de forma automática las sumatorias acumuladas </w:t>
      </w:r>
      <w:r>
        <w:rPr>
          <w:rFonts w:ascii="Times New Roman" w:hAnsi="Times New Roman"/>
          <w:b/>
          <w:sz w:val="24"/>
        </w:rPr>
        <w:t>estrictamente separadas por color</w:t>
      </w:r>
      <w:r>
        <w:rPr>
          <w:rFonts w:ascii="Times New Roman" w:hAnsi="Times New Roman"/>
          <w:sz w:val="24"/>
        </w:rPr>
        <w:t xml:space="preserve">: la sumatoria de gramos fundidos y dinero pagado para </w:t>
      </w:r>
      <w:r>
        <w:rPr>
          <w:rFonts w:ascii="Times New Roman" w:hAnsi="Times New Roman"/>
          <w:b/>
          <w:sz w:val="24"/>
        </w:rPr>
        <w:t>Oro Rojo</w:t>
      </w:r>
      <w:r>
        <w:rPr>
          <w:rFonts w:ascii="Times New Roman" w:hAnsi="Times New Roman"/>
          <w:sz w:val="24"/>
        </w:rPr>
        <w:t xml:space="preserve">, y la sumatoria de gramos fundidos y dinero pagado para </w:t>
      </w:r>
      <w:r>
        <w:rPr>
          <w:rFonts w:ascii="Times New Roman" w:hAnsi="Times New Roman"/>
          <w:b/>
          <w:sz w:val="24"/>
        </w:rPr>
        <w:t>Oro Verde</w:t>
      </w:r>
      <w:r>
        <w:rPr>
          <w:rFonts w:ascii="Times New Roman" w:hAnsi="Times New Roman"/>
          <w:sz w:val="24"/>
        </w:rPr>
        <w:t xml:space="preserve">. Este módulo mantiene un control e historial </w:t>
      </w:r>
      <w:r>
        <w:rPr>
          <w:rFonts w:ascii="Times New Roman" w:hAnsi="Times New Roman"/>
          <w:b/>
          <w:sz w:val="24"/>
        </w:rPr>
        <w:t>semanal</w:t>
      </w:r>
      <w:r>
        <w:rPr>
          <w:rFonts w:ascii="Times New Roman" w:hAnsi="Times New Roman"/>
          <w:sz w:val="24"/>
        </w:rPr>
        <w:t xml:space="preserve"> de sus operaciones.</w:t>
      </w:r>
    </w:p>
    <w:p>
      <w:pPr>
        <w:spacing w:before="0" w:after="160" w:line="276" w:lineRule="auto"/>
        <w:jc w:val="both"/>
      </w:pPr>
      <w:r>
        <w:rPr>
          <w:rFonts w:ascii="Times New Roman" w:hAnsi="Times New Roman"/>
          <w:sz w:val="24"/>
        </w:rPr>
        <w:t xml:space="preserve">Por su parte, el módulo </w:t>
      </w:r>
      <w:r>
        <w:rPr>
          <w:rFonts w:ascii="Times New Roman" w:hAnsi="Times New Roman"/>
          <w:b/>
          <w:sz w:val="24"/>
        </w:rPr>
        <w:t>G1</w:t>
      </w:r>
      <w:r>
        <w:rPr>
          <w:rFonts w:ascii="Times New Roman" w:hAnsi="Times New Roman"/>
          <w:sz w:val="24"/>
        </w:rPr>
        <w:t xml:space="preserve"> consolida semanalmente lo procesado por G2. G2 acude presencialmente a entregar el oro fundido acumulado (separado en </w:t>
      </w:r>
      <w:r>
        <w:rPr>
          <w:rFonts w:ascii="Times New Roman" w:hAnsi="Times New Roman"/>
          <w:b/>
          <w:sz w:val="24"/>
        </w:rPr>
        <w:t>Oro Rojo</w:t>
      </w:r>
      <w:r>
        <w:rPr>
          <w:rFonts w:ascii="Times New Roman" w:hAnsi="Times New Roman"/>
          <w:sz w:val="24"/>
        </w:rPr>
        <w:t xml:space="preserve"> y </w:t>
      </w:r>
      <w:r>
        <w:rPr>
          <w:rFonts w:ascii="Times New Roman" w:hAnsi="Times New Roman"/>
          <w:b/>
          <w:sz w:val="24"/>
        </w:rPr>
        <w:t>Oro Verde</w:t>
      </w:r>
      <w:r>
        <w:rPr>
          <w:rFonts w:ascii="Times New Roman" w:hAnsi="Times New Roman"/>
          <w:sz w:val="24"/>
        </w:rPr>
        <w:t xml:space="preserve">) a G1. Para efectuar la liquidación y pago a G2, G1 ingresa los datos del mercado internacional, que corresponden a la cotización de la </w:t>
      </w:r>
      <w:r>
        <w:rPr>
          <w:rFonts w:ascii="Times New Roman" w:hAnsi="Times New Roman"/>
          <w:b/>
          <w:sz w:val="24"/>
        </w:rPr>
        <w:t>Onza</w:t>
      </w:r>
      <w:r>
        <w:rPr>
          <w:rFonts w:ascii="Times New Roman" w:hAnsi="Times New Roman"/>
          <w:sz w:val="24"/>
        </w:rPr>
        <w:t xml:space="preserve"> y el </w:t>
      </w:r>
      <w:r>
        <w:rPr>
          <w:rFonts w:ascii="Times New Roman" w:hAnsi="Times New Roman"/>
          <w:b/>
          <w:sz w:val="24"/>
        </w:rPr>
        <w:t>Tipo de Cambio (Dólar)</w:t>
      </w:r>
      <w:r>
        <w:rPr>
          <w:rFonts w:ascii="Times New Roman" w:hAnsi="Times New Roman"/>
          <w:sz w:val="24"/>
        </w:rPr>
        <w:t xml:space="preserve"> actual. A partir de estos valores y del precio derivado por gramo según el color del mineral, G1 determina el monto total a pagar a G2 y efectúa la transacción presencial. Luego, G1 registra la compra en su módulo almacenando el nombre del G2, el peso de oro fundido, el color, el tipo de cambio, la cotización de la onza, el precio resultante y el pago total realizado. Finalmente, el sistema de G1 genera un </w:t>
      </w:r>
      <w:r>
        <w:rPr>
          <w:rFonts w:ascii="Times New Roman" w:hAnsi="Times New Roman"/>
          <w:b/>
          <w:sz w:val="24"/>
        </w:rPr>
        <w:t>registro consolidado separado</w:t>
      </w:r>
      <w:r>
        <w:rPr>
          <w:rFonts w:ascii="Times New Roman" w:hAnsi="Times New Roman"/>
          <w:sz w:val="24"/>
        </w:rPr>
        <w:t xml:space="preserve"> que muestra la sumatoria total del oro fundido por color (</w:t>
      </w:r>
      <w:r>
        <w:rPr>
          <w:rFonts w:ascii="Times New Roman" w:hAnsi="Times New Roman"/>
          <w:b/>
          <w:sz w:val="24"/>
        </w:rPr>
        <w:t>Oro Rojo</w:t>
      </w:r>
      <w:r>
        <w:rPr>
          <w:rFonts w:ascii="Times New Roman" w:hAnsi="Times New Roman"/>
          <w:sz w:val="24"/>
        </w:rPr>
        <w:t xml:space="preserve"> y </w:t>
      </w:r>
      <w:r>
        <w:rPr>
          <w:rFonts w:ascii="Times New Roman" w:hAnsi="Times New Roman"/>
          <w:b/>
          <w:sz w:val="24"/>
        </w:rPr>
        <w:t>Oro Verde</w:t>
      </w:r>
      <w:r>
        <w:rPr>
          <w:rFonts w:ascii="Times New Roman" w:hAnsi="Times New Roman"/>
          <w:sz w:val="24"/>
        </w:rPr>
        <w:t>) y la sumatoria del pago total acumulado desembolsado.</w:t>
      </w:r>
    </w:p>
    <w:p>
      <w:pPr>
        <w:spacing w:before="0" w:after="160" w:line="276" w:lineRule="auto"/>
        <w:jc w:val="both"/>
      </w:pPr>
      <w:r>
        <w:rPr>
          <w:rFonts w:ascii="Times New Roman" w:hAnsi="Times New Roman"/>
          <w:sz w:val="24"/>
        </w:rPr>
        <w:t xml:space="preserve">El sistema incorpora además un control de acceso diferenciado. Los módulos </w:t>
      </w:r>
      <w:r>
        <w:rPr>
          <w:rFonts w:ascii="Times New Roman" w:hAnsi="Times New Roman"/>
          <w:b/>
          <w:sz w:val="24"/>
        </w:rPr>
        <w:t>G1</w:t>
      </w:r>
      <w:r>
        <w:rPr>
          <w:rFonts w:ascii="Times New Roman" w:hAnsi="Times New Roman"/>
          <w:sz w:val="24"/>
        </w:rPr>
        <w:t xml:space="preserve"> y </w:t>
      </w:r>
      <w:r>
        <w:rPr>
          <w:rFonts w:ascii="Times New Roman" w:hAnsi="Times New Roman"/>
          <w:b/>
          <w:sz w:val="24"/>
        </w:rPr>
        <w:t>G2</w:t>
      </w:r>
      <w:r>
        <w:rPr>
          <w:rFonts w:ascii="Times New Roman" w:hAnsi="Times New Roman"/>
          <w:sz w:val="24"/>
        </w:rPr>
        <w:t xml:space="preserve"> requieren usuario y contraseña obligatorios, debido a que contienen información sensible relacionada con pagos, datos de mercado, cálculos e historial financiero del negocio. En cambio, el módulo </w:t>
      </w:r>
      <w:r>
        <w:rPr>
          <w:rFonts w:ascii="Times New Roman" w:hAnsi="Times New Roman"/>
          <w:b/>
          <w:sz w:val="24"/>
        </w:rPr>
        <w:t>Minero</w:t>
      </w:r>
      <w:r>
        <w:rPr>
          <w:rFonts w:ascii="Times New Roman" w:hAnsi="Times New Roman"/>
          <w:sz w:val="24"/>
        </w:rPr>
        <w:t xml:space="preserve"> posee un acceso consultativo y libre, ya que su función principal es permitir al usuario cotizar de forma rápida su mineral antes de acudir al acopio. Esta separación mejora la seguridad, la trazabilidad y el orden operativo del negocio.</w:t>
      </w:r>
    </w:p>
    <w:p>
      <w:pPr>
        <w:spacing w:before="0" w:after="160" w:line="276" w:lineRule="auto"/>
        <w:jc w:val="both"/>
      </w:pPr>
      <w:r>
        <w:rPr>
          <w:rFonts w:ascii="Times New Roman" w:hAnsi="Times New Roman"/>
          <w:sz w:val="24"/>
        </w:rPr>
        <w:t xml:space="preserve">La finalidad del sistema es automatizar y mejorar el control administrativo del acopio de oro, reducir errores humanos, agilizar las liquidaciones y asegurar un seguimiento completo de cada transacción realizada. Además, permite que cada grupo trabaje con su propia lógica de cálculo, su propia frecuencia de control (G2 </w:t>
      </w:r>
      <w:r>
        <w:rPr>
          <w:rFonts w:ascii="Times New Roman" w:hAnsi="Times New Roman"/>
          <w:b/>
          <w:sz w:val="24"/>
        </w:rPr>
        <w:t>semanal</w:t>
      </w:r>
      <w:r>
        <w:rPr>
          <w:rFonts w:ascii="Times New Roman" w:hAnsi="Times New Roman"/>
          <w:sz w:val="24"/>
        </w:rPr>
        <w:t xml:space="preserve"> y G1 </w:t>
      </w:r>
      <w:r>
        <w:rPr>
          <w:rFonts w:ascii="Times New Roman" w:hAnsi="Times New Roman"/>
          <w:b/>
          <w:sz w:val="24"/>
        </w:rPr>
        <w:t>consolidado</w:t>
      </w:r>
      <w:r>
        <w:rPr>
          <w:rFonts w:ascii="Times New Roman" w:hAnsi="Times New Roman"/>
          <w:sz w:val="24"/>
        </w:rPr>
        <w:t>) y sus propios registros acumulados por tipo de oro, garantizando una gestión ordenada, transparente y profesional.</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