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002D62"/>
          <w:sz w:val="44"/>
        </w:rPr>
        <w:t>BRIEF DEL PROYECTO</w:t>
      </w:r>
    </w:p>
    <w:p>
      <w:pPr>
        <w:spacing w:before="0" w:after="240"/>
      </w:pPr>
      <w:r>
        <w:rPr>
          <w:rFonts w:ascii="Arial" w:hAnsi="Arial"/>
          <w:b/>
          <w:color w:val="B45309"/>
          <w:sz w:val="21"/>
        </w:rPr>
        <w:t>SITRA-ORO — SISTEMA DE INFORMACIÓN, TRAZABILIDAD Y LIQUIDACIÓN EN ACOPIO DE ORO (sitra-oro)</w:t>
      </w:r>
    </w:p>
    <w:tbl>
      <w:tblPr>
        <w:tblW w:type="auto" w:w="0"/>
        <w:jc w:val="center"/>
        <w:tblLayout w:type="fixed"/>
        <w:tblLook w:firstColumn="1" w:firstRow="1" w:lastColumn="0" w:lastRow="0" w:noHBand="0" w:noVBand="1" w:val="04A0"/>
      </w:tblPr>
      <w:tblGrid>
        <w:gridCol w:w="9360"/>
      </w:tblGrid>
      <w:tr>
        <w:tc>
          <w:tcPr>
            <w:tcW w:type="dxa" w:w="9360"/>
            <w:shd w:fill="F0F4F8"/>
            <w:tcMar>
              <w:top w:w="160" w:type="dxa"/>
              <w:bottom w:w="160" w:type="dxa"/>
              <w:left w:w="200" w:type="dxa"/>
              <w:right w:w="200" w:type="dxa"/>
            </w:tcMar>
            <w:tcBorders>
              <w:top w:val="single" w:sz="4" w:space="0" w:color="CBD5E1"/>
              <w:bottom w:val="single" w:sz="4" w:space="0" w:color="CBD5E1"/>
              <w:left w:val="single" w:sz="30" w:space="0" w:color="002D62"/>
              <w:right w:val="single" w:sz="4" w:space="0" w:color="CBD5E1"/>
            </w:tcBorders>
          </w:tcPr>
          <w:p>
            <w:pPr>
              <w:spacing w:line="312" w:lineRule="auto" w:after="0"/>
            </w:pPr>
            <w:r>
              <w:rPr>
                <w:rFonts w:ascii="Arial" w:hAnsi="Arial"/>
                <w:b/>
                <w:color w:val="002D62"/>
                <w:sz w:val="19"/>
              </w:rPr>
              <w:t>Institución:</w:t>
            </w:r>
            <w:r>
              <w:rPr>
                <w:rFonts w:ascii="Arial" w:hAnsi="Arial"/>
                <w:b w:val="0"/>
                <w:color w:val="000000"/>
                <w:sz w:val="19"/>
              </w:rPr>
              <w:t xml:space="preserve"> Universidad Peruana Unión (UPeU) – Campus Juliaca</w:t>
              <w:br/>
            </w:r>
            <w:r>
              <w:rPr>
                <w:rFonts w:ascii="Arial" w:hAnsi="Arial"/>
                <w:b/>
                <w:color w:val="002D62"/>
                <w:sz w:val="19"/>
              </w:rPr>
              <w:t>Ciclo y Semestre:</w:t>
            </w:r>
            <w:r>
              <w:rPr>
                <w:rFonts w:ascii="Arial" w:hAnsi="Arial"/>
                <w:b w:val="0"/>
                <w:color w:val="000000"/>
                <w:sz w:val="19"/>
              </w:rPr>
              <w:t xml:space="preserve"> Ciclo IV – Semestre Académico 2026-II</w:t>
              <w:br/>
            </w:r>
            <w:r>
              <w:rPr>
                <w:rFonts w:ascii="Arial" w:hAnsi="Arial"/>
                <w:b/>
                <w:color w:val="002D62"/>
                <w:sz w:val="19"/>
              </w:rPr>
              <w:t>Línea Curricular:</w:t>
            </w:r>
            <w:r>
              <w:rPr>
                <w:rFonts w:ascii="Arial" w:hAnsi="Arial"/>
                <w:b w:val="0"/>
                <w:color w:val="000000"/>
                <w:sz w:val="19"/>
              </w:rPr>
              <w:t xml:space="preserve"> ADS (Análisis y Diseño) | BD2 (Base de Datos II) | LP2 (Lenguaje de Programación II)</w:t>
              <w:br/>
            </w:r>
            <w:r>
              <w:rPr>
                <w:rFonts w:ascii="Arial" w:hAnsi="Arial"/>
                <w:b/>
                <w:color w:val="002D62"/>
                <w:sz w:val="19"/>
              </w:rPr>
              <w:t>Equipo de Desarrollo (Equipo 05):</w:t>
            </w:r>
            <w:r>
              <w:rPr>
                <w:rFonts w:ascii="Arial" w:hAnsi="Arial"/>
                <w:b w:val="0"/>
                <w:color w:val="000000"/>
                <w:sz w:val="19"/>
              </w:rPr>
              <w:t xml:space="preserve"> Faijo Calisaya Helio Paul  &amp;  Figueroa Chambi Jhymel Nelio</w:t>
            </w:r>
          </w:p>
        </w:tc>
      </w:tr>
    </w:tbl>
    <w:p>
      <w:pPr>
        <w:spacing w:after="120"/>
      </w:pPr>
    </w:p>
    <w:p>
      <w:pPr>
        <w:spacing w:before="240" w:after="120"/>
      </w:pPr>
      <w:r>
        <w:rPr>
          <w:rFonts w:ascii="Arial" w:hAnsi="Arial"/>
          <w:b/>
          <w:color w:val="003366"/>
          <w:sz w:val="26"/>
        </w:rPr>
        <w:t>1. Descripción General del Proyecto</w:t>
      </w:r>
    </w:p>
    <w:p>
      <w:pPr>
        <w:spacing w:after="120"/>
      </w:pPr>
      <w:r>
        <w:rPr>
          <w:b/>
          <w:color w:val="000000"/>
        </w:rPr>
        <w:t>SITRA-ORO (Sistema de Información, Trazabilidad y Liquidación en Acopio de Oro)</w:t>
      </w:r>
      <w:r>
        <w:rPr>
          <w:color w:val="000000"/>
        </w:rPr>
        <w:t xml:space="preserve"> es una solución empresarial full-stack desarrollada para modernizar, estandarizar y digitalizar las operaciones de compra, fundición, pesaje, cotización y liquidación financiera en centros de acopio de oro artesanal.</w:t>
      </w:r>
    </w:p>
    <w:p>
      <w:pPr>
        <w:spacing w:after="240"/>
      </w:pPr>
      <w:r>
        <w:rPr>
          <w:color w:val="000000"/>
        </w:rPr>
        <w:t xml:space="preserve">El sistema reemplaza los cálculos manuales y cuadernos físicos de apuntes mediante un flujo transaccional seguro y confiable, garantizando la </w:t>
      </w:r>
      <w:r>
        <w:rPr>
          <w:b/>
          <w:color w:val="000000"/>
        </w:rPr>
        <w:t>trazabilidad precisa del mineral</w:t>
      </w:r>
      <w:r>
        <w:rPr>
          <w:color w:val="000000"/>
        </w:rPr>
        <w:t xml:space="preserve"> desde su pesaje bruto inicial, pasando por la determinación de la merma tras la fundición física y su separación estricta por calidad (</w:t>
      </w:r>
      <w:r>
        <w:rPr>
          <w:b/>
          <w:color w:val="000000"/>
        </w:rPr>
        <w:t>Oro Rojo</w:t>
      </w:r>
      <w:r>
        <w:rPr>
          <w:color w:val="000000"/>
        </w:rPr>
        <w:t xml:space="preserve"> vs. </w:t>
      </w:r>
      <w:r>
        <w:rPr>
          <w:b/>
          <w:color w:val="000000"/>
        </w:rPr>
        <w:t>Oro Verde</w:t>
      </w:r>
      <w:r>
        <w:rPr>
          <w:color w:val="000000"/>
        </w:rPr>
        <w:t>), hasta la liquidación final con compradores mayoristas basada en la cotización internacional de la Onza Troy USD y el tipo de cambio oficial.</w:t>
      </w:r>
    </w:p>
    <w:p>
      <w:pPr>
        <w:spacing w:before="200" w:after="120"/>
      </w:pPr>
      <w:r>
        <w:rPr>
          <w:rFonts w:ascii="Arial" w:hAnsi="Arial"/>
          <w:b/>
          <w:color w:val="003366"/>
          <w:sz w:val="26"/>
        </w:rPr>
        <w:t>2. Especificación Modular del Sistema</w:t>
      </w:r>
    </w:p>
    <w:p>
      <w:pPr>
        <w:spacing w:before="160" w:after="40"/>
      </w:pPr>
      <w:r>
        <w:rPr>
          <w:rFonts w:ascii="Arial" w:hAnsi="Arial"/>
          <w:b/>
          <w:color w:val="002D62"/>
          <w:sz w:val="23"/>
        </w:rPr>
        <w:t>2.1 Módulo 1: Seguridad y Control de Acceso (seguridad)</w:t>
      </w:r>
    </w:p>
    <w:p>
      <w:pPr>
        <w:spacing w:after="40"/>
      </w:pPr>
      <w:r>
        <w:rPr>
          <w:rFonts w:ascii="Arial" w:hAnsi="Arial"/>
          <w:b/>
          <w:color w:val="B45309"/>
          <w:sz w:val="20"/>
        </w:rPr>
        <w:t xml:space="preserve">Tipo: </w:t>
      </w:r>
      <w:r>
        <w:rPr>
          <w:rFonts w:ascii="Arial" w:hAnsi="Arial"/>
          <w:b/>
          <w:color w:val="B45309"/>
          <w:sz w:val="20"/>
        </w:rPr>
        <w:t>[Transversal / Infraestructura de Acceso]</w:t>
      </w:r>
    </w:p>
    <w:p>
      <w:pPr>
        <w:spacing w:after="60"/>
      </w:pPr>
      <w:r>
        <w:rPr>
          <w:rFonts w:ascii="Arial" w:hAnsi="Arial"/>
          <w:b/>
          <w:color w:val="000000"/>
        </w:rPr>
        <w:t xml:space="preserve">Descripción: </w:t>
      </w:r>
      <w:r>
        <w:rPr>
          <w:rFonts w:ascii="Arial" w:hAnsi="Arial"/>
          <w:color w:val="000000"/>
        </w:rPr>
        <w:t>Módulo transversal encargado de garantizar la protección del sistema, autenticación de usuarios, gestión de sesiones sin estado mediante tokens JWT y autorización basada en roles (RBAC).</w:t>
      </w:r>
    </w:p>
    <w:p>
      <w:pPr>
        <w:spacing w:after="40"/>
      </w:pPr>
      <w:r>
        <w:rPr>
          <w:rFonts w:ascii="Arial" w:hAnsi="Arial"/>
          <w:b/>
          <w:color w:val="000000"/>
        </w:rPr>
        <w:t>Requerimientos Funcionales:</w:t>
      </w:r>
    </w:p>
    <w:p>
      <w:pPr>
        <w:pStyle w:val="ListBullet"/>
        <w:spacing w:after="40" w:line="276" w:lineRule="auto"/>
      </w:pPr>
      <w:r>
        <w:rPr>
          <w:rFonts w:ascii="Arial" w:hAnsi="Arial"/>
          <w:b/>
          <w:color w:val="000000"/>
          <w:sz w:val="20"/>
        </w:rPr>
        <w:t xml:space="preserve">RF-SEG-01: </w:t>
      </w:r>
      <w:r>
        <w:rPr>
          <w:rFonts w:ascii="Arial" w:hAnsi="Arial"/>
          <w:color w:val="000000"/>
          <w:sz w:val="20"/>
        </w:rPr>
        <w:t>Registrar usuarios internos con contraseñas encriptadas mediante algoritmo BCrypt.</w:t>
      </w:r>
    </w:p>
    <w:p>
      <w:pPr>
        <w:pStyle w:val="ListBullet"/>
        <w:spacing w:after="40" w:line="276" w:lineRule="auto"/>
      </w:pPr>
      <w:r>
        <w:rPr>
          <w:rFonts w:ascii="Arial" w:hAnsi="Arial"/>
          <w:b/>
          <w:color w:val="000000"/>
          <w:sz w:val="20"/>
        </w:rPr>
        <w:t xml:space="preserve">RF-SEG-02: </w:t>
      </w:r>
      <w:r>
        <w:rPr>
          <w:rFonts w:ascii="Arial" w:hAnsi="Arial"/>
          <w:color w:val="000000"/>
          <w:sz w:val="20"/>
        </w:rPr>
        <w:t>Autenticar usuarios mediante credenciales seguras (usuario/correo y contraseña).</w:t>
      </w:r>
    </w:p>
    <w:p>
      <w:pPr>
        <w:pStyle w:val="ListBullet"/>
        <w:spacing w:after="40" w:line="276" w:lineRule="auto"/>
      </w:pPr>
      <w:r>
        <w:rPr>
          <w:rFonts w:ascii="Arial" w:hAnsi="Arial"/>
          <w:b/>
          <w:color w:val="000000"/>
          <w:sz w:val="20"/>
        </w:rPr>
        <w:t xml:space="preserve">RF-SEG-03: </w:t>
      </w:r>
      <w:r>
        <w:rPr>
          <w:rFonts w:ascii="Arial" w:hAnsi="Arial"/>
          <w:color w:val="000000"/>
          <w:sz w:val="20"/>
        </w:rPr>
        <w:t>Emitir y validar tokens JSON Web Tokens (JWT) para autorizar peticiones en el backend.</w:t>
      </w:r>
    </w:p>
    <w:p>
      <w:pPr>
        <w:pStyle w:val="ListBullet"/>
        <w:spacing w:after="40" w:line="276" w:lineRule="auto"/>
      </w:pPr>
      <w:r>
        <w:rPr>
          <w:rFonts w:ascii="Arial" w:hAnsi="Arial"/>
          <w:b/>
          <w:color w:val="000000"/>
          <w:sz w:val="20"/>
        </w:rPr>
        <w:t xml:space="preserve">RF-SEG-04: </w:t>
      </w:r>
      <w:r>
        <w:rPr>
          <w:rFonts w:ascii="Arial" w:hAnsi="Arial"/>
          <w:color w:val="000000"/>
          <w:sz w:val="20"/>
        </w:rPr>
        <w:t>Restringir el acceso a vistas y endpoints según roles del sistema (ROLE_G2_ACOPIADOR, ROLE_G1_MAYORISTA).</w:t>
      </w:r>
    </w:p>
    <w:p>
      <w:pPr>
        <w:pStyle w:val="ListBullet"/>
        <w:spacing w:after="40" w:line="276" w:lineRule="auto"/>
      </w:pPr>
      <w:r>
        <w:rPr>
          <w:rFonts w:ascii="Arial" w:hAnsi="Arial"/>
          <w:b/>
          <w:color w:val="000000"/>
          <w:sz w:val="20"/>
        </w:rPr>
        <w:t xml:space="preserve">RF-SEG-05: </w:t>
      </w:r>
      <w:r>
        <w:rPr>
          <w:rFonts w:ascii="Arial" w:hAnsi="Arial"/>
          <w:color w:val="000000"/>
          <w:sz w:val="20"/>
        </w:rPr>
        <w:t>Proveer mecanismo de cierre de sesión e invalidación de contexto seguro.</w:t>
      </w:r>
    </w:p>
    <w:p>
      <w:pPr>
        <w:spacing w:before="40" w:after="160"/>
      </w:pPr>
      <w:r>
        <w:rPr>
          <w:rFonts w:ascii="Arial" w:hAnsi="Arial"/>
          <w:b/>
          <w:color w:val="000000"/>
        </w:rPr>
        <w:t xml:space="preserve">Programador Responsable: </w:t>
      </w:r>
      <w:r>
        <w:rPr>
          <w:rFonts w:ascii="Arial" w:hAnsi="Arial"/>
          <w:b/>
          <w:color w:val="003366"/>
        </w:rPr>
        <w:t>Faijo Calisaya Helio Paul  &amp;  Figueroa Chambi Jhymel Nelio (Desarrollo colaborativo)</w:t>
      </w:r>
    </w:p>
    <w:p>
      <w:pPr>
        <w:spacing w:before="160" w:after="40"/>
      </w:pPr>
      <w:r>
        <w:rPr>
          <w:rFonts w:ascii="Arial" w:hAnsi="Arial"/>
          <w:b/>
          <w:color w:val="002D62"/>
          <w:sz w:val="23"/>
        </w:rPr>
        <w:t>2.2 Módulo 2: Compras y Acopio Presencial (acopiador)</w:t>
      </w:r>
    </w:p>
    <w:p>
      <w:pPr>
        <w:spacing w:after="40"/>
      </w:pPr>
      <w:r>
        <w:rPr>
          <w:rFonts w:ascii="Arial" w:hAnsi="Arial"/>
          <w:b/>
          <w:color w:val="B45309"/>
          <w:sz w:val="20"/>
        </w:rPr>
        <w:t xml:space="preserve">Tipo: </w:t>
      </w:r>
      <w:r>
        <w:rPr>
          <w:rFonts w:ascii="Arial" w:hAnsi="Arial"/>
          <w:b/>
          <w:color w:val="B45309"/>
          <w:sz w:val="20"/>
        </w:rPr>
        <w:t>[Transaccional 1 (G2 Compras)]</w:t>
      </w:r>
    </w:p>
    <w:p>
      <w:pPr>
        <w:spacing w:after="60"/>
      </w:pPr>
      <w:r>
        <w:rPr>
          <w:rFonts w:ascii="Arial" w:hAnsi="Arial"/>
          <w:b/>
          <w:color w:val="000000"/>
        </w:rPr>
        <w:t xml:space="preserve">Descripción: </w:t>
      </w:r>
      <w:r>
        <w:rPr>
          <w:rFonts w:ascii="Arial" w:hAnsi="Arial"/>
          <w:color w:val="000000"/>
        </w:rPr>
        <w:t>Módulo transaccional principal para el puesto de acopio presencial (G2). Gestiona la recepción física del oro entregado por mineros, el pesaje bruto, la fundición real con cálculo de merma, la clasificación por calidad y la emisión del comprobante de pago en efectivo.</w:t>
      </w:r>
    </w:p>
    <w:p>
      <w:pPr>
        <w:spacing w:after="40"/>
      </w:pPr>
      <w:r>
        <w:rPr>
          <w:rFonts w:ascii="Arial" w:hAnsi="Arial"/>
          <w:b/>
          <w:color w:val="000000"/>
        </w:rPr>
        <w:t>Requerimientos Funcionales:</w:t>
      </w:r>
    </w:p>
    <w:p>
      <w:pPr>
        <w:pStyle w:val="ListBullet"/>
        <w:spacing w:after="40" w:line="276" w:lineRule="auto"/>
      </w:pPr>
      <w:r>
        <w:rPr>
          <w:rFonts w:ascii="Arial" w:hAnsi="Arial"/>
          <w:b/>
          <w:color w:val="000000"/>
          <w:sz w:val="20"/>
        </w:rPr>
        <w:t xml:space="preserve">RF-ACO-01: </w:t>
      </w:r>
      <w:r>
        <w:rPr>
          <w:rFonts w:ascii="Arial" w:hAnsi="Arial"/>
          <w:color w:val="000000"/>
          <w:sz w:val="20"/>
        </w:rPr>
        <w:t>Registrar una nueva transacción de compra presencial vinculando al minero artesanal.</w:t>
      </w:r>
    </w:p>
    <w:p>
      <w:pPr>
        <w:pStyle w:val="ListBullet"/>
        <w:spacing w:after="40" w:line="276" w:lineRule="auto"/>
      </w:pPr>
      <w:r>
        <w:rPr>
          <w:rFonts w:ascii="Arial" w:hAnsi="Arial"/>
          <w:b/>
          <w:color w:val="000000"/>
          <w:sz w:val="20"/>
        </w:rPr>
        <w:t xml:space="preserve">RF-ACO-02: </w:t>
      </w:r>
      <w:r>
        <w:rPr>
          <w:rFonts w:ascii="Arial" w:hAnsi="Arial"/>
          <w:color w:val="000000"/>
          <w:sz w:val="20"/>
        </w:rPr>
        <w:t>Capturar el peso bruto inicial (sin fundir) y el peso neto tras la fundición física.</w:t>
      </w:r>
    </w:p>
    <w:p>
      <w:pPr>
        <w:pStyle w:val="ListBullet"/>
        <w:spacing w:after="40" w:line="276" w:lineRule="auto"/>
      </w:pPr>
      <w:r>
        <w:rPr>
          <w:rFonts w:ascii="Arial" w:hAnsi="Arial"/>
          <w:b/>
          <w:color w:val="000000"/>
          <w:sz w:val="20"/>
        </w:rPr>
        <w:t xml:space="preserve">RF-ACO-03: </w:t>
      </w:r>
      <w:r>
        <w:rPr>
          <w:rFonts w:ascii="Arial" w:hAnsi="Arial"/>
          <w:color w:val="000000"/>
          <w:sz w:val="20"/>
        </w:rPr>
        <w:t>Calcular de forma automática la bajada o merma resultante del proceso de fundición.</w:t>
      </w:r>
    </w:p>
    <w:p>
      <w:pPr>
        <w:pStyle w:val="ListBullet"/>
        <w:spacing w:after="40" w:line="276" w:lineRule="auto"/>
      </w:pPr>
      <w:r>
        <w:rPr>
          <w:rFonts w:ascii="Arial" w:hAnsi="Arial"/>
          <w:b/>
          <w:color w:val="000000"/>
          <w:sz w:val="20"/>
        </w:rPr>
        <w:t xml:space="preserve">RF-ACO-04: </w:t>
      </w:r>
      <w:r>
        <w:rPr>
          <w:rFonts w:ascii="Arial" w:hAnsi="Arial"/>
          <w:color w:val="000000"/>
          <w:sz w:val="20"/>
        </w:rPr>
        <w:t>Clasificar obligatoriamente el lote fundido en Oro Rojo o Oro Verde.</w:t>
      </w:r>
    </w:p>
    <w:p>
      <w:pPr>
        <w:pStyle w:val="ListBullet"/>
        <w:spacing w:after="40" w:line="276" w:lineRule="auto"/>
      </w:pPr>
      <w:r>
        <w:rPr>
          <w:rFonts w:ascii="Arial" w:hAnsi="Arial"/>
          <w:b/>
          <w:color w:val="000000"/>
          <w:sz w:val="20"/>
        </w:rPr>
        <w:t xml:space="preserve">RF-ACO-05: </w:t>
      </w:r>
      <w:r>
        <w:rPr>
          <w:rFonts w:ascii="Arial" w:hAnsi="Arial"/>
          <w:color w:val="000000"/>
          <w:sz w:val="20"/>
        </w:rPr>
        <w:t>Calcular el importe total a liquidar en Soles (PEN) multiplicando gramos fundidos por el precio vigente del día.</w:t>
      </w:r>
    </w:p>
    <w:p>
      <w:pPr>
        <w:pStyle w:val="ListBullet"/>
        <w:spacing w:after="40" w:line="276" w:lineRule="auto"/>
      </w:pPr>
      <w:r>
        <w:rPr>
          <w:rFonts w:ascii="Arial" w:hAnsi="Arial"/>
          <w:b/>
          <w:color w:val="000000"/>
          <w:sz w:val="20"/>
        </w:rPr>
        <w:t xml:space="preserve">RF-ACO-06: </w:t>
      </w:r>
      <w:r>
        <w:rPr>
          <w:rFonts w:ascii="Arial" w:hAnsi="Arial"/>
          <w:color w:val="000000"/>
          <w:sz w:val="20"/>
        </w:rPr>
        <w:t>Consolidar en tiempo real los acumulados del día/semana manteniendo estrictamente separados los totales de Oro Rojo y Oro Verde.</w:t>
      </w:r>
    </w:p>
    <w:p>
      <w:pPr>
        <w:pStyle w:val="ListBullet"/>
        <w:spacing w:after="40" w:line="276" w:lineRule="auto"/>
      </w:pPr>
      <w:r>
        <w:rPr>
          <w:rFonts w:ascii="Arial" w:hAnsi="Arial"/>
          <w:b/>
          <w:color w:val="000000"/>
          <w:sz w:val="20"/>
        </w:rPr>
        <w:t xml:space="preserve">RF-ACO-07: </w:t>
      </w:r>
      <w:r>
        <w:rPr>
          <w:rFonts w:ascii="Arial" w:hAnsi="Arial"/>
          <w:color w:val="000000"/>
          <w:sz w:val="20"/>
        </w:rPr>
        <w:t>Permitir la anulación controlada de una compra con reversión automática de saldos acumulados para auditoría.</w:t>
      </w:r>
    </w:p>
    <w:p>
      <w:pPr>
        <w:spacing w:before="40" w:after="160"/>
      </w:pPr>
      <w:r>
        <w:rPr>
          <w:rFonts w:ascii="Arial" w:hAnsi="Arial"/>
          <w:b/>
          <w:color w:val="000000"/>
        </w:rPr>
        <w:t xml:space="preserve">Programador Responsable: </w:t>
      </w:r>
      <w:r>
        <w:rPr>
          <w:rFonts w:ascii="Arial" w:hAnsi="Arial"/>
          <w:b/>
          <w:color w:val="003366"/>
        </w:rPr>
        <w:t>Faijo Calisaya Helio Paul</w:t>
      </w:r>
    </w:p>
    <w:p>
      <w:pPr>
        <w:spacing w:before="160" w:after="40"/>
      </w:pPr>
      <w:r>
        <w:rPr>
          <w:rFonts w:ascii="Arial" w:hAnsi="Arial"/>
          <w:b/>
          <w:color w:val="002D62"/>
          <w:sz w:val="23"/>
        </w:rPr>
        <w:t>2.3 Módulo 3: Liquidaciones y Cierres Mayoristas (mayorista)</w:t>
      </w:r>
    </w:p>
    <w:p>
      <w:pPr>
        <w:spacing w:after="40"/>
      </w:pPr>
      <w:r>
        <w:rPr>
          <w:rFonts w:ascii="Arial" w:hAnsi="Arial"/>
          <w:b/>
          <w:color w:val="B45309"/>
          <w:sz w:val="20"/>
        </w:rPr>
        <w:t xml:space="preserve">Tipo: </w:t>
      </w:r>
      <w:r>
        <w:rPr>
          <w:rFonts w:ascii="Arial" w:hAnsi="Arial"/>
          <w:b/>
          <w:color w:val="B45309"/>
          <w:sz w:val="20"/>
        </w:rPr>
        <w:t>[Transaccional 2 (G1 Cierres)]</w:t>
      </w:r>
    </w:p>
    <w:p>
      <w:pPr>
        <w:spacing w:after="60"/>
      </w:pPr>
      <w:r>
        <w:rPr>
          <w:rFonts w:ascii="Arial" w:hAnsi="Arial"/>
          <w:b/>
          <w:color w:val="000000"/>
        </w:rPr>
        <w:t xml:space="preserve">Descripción: </w:t>
      </w:r>
      <w:r>
        <w:rPr>
          <w:rFonts w:ascii="Arial" w:hAnsi="Arial"/>
          <w:color w:val="000000"/>
        </w:rPr>
        <w:t>Módulo transaccional de consolidación para el comprador mayorista (G1). Procesa el cierre y compra del lote semanal acumulado por el acopiador (G2), aplicando la Cotización internacional de la Onza Troy en USD y el Tipo de Cambio oficial a Soles.</w:t>
      </w:r>
    </w:p>
    <w:p>
      <w:pPr>
        <w:spacing w:after="40"/>
      </w:pPr>
      <w:r>
        <w:rPr>
          <w:rFonts w:ascii="Arial" w:hAnsi="Arial"/>
          <w:b/>
          <w:color w:val="000000"/>
        </w:rPr>
        <w:t>Requerimientos Funcionales:</w:t>
      </w:r>
    </w:p>
    <w:p>
      <w:pPr>
        <w:pStyle w:val="ListBullet"/>
        <w:spacing w:after="40" w:line="276" w:lineRule="auto"/>
      </w:pPr>
      <w:r>
        <w:rPr>
          <w:rFonts w:ascii="Arial" w:hAnsi="Arial"/>
          <w:b/>
          <w:color w:val="000000"/>
          <w:sz w:val="20"/>
        </w:rPr>
        <w:t xml:space="preserve">RF-MAY-01: </w:t>
      </w:r>
      <w:r>
        <w:rPr>
          <w:rFonts w:ascii="Arial" w:hAnsi="Arial"/>
          <w:color w:val="000000"/>
          <w:sz w:val="20"/>
        </w:rPr>
        <w:t>Consolidar el lote total de gramos acumulados por el acopiador G2 al término del periodo semanal.</w:t>
      </w:r>
    </w:p>
    <w:p>
      <w:pPr>
        <w:pStyle w:val="ListBullet"/>
        <w:spacing w:after="40" w:line="276" w:lineRule="auto"/>
      </w:pPr>
      <w:r>
        <w:rPr>
          <w:rFonts w:ascii="Arial" w:hAnsi="Arial"/>
          <w:b/>
          <w:color w:val="000000"/>
          <w:sz w:val="20"/>
        </w:rPr>
        <w:t xml:space="preserve">RF-MAY-02: </w:t>
      </w:r>
      <w:r>
        <w:rPr>
          <w:rFonts w:ascii="Arial" w:hAnsi="Arial"/>
          <w:color w:val="000000"/>
          <w:sz w:val="20"/>
        </w:rPr>
        <w:t>Registrar los parámetros del mercado internacional: valor de la Onza Troy USD y Tipo de Cambio oficial (USD a PEN).</w:t>
      </w:r>
    </w:p>
    <w:p>
      <w:pPr>
        <w:pStyle w:val="ListBullet"/>
        <w:spacing w:after="40" w:line="276" w:lineRule="auto"/>
      </w:pPr>
      <w:r>
        <w:rPr>
          <w:rFonts w:ascii="Arial" w:hAnsi="Arial"/>
          <w:b/>
          <w:color w:val="000000"/>
          <w:sz w:val="20"/>
        </w:rPr>
        <w:t xml:space="preserve">RF-MAY-03: </w:t>
      </w:r>
      <w:r>
        <w:rPr>
          <w:rFonts w:ascii="Arial" w:hAnsi="Arial"/>
          <w:color w:val="000000"/>
          <w:sz w:val="20"/>
        </w:rPr>
        <w:t>Determinar el precio resultante por gramo en Soles diferenciado según el tipo de oro (Rojo o Verde).</w:t>
      </w:r>
    </w:p>
    <w:p>
      <w:pPr>
        <w:pStyle w:val="ListBullet"/>
        <w:spacing w:after="40" w:line="276" w:lineRule="auto"/>
      </w:pPr>
      <w:r>
        <w:rPr>
          <w:rFonts w:ascii="Arial" w:hAnsi="Arial"/>
          <w:b/>
          <w:color w:val="000000"/>
          <w:sz w:val="20"/>
        </w:rPr>
        <w:t xml:space="preserve">RF-MAY-04: </w:t>
      </w:r>
      <w:r>
        <w:rPr>
          <w:rFonts w:ascii="Arial" w:hAnsi="Arial"/>
          <w:color w:val="000000"/>
          <w:sz w:val="20"/>
        </w:rPr>
        <w:t>Liquidar la transacción semanal emitiendo comprobante y marcando lotes como cerrados/transferidos.</w:t>
      </w:r>
    </w:p>
    <w:p>
      <w:pPr>
        <w:pStyle w:val="ListBullet"/>
        <w:spacing w:after="40" w:line="276" w:lineRule="auto"/>
      </w:pPr>
      <w:r>
        <w:rPr>
          <w:rFonts w:ascii="Arial" w:hAnsi="Arial"/>
          <w:b/>
          <w:color w:val="000000"/>
          <w:sz w:val="20"/>
        </w:rPr>
        <w:t xml:space="preserve">RF-MAY-05: </w:t>
      </w:r>
      <w:r>
        <w:rPr>
          <w:rFonts w:ascii="Arial" w:hAnsi="Arial"/>
          <w:color w:val="000000"/>
          <w:sz w:val="20"/>
        </w:rPr>
        <w:t>Registrar el desembolso financiero total realizado por G1 hacia el acopiador G2.</w:t>
      </w:r>
    </w:p>
    <w:p>
      <w:pPr>
        <w:pStyle w:val="ListBullet"/>
        <w:spacing w:after="40" w:line="276" w:lineRule="auto"/>
      </w:pPr>
      <w:r>
        <w:rPr>
          <w:rFonts w:ascii="Arial" w:hAnsi="Arial"/>
          <w:b/>
          <w:color w:val="000000"/>
          <w:sz w:val="20"/>
        </w:rPr>
        <w:t xml:space="preserve">RF-MAY-06: </w:t>
      </w:r>
      <w:r>
        <w:rPr>
          <w:rFonts w:ascii="Arial" w:hAnsi="Arial"/>
          <w:color w:val="000000"/>
          <w:sz w:val="20"/>
        </w:rPr>
        <w:t>Consultar el histórico detallado de cierres semanales y comprobantes de liquidación.</w:t>
      </w:r>
    </w:p>
    <w:p>
      <w:pPr>
        <w:spacing w:before="40" w:after="160"/>
      </w:pPr>
      <w:r>
        <w:rPr>
          <w:rFonts w:ascii="Arial" w:hAnsi="Arial"/>
          <w:b/>
          <w:color w:val="000000"/>
        </w:rPr>
        <w:t xml:space="preserve">Programador Responsable: </w:t>
      </w:r>
      <w:r>
        <w:rPr>
          <w:rFonts w:ascii="Arial" w:hAnsi="Arial"/>
          <w:b/>
          <w:color w:val="003366"/>
        </w:rPr>
        <w:t>Figueroa Chambi Jhymel Nelio</w:t>
      </w:r>
    </w:p>
    <w:p>
      <w:pPr>
        <w:spacing w:before="160" w:after="40"/>
      </w:pPr>
      <w:r>
        <w:rPr>
          <w:rFonts w:ascii="Arial" w:hAnsi="Arial"/>
          <w:b/>
          <w:color w:val="002D62"/>
          <w:sz w:val="23"/>
        </w:rPr>
        <w:t>2.4 Módulo 4: Cotizador y Simulación Pública (cotizador)</w:t>
      </w:r>
    </w:p>
    <w:p>
      <w:pPr>
        <w:spacing w:after="40"/>
      </w:pPr>
      <w:r>
        <w:rPr>
          <w:rFonts w:ascii="Arial" w:hAnsi="Arial"/>
          <w:b/>
          <w:color w:val="B45309"/>
          <w:sz w:val="20"/>
        </w:rPr>
        <w:t xml:space="preserve">Tipo: </w:t>
      </w:r>
      <w:r>
        <w:rPr>
          <w:rFonts w:ascii="Arial" w:hAnsi="Arial"/>
          <w:b/>
          <w:color w:val="B45309"/>
          <w:sz w:val="20"/>
        </w:rPr>
        <w:t>[No Transaccional 1 (Simulador Minero)]</w:t>
      </w:r>
    </w:p>
    <w:p>
      <w:pPr>
        <w:spacing w:after="60"/>
      </w:pPr>
      <w:r>
        <w:rPr>
          <w:rFonts w:ascii="Arial" w:hAnsi="Arial"/>
          <w:b/>
          <w:color w:val="000000"/>
        </w:rPr>
        <w:t xml:space="preserve">Descripción: </w:t>
      </w:r>
      <w:r>
        <w:rPr>
          <w:rFonts w:ascii="Arial" w:hAnsi="Arial"/>
          <w:color w:val="000000"/>
        </w:rPr>
        <w:t>Módulo informativo y consultivo de acceso público abierto en la web/móvil para los mineros artesanales. Permite simular el valor económico aproximado de su mineral antes de viajar al centro de acopio físico, sin necesidad de iniciar sesión.</w:t>
      </w:r>
    </w:p>
    <w:p>
      <w:pPr>
        <w:spacing w:after="40"/>
      </w:pPr>
      <w:r>
        <w:rPr>
          <w:rFonts w:ascii="Arial" w:hAnsi="Arial"/>
          <w:b/>
          <w:color w:val="000000"/>
        </w:rPr>
        <w:t>Requerimientos Funcionales:</w:t>
      </w:r>
    </w:p>
    <w:p>
      <w:pPr>
        <w:pStyle w:val="ListBullet"/>
        <w:spacing w:after="40" w:line="276" w:lineRule="auto"/>
      </w:pPr>
      <w:r>
        <w:rPr>
          <w:rFonts w:ascii="Arial" w:hAnsi="Arial"/>
          <w:b/>
          <w:color w:val="000000"/>
          <w:sz w:val="20"/>
        </w:rPr>
        <w:t xml:space="preserve">RF-COT-01: </w:t>
      </w:r>
      <w:r>
        <w:rPr>
          <w:rFonts w:ascii="Arial" w:hAnsi="Arial"/>
          <w:color w:val="000000"/>
          <w:sz w:val="20"/>
        </w:rPr>
        <w:t>Permitir al minero ingresar la cantidad de gramos de oro bruto estimado a consultar.</w:t>
      </w:r>
    </w:p>
    <w:p>
      <w:pPr>
        <w:pStyle w:val="ListBullet"/>
        <w:spacing w:after="40" w:line="276" w:lineRule="auto"/>
      </w:pPr>
      <w:r>
        <w:rPr>
          <w:rFonts w:ascii="Arial" w:hAnsi="Arial"/>
          <w:b/>
          <w:color w:val="000000"/>
          <w:sz w:val="20"/>
        </w:rPr>
        <w:t xml:space="preserve">RF-COT-02: </w:t>
      </w:r>
      <w:r>
        <w:rPr>
          <w:rFonts w:ascii="Arial" w:hAnsi="Arial"/>
          <w:color w:val="000000"/>
          <w:sz w:val="20"/>
        </w:rPr>
        <w:t>Calcular una merma/bajada proyectada basada en promedios referenciales de fundición.</w:t>
      </w:r>
    </w:p>
    <w:p>
      <w:pPr>
        <w:pStyle w:val="ListBullet"/>
        <w:spacing w:after="40" w:line="276" w:lineRule="auto"/>
      </w:pPr>
      <w:r>
        <w:rPr>
          <w:rFonts w:ascii="Arial" w:hAnsi="Arial"/>
          <w:b/>
          <w:color w:val="000000"/>
          <w:sz w:val="20"/>
        </w:rPr>
        <w:t xml:space="preserve">RF-COT-03: </w:t>
      </w:r>
      <w:r>
        <w:rPr>
          <w:rFonts w:ascii="Arial" w:hAnsi="Arial"/>
          <w:color w:val="000000"/>
          <w:sz w:val="20"/>
        </w:rPr>
        <w:t>Calcular y mostrar en pantalla el importe estimado en Soles (PEN) que recibiría según la tarifa oficial del día.</w:t>
      </w:r>
    </w:p>
    <w:p>
      <w:pPr>
        <w:pStyle w:val="ListBullet"/>
        <w:spacing w:after="40" w:line="276" w:lineRule="auto"/>
      </w:pPr>
      <w:r>
        <w:rPr>
          <w:rFonts w:ascii="Arial" w:hAnsi="Arial"/>
          <w:b/>
          <w:color w:val="000000"/>
          <w:sz w:val="20"/>
        </w:rPr>
        <w:t xml:space="preserve">RF-COT-04: </w:t>
      </w:r>
      <w:r>
        <w:rPr>
          <w:rFonts w:ascii="Arial" w:hAnsi="Arial"/>
          <w:color w:val="000000"/>
          <w:sz w:val="20"/>
        </w:rPr>
        <w:t>Mostrar una tabla referencial con rangos de peso y valores estimados para orientación del minero.</w:t>
      </w:r>
    </w:p>
    <w:p>
      <w:pPr>
        <w:pStyle w:val="ListBullet"/>
        <w:spacing w:after="40" w:line="276" w:lineRule="auto"/>
      </w:pPr>
      <w:r>
        <w:rPr>
          <w:rFonts w:ascii="Arial" w:hAnsi="Arial"/>
          <w:b/>
          <w:color w:val="000000"/>
          <w:sz w:val="20"/>
        </w:rPr>
        <w:t xml:space="preserve">RF-COT-05: </w:t>
      </w:r>
      <w:r>
        <w:rPr>
          <w:rFonts w:ascii="Arial" w:hAnsi="Arial"/>
          <w:color w:val="000000"/>
          <w:sz w:val="20"/>
        </w:rPr>
        <w:t>Garantizar que la consulta sea volátil (en memoria), sin persistir transacciones en base de datos ni requerir login.</w:t>
      </w:r>
    </w:p>
    <w:p>
      <w:pPr>
        <w:spacing w:before="40" w:after="160"/>
      </w:pPr>
      <w:r>
        <w:rPr>
          <w:rFonts w:ascii="Arial" w:hAnsi="Arial"/>
          <w:b/>
          <w:color w:val="000000"/>
        </w:rPr>
        <w:t xml:space="preserve">Programador Responsable: </w:t>
      </w:r>
      <w:r>
        <w:rPr>
          <w:rFonts w:ascii="Arial" w:hAnsi="Arial"/>
          <w:b/>
          <w:color w:val="003366"/>
        </w:rPr>
        <w:t>Faijo Calisaya Helio Paul</w:t>
      </w:r>
    </w:p>
    <w:p>
      <w:pPr>
        <w:spacing w:before="160" w:after="40"/>
      </w:pPr>
      <w:r>
        <w:rPr>
          <w:rFonts w:ascii="Arial" w:hAnsi="Arial"/>
          <w:b/>
          <w:color w:val="002D62"/>
          <w:sz w:val="23"/>
        </w:rPr>
        <w:t>2.5 Módulo 5: Parámetros Maestros y Dashboard (parametros)</w:t>
      </w:r>
    </w:p>
    <w:p>
      <w:pPr>
        <w:spacing w:after="40"/>
      </w:pPr>
      <w:r>
        <w:rPr>
          <w:rFonts w:ascii="Arial" w:hAnsi="Arial"/>
          <w:b/>
          <w:color w:val="B45309"/>
          <w:sz w:val="20"/>
        </w:rPr>
        <w:t xml:space="preserve">Tipo: </w:t>
      </w:r>
      <w:r>
        <w:rPr>
          <w:rFonts w:ascii="Arial" w:hAnsi="Arial"/>
          <w:b/>
          <w:color w:val="B45309"/>
          <w:sz w:val="20"/>
        </w:rPr>
        <w:t>[No Transaccional 2 (Configuración y Analítica)]</w:t>
      </w:r>
    </w:p>
    <w:p>
      <w:pPr>
        <w:spacing w:after="60"/>
      </w:pPr>
      <w:r>
        <w:rPr>
          <w:rFonts w:ascii="Arial" w:hAnsi="Arial"/>
          <w:b/>
          <w:color w:val="000000"/>
        </w:rPr>
        <w:t xml:space="preserve">Descripción: </w:t>
      </w:r>
      <w:r>
        <w:rPr>
          <w:rFonts w:ascii="Arial" w:hAnsi="Arial"/>
          <w:color w:val="000000"/>
        </w:rPr>
        <w:t>Módulo administrativo y de soporte para la gestión de parámetros globales de negocio, tarifas base, catálogo de mineros y visualización de indicadores clave (KPIs) en el Dashboard general.</w:t>
      </w:r>
    </w:p>
    <w:p>
      <w:pPr>
        <w:spacing w:after="40"/>
      </w:pPr>
      <w:r>
        <w:rPr>
          <w:rFonts w:ascii="Arial" w:hAnsi="Arial"/>
          <w:b/>
          <w:color w:val="000000"/>
        </w:rPr>
        <w:t>Requerimientos Funcionales:</w:t>
      </w:r>
    </w:p>
    <w:p>
      <w:pPr>
        <w:pStyle w:val="ListBullet"/>
        <w:spacing w:after="40" w:line="276" w:lineRule="auto"/>
      </w:pPr>
      <w:r>
        <w:rPr>
          <w:rFonts w:ascii="Arial" w:hAnsi="Arial"/>
          <w:b/>
          <w:color w:val="000000"/>
          <w:sz w:val="20"/>
        </w:rPr>
        <w:t xml:space="preserve">RF-PAR-01: </w:t>
      </w:r>
      <w:r>
        <w:rPr>
          <w:rFonts w:ascii="Arial" w:hAnsi="Arial"/>
          <w:color w:val="000000"/>
          <w:sz w:val="20"/>
        </w:rPr>
        <w:t>Consultar el precio oficial vigente del gramo de oro del día.</w:t>
      </w:r>
    </w:p>
    <w:p>
      <w:pPr>
        <w:pStyle w:val="ListBullet"/>
        <w:spacing w:after="40" w:line="276" w:lineRule="auto"/>
      </w:pPr>
      <w:r>
        <w:rPr>
          <w:rFonts w:ascii="Arial" w:hAnsi="Arial"/>
          <w:b/>
          <w:color w:val="000000"/>
          <w:sz w:val="20"/>
        </w:rPr>
        <w:t xml:space="preserve">RF-PAR-02: </w:t>
      </w:r>
      <w:r>
        <w:rPr>
          <w:rFonts w:ascii="Arial" w:hAnsi="Arial"/>
          <w:color w:val="000000"/>
          <w:sz w:val="20"/>
        </w:rPr>
        <w:t>Permitir la actualización del precio diario del gramo de oro (restringido al rol ROLE_G1_MAYORISTA).</w:t>
      </w:r>
    </w:p>
    <w:p>
      <w:pPr>
        <w:pStyle w:val="ListBullet"/>
        <w:spacing w:after="40" w:line="276" w:lineRule="auto"/>
      </w:pPr>
      <w:r>
        <w:rPr>
          <w:rFonts w:ascii="Arial" w:hAnsi="Arial"/>
          <w:b/>
          <w:color w:val="000000"/>
          <w:sz w:val="20"/>
        </w:rPr>
        <w:t xml:space="preserve">RF-PAR-03: </w:t>
      </w:r>
      <w:r>
        <w:rPr>
          <w:rFonts w:ascii="Arial" w:hAnsi="Arial"/>
          <w:color w:val="000000"/>
          <w:sz w:val="20"/>
        </w:rPr>
        <w:t>Administrar el catálogo maestro de mineros recurrentes (nombres, DNI, procedencia/zona minera).</w:t>
      </w:r>
    </w:p>
    <w:p>
      <w:pPr>
        <w:pStyle w:val="ListBullet"/>
        <w:spacing w:after="40" w:line="276" w:lineRule="auto"/>
      </w:pPr>
      <w:r>
        <w:rPr>
          <w:rFonts w:ascii="Arial" w:hAnsi="Arial"/>
          <w:b/>
          <w:color w:val="000000"/>
          <w:sz w:val="20"/>
        </w:rPr>
        <w:t xml:space="preserve">RF-PAR-04: </w:t>
      </w:r>
      <w:r>
        <w:rPr>
          <w:rFonts w:ascii="Arial" w:hAnsi="Arial"/>
          <w:color w:val="000000"/>
          <w:sz w:val="20"/>
        </w:rPr>
        <w:t>Mostrar el histórico cronológico de variación de los precios del oro.</w:t>
      </w:r>
    </w:p>
    <w:p>
      <w:pPr>
        <w:pStyle w:val="ListBullet"/>
        <w:spacing w:after="40" w:line="276" w:lineRule="auto"/>
      </w:pPr>
      <w:r>
        <w:rPr>
          <w:rFonts w:ascii="Arial" w:hAnsi="Arial"/>
          <w:b/>
          <w:color w:val="000000"/>
          <w:sz w:val="20"/>
        </w:rPr>
        <w:t xml:space="preserve">RF-PAR-05: </w:t>
      </w:r>
      <w:r>
        <w:rPr>
          <w:rFonts w:ascii="Arial" w:hAnsi="Arial"/>
          <w:color w:val="000000"/>
          <w:sz w:val="20"/>
        </w:rPr>
        <w:t>Generar y presentar el Dashboard Consolidado con métricas de gramos acopiados (Rojo vs. Verde), total desembolsado y cantidad de operaciones.</w:t>
      </w:r>
    </w:p>
    <w:p>
      <w:pPr>
        <w:spacing w:before="40" w:after="160"/>
      </w:pPr>
      <w:r>
        <w:rPr>
          <w:rFonts w:ascii="Arial" w:hAnsi="Arial"/>
          <w:b/>
          <w:color w:val="000000"/>
        </w:rPr>
        <w:t xml:space="preserve">Programador Responsable: </w:t>
      </w:r>
      <w:r>
        <w:rPr>
          <w:rFonts w:ascii="Arial" w:hAnsi="Arial"/>
          <w:b/>
          <w:color w:val="003366"/>
        </w:rPr>
        <w:t>Figueroa Chambi Jhymel Nelio</w:t>
      </w:r>
    </w:p>
    <w:p>
      <w:pPr>
        <w:spacing w:before="240" w:after="160"/>
      </w:pPr>
      <w:r>
        <w:rPr>
          <w:rFonts w:ascii="Arial" w:hAnsi="Arial"/>
          <w:b/>
          <w:color w:val="003366"/>
          <w:sz w:val="26"/>
        </w:rPr>
        <w:t>3. Resumen y Asignación de Responsabilidades</w:t>
      </w:r>
    </w:p>
    <w:tbl>
      <w:tblPr>
        <w:tblW w:type="auto" w:w="0"/>
        <w:jc w:val="center"/>
        <w:tblLayout w:type="fixed"/>
        <w:tblLook w:firstColumn="1" w:firstRow="1" w:lastColumn="0" w:lastRow="0" w:noHBand="0" w:noVBand="1" w:val="04A0"/>
        <w:tblBorders>
          <w:top w:val="single" w:sz="8" w:space="0" w:color="003366"/>
          <w:bottom w:val="single" w:sz="8" w:space="0" w:color="003366"/>
          <w:insideH w:val="single" w:sz="4" w:space="0" w:color="D1D5DB"/>
          <w:insideV w:val="none"/>
          <w:left w:val="none"/>
          <w:right w:val="none"/>
        </w:tblBorders>
      </w:tblPr>
      <w:tblGrid>
        <w:gridCol w:w="1872"/>
        <w:gridCol w:w="1872"/>
        <w:gridCol w:w="1872"/>
        <w:gridCol w:w="1872"/>
        <w:gridCol w:w="1872"/>
      </w:tblGrid>
      <w:tr>
        <w:tc>
          <w:tcPr>
            <w:tcW w:type="dxa" w:w="576"/>
            <w:shd w:fill="002D62"/>
            <w:tcMar>
              <w:top w:w="120" w:type="dxa"/>
              <w:bottom w:w="120" w:type="dxa"/>
              <w:left w:w="100" w:type="dxa"/>
              <w:right w:w="100" w:type="dxa"/>
            </w:tcMar>
          </w:tcPr>
          <w:p>
            <w:pPr>
              <w:spacing w:after="0"/>
              <w:jc w:val="center"/>
            </w:pPr>
            <w:r>
              <w:rPr>
                <w:rFonts w:ascii="Arial" w:hAnsi="Arial"/>
                <w:b/>
                <w:color w:val="FFFFFF"/>
                <w:sz w:val="18"/>
              </w:rPr>
              <w:t>N°</w:t>
            </w:r>
          </w:p>
        </w:tc>
        <w:tc>
          <w:tcPr>
            <w:tcW w:type="dxa" w:w="2160"/>
            <w:shd w:fill="002D62"/>
            <w:tcMar>
              <w:top w:w="120" w:type="dxa"/>
              <w:bottom w:w="120" w:type="dxa"/>
              <w:left w:w="100" w:type="dxa"/>
              <w:right w:w="100" w:type="dxa"/>
            </w:tcMar>
          </w:tcPr>
          <w:p>
            <w:pPr>
              <w:spacing w:after="0"/>
              <w:jc w:val="left"/>
            </w:pPr>
            <w:r>
              <w:rPr>
                <w:rFonts w:ascii="Arial" w:hAnsi="Arial"/>
                <w:b/>
                <w:color w:val="FFFFFF"/>
                <w:sz w:val="18"/>
              </w:rPr>
              <w:t>Nombre del Módulo</w:t>
            </w:r>
          </w:p>
        </w:tc>
        <w:tc>
          <w:tcPr>
            <w:tcW w:type="dxa" w:w="1728"/>
            <w:shd w:fill="002D62"/>
            <w:tcMar>
              <w:top w:w="120" w:type="dxa"/>
              <w:bottom w:w="120" w:type="dxa"/>
              <w:left w:w="100" w:type="dxa"/>
              <w:right w:w="100" w:type="dxa"/>
            </w:tcMar>
          </w:tcPr>
          <w:p>
            <w:pPr>
              <w:spacing w:after="0"/>
              <w:jc w:val="left"/>
            </w:pPr>
            <w:r>
              <w:rPr>
                <w:rFonts w:ascii="Arial" w:hAnsi="Arial"/>
                <w:b/>
                <w:color w:val="FFFFFF"/>
                <w:sz w:val="18"/>
              </w:rPr>
              <w:t>Tipo Arquitectónico</w:t>
            </w:r>
          </w:p>
        </w:tc>
        <w:tc>
          <w:tcPr>
            <w:tcW w:type="dxa" w:w="2592"/>
            <w:shd w:fill="002D62"/>
            <w:tcMar>
              <w:top w:w="120" w:type="dxa"/>
              <w:bottom w:w="120" w:type="dxa"/>
              <w:left w:w="100" w:type="dxa"/>
              <w:right w:w="100" w:type="dxa"/>
            </w:tcMar>
          </w:tcPr>
          <w:p>
            <w:pPr>
              <w:spacing w:after="0"/>
              <w:jc w:val="left"/>
            </w:pPr>
            <w:r>
              <w:rPr>
                <w:rFonts w:ascii="Arial" w:hAnsi="Arial"/>
                <w:b/>
                <w:color w:val="FFFFFF"/>
                <w:sz w:val="18"/>
              </w:rPr>
              <w:t>Programador Responsable</w:t>
            </w:r>
          </w:p>
        </w:tc>
        <w:tc>
          <w:tcPr>
            <w:tcW w:type="dxa" w:w="2304"/>
            <w:shd w:fill="002D62"/>
            <w:tcMar>
              <w:top w:w="120" w:type="dxa"/>
              <w:bottom w:w="120" w:type="dxa"/>
              <w:left w:w="100" w:type="dxa"/>
              <w:right w:w="100" w:type="dxa"/>
            </w:tcMar>
          </w:tcPr>
          <w:p>
            <w:pPr>
              <w:spacing w:after="0"/>
              <w:jc w:val="left"/>
            </w:pPr>
            <w:r>
              <w:rPr>
                <w:rFonts w:ascii="Arial" w:hAnsi="Arial"/>
                <w:b/>
                <w:color w:val="FFFFFF"/>
                <w:sz w:val="18"/>
              </w:rPr>
              <w:t>Aporte en Línea Curricular</w:t>
            </w:r>
          </w:p>
        </w:tc>
      </w:tr>
      <w:tr>
        <w:tc>
          <w:tcPr>
            <w:tcW w:type="dxa" w:w="576"/>
            <w:shd w:fill="FFFFFF"/>
            <w:tcMar>
              <w:top w:w="90" w:type="dxa"/>
              <w:bottom w:w="90" w:type="dxa"/>
              <w:left w:w="100" w:type="dxa"/>
              <w:right w:w="100" w:type="dxa"/>
            </w:tcMar>
          </w:tcPr>
          <w:p>
            <w:pPr>
              <w:spacing w:after="0"/>
              <w:jc w:val="center"/>
            </w:pPr>
            <w:r>
              <w:rPr>
                <w:rFonts w:ascii="Arial" w:hAnsi="Arial"/>
                <w:b/>
                <w:color w:val="000000"/>
                <w:sz w:val="17"/>
              </w:rPr>
              <w:t>1</w:t>
            </w:r>
          </w:p>
        </w:tc>
        <w:tc>
          <w:tcPr>
            <w:tcW w:type="dxa" w:w="2160"/>
            <w:shd w:fill="FFFFFF"/>
            <w:tcMar>
              <w:top w:w="90" w:type="dxa"/>
              <w:bottom w:w="90" w:type="dxa"/>
              <w:left w:w="100" w:type="dxa"/>
              <w:right w:w="100" w:type="dxa"/>
            </w:tcMar>
          </w:tcPr>
          <w:p>
            <w:pPr>
              <w:spacing w:after="0"/>
              <w:jc w:val="left"/>
            </w:pPr>
            <w:r>
              <w:rPr>
                <w:rFonts w:ascii="Arial" w:hAnsi="Arial"/>
                <w:b/>
                <w:color w:val="000000"/>
                <w:sz w:val="17"/>
              </w:rPr>
              <w:t>Seguridad (seguridad)</w:t>
            </w:r>
          </w:p>
        </w:tc>
        <w:tc>
          <w:tcPr>
            <w:tcW w:type="dxa" w:w="1728"/>
            <w:shd w:fill="FFFFFF"/>
            <w:tcMar>
              <w:top w:w="90" w:type="dxa"/>
              <w:bottom w:w="90" w:type="dxa"/>
              <w:left w:w="100" w:type="dxa"/>
              <w:right w:w="100" w:type="dxa"/>
            </w:tcMar>
          </w:tcPr>
          <w:p>
            <w:pPr>
              <w:spacing w:after="0"/>
              <w:jc w:val="left"/>
            </w:pPr>
            <w:r>
              <w:rPr>
                <w:rFonts w:ascii="Arial" w:hAnsi="Arial"/>
                <w:color w:val="000000"/>
                <w:sz w:val="17"/>
              </w:rPr>
              <w:t>Transversal</w:t>
            </w:r>
          </w:p>
        </w:tc>
        <w:tc>
          <w:tcPr>
            <w:tcW w:type="dxa" w:w="2592"/>
            <w:shd w:fill="FFFFFF"/>
            <w:tcMar>
              <w:top w:w="90" w:type="dxa"/>
              <w:bottom w:w="90" w:type="dxa"/>
              <w:left w:w="100" w:type="dxa"/>
              <w:right w:w="100" w:type="dxa"/>
            </w:tcMar>
          </w:tcPr>
          <w:p>
            <w:pPr>
              <w:spacing w:after="0"/>
              <w:jc w:val="left"/>
            </w:pPr>
            <w:r>
              <w:rPr>
                <w:rFonts w:ascii="Arial" w:hAnsi="Arial"/>
                <w:color w:val="000000"/>
                <w:sz w:val="17"/>
              </w:rPr>
              <w:t>Faijo Calisaya Helio Paul &amp;</w:t>
              <w:br/>
              <w:t>Figueroa Chambi Jhymel Nelio</w:t>
            </w:r>
          </w:p>
        </w:tc>
        <w:tc>
          <w:tcPr>
            <w:tcW w:type="dxa" w:w="2304"/>
            <w:shd w:fill="FFFFFF"/>
            <w:tcMar>
              <w:top w:w="90" w:type="dxa"/>
              <w:bottom w:w="90" w:type="dxa"/>
              <w:left w:w="100" w:type="dxa"/>
              <w:right w:w="100" w:type="dxa"/>
            </w:tcMar>
          </w:tcPr>
          <w:p>
            <w:pPr>
              <w:spacing w:after="0"/>
              <w:jc w:val="left"/>
            </w:pPr>
            <w:r>
              <w:rPr>
                <w:rFonts w:ascii="Arial" w:hAnsi="Arial"/>
                <w:color w:val="000000"/>
                <w:sz w:val="17"/>
              </w:rPr>
              <w:t>JWT, BCrypt, Security Filters, UserDetails</w:t>
            </w:r>
          </w:p>
        </w:tc>
      </w:tr>
      <w:tr>
        <w:tc>
          <w:tcPr>
            <w:tcW w:type="dxa" w:w="576"/>
            <w:shd w:fill="F0F4F8"/>
            <w:tcMar>
              <w:top w:w="90" w:type="dxa"/>
              <w:bottom w:w="90" w:type="dxa"/>
              <w:left w:w="100" w:type="dxa"/>
              <w:right w:w="100" w:type="dxa"/>
            </w:tcMar>
          </w:tcPr>
          <w:p>
            <w:pPr>
              <w:spacing w:after="0"/>
              <w:jc w:val="center"/>
            </w:pPr>
            <w:r>
              <w:rPr>
                <w:rFonts w:ascii="Arial" w:hAnsi="Arial"/>
                <w:b/>
                <w:color w:val="000000"/>
                <w:sz w:val="17"/>
              </w:rPr>
              <w:t>2</w:t>
            </w:r>
          </w:p>
        </w:tc>
        <w:tc>
          <w:tcPr>
            <w:tcW w:type="dxa" w:w="2160"/>
            <w:shd w:fill="F0F4F8"/>
            <w:tcMar>
              <w:top w:w="90" w:type="dxa"/>
              <w:bottom w:w="90" w:type="dxa"/>
              <w:left w:w="100" w:type="dxa"/>
              <w:right w:w="100" w:type="dxa"/>
            </w:tcMar>
          </w:tcPr>
          <w:p>
            <w:pPr>
              <w:spacing w:after="0"/>
              <w:jc w:val="left"/>
            </w:pPr>
            <w:r>
              <w:rPr>
                <w:rFonts w:ascii="Arial" w:hAnsi="Arial"/>
                <w:b/>
                <w:color w:val="000000"/>
                <w:sz w:val="17"/>
              </w:rPr>
              <w:t>Acopiador (acopiador)</w:t>
            </w:r>
          </w:p>
        </w:tc>
        <w:tc>
          <w:tcPr>
            <w:tcW w:type="dxa" w:w="1728"/>
            <w:shd w:fill="F0F4F8"/>
            <w:tcMar>
              <w:top w:w="90" w:type="dxa"/>
              <w:bottom w:w="90" w:type="dxa"/>
              <w:left w:w="100" w:type="dxa"/>
              <w:right w:w="100" w:type="dxa"/>
            </w:tcMar>
          </w:tcPr>
          <w:p>
            <w:pPr>
              <w:spacing w:after="0"/>
              <w:jc w:val="left"/>
            </w:pPr>
            <w:r>
              <w:rPr>
                <w:rFonts w:ascii="Arial" w:hAnsi="Arial"/>
                <w:color w:val="000000"/>
                <w:sz w:val="17"/>
              </w:rPr>
              <w:t>Transaccional 1</w:t>
            </w:r>
          </w:p>
        </w:tc>
        <w:tc>
          <w:tcPr>
            <w:tcW w:type="dxa" w:w="2592"/>
            <w:shd w:fill="F0F4F8"/>
            <w:tcMar>
              <w:top w:w="90" w:type="dxa"/>
              <w:bottom w:w="90" w:type="dxa"/>
              <w:left w:w="100" w:type="dxa"/>
              <w:right w:w="100" w:type="dxa"/>
            </w:tcMar>
          </w:tcPr>
          <w:p>
            <w:pPr>
              <w:spacing w:after="0"/>
              <w:jc w:val="left"/>
            </w:pPr>
            <w:r>
              <w:rPr>
                <w:rFonts w:ascii="Arial" w:hAnsi="Arial"/>
                <w:color w:val="000000"/>
                <w:sz w:val="17"/>
              </w:rPr>
              <w:t>Faijo Calisaya Helio Paul</w:t>
            </w:r>
          </w:p>
        </w:tc>
        <w:tc>
          <w:tcPr>
            <w:tcW w:type="dxa" w:w="2304"/>
            <w:shd w:fill="F0F4F8"/>
            <w:tcMar>
              <w:top w:w="90" w:type="dxa"/>
              <w:bottom w:w="90" w:type="dxa"/>
              <w:left w:w="100" w:type="dxa"/>
              <w:right w:w="100" w:type="dxa"/>
            </w:tcMar>
          </w:tcPr>
          <w:p>
            <w:pPr>
              <w:spacing w:after="0"/>
              <w:jc w:val="left"/>
            </w:pPr>
            <w:r>
              <w:rPr>
                <w:rFonts w:ascii="Arial" w:hAnsi="Arial"/>
                <w:color w:val="000000"/>
                <w:sz w:val="17"/>
              </w:rPr>
              <w:t>Compras G2, Fundición Real, Oro Rojo/Verde</w:t>
            </w:r>
          </w:p>
        </w:tc>
      </w:tr>
      <w:tr>
        <w:tc>
          <w:tcPr>
            <w:tcW w:type="dxa" w:w="576"/>
            <w:shd w:fill="FFFFFF"/>
            <w:tcMar>
              <w:top w:w="90" w:type="dxa"/>
              <w:bottom w:w="90" w:type="dxa"/>
              <w:left w:w="100" w:type="dxa"/>
              <w:right w:w="100" w:type="dxa"/>
            </w:tcMar>
          </w:tcPr>
          <w:p>
            <w:pPr>
              <w:spacing w:after="0"/>
              <w:jc w:val="center"/>
            </w:pPr>
            <w:r>
              <w:rPr>
                <w:rFonts w:ascii="Arial" w:hAnsi="Arial"/>
                <w:b/>
                <w:color w:val="000000"/>
                <w:sz w:val="17"/>
              </w:rPr>
              <w:t>3</w:t>
            </w:r>
          </w:p>
        </w:tc>
        <w:tc>
          <w:tcPr>
            <w:tcW w:type="dxa" w:w="2160"/>
            <w:shd w:fill="FFFFFF"/>
            <w:tcMar>
              <w:top w:w="90" w:type="dxa"/>
              <w:bottom w:w="90" w:type="dxa"/>
              <w:left w:w="100" w:type="dxa"/>
              <w:right w:w="100" w:type="dxa"/>
            </w:tcMar>
          </w:tcPr>
          <w:p>
            <w:pPr>
              <w:spacing w:after="0"/>
              <w:jc w:val="left"/>
            </w:pPr>
            <w:r>
              <w:rPr>
                <w:rFonts w:ascii="Arial" w:hAnsi="Arial"/>
                <w:b/>
                <w:color w:val="000000"/>
                <w:sz w:val="17"/>
              </w:rPr>
              <w:t>Mayorista (mayorista)</w:t>
            </w:r>
          </w:p>
        </w:tc>
        <w:tc>
          <w:tcPr>
            <w:tcW w:type="dxa" w:w="1728"/>
            <w:shd w:fill="FFFFFF"/>
            <w:tcMar>
              <w:top w:w="90" w:type="dxa"/>
              <w:bottom w:w="90" w:type="dxa"/>
              <w:left w:w="100" w:type="dxa"/>
              <w:right w:w="100" w:type="dxa"/>
            </w:tcMar>
          </w:tcPr>
          <w:p>
            <w:pPr>
              <w:spacing w:after="0"/>
              <w:jc w:val="left"/>
            </w:pPr>
            <w:r>
              <w:rPr>
                <w:rFonts w:ascii="Arial" w:hAnsi="Arial"/>
                <w:color w:val="000000"/>
                <w:sz w:val="17"/>
              </w:rPr>
              <w:t>Transaccional 2</w:t>
            </w:r>
          </w:p>
        </w:tc>
        <w:tc>
          <w:tcPr>
            <w:tcW w:type="dxa" w:w="2592"/>
            <w:shd w:fill="FFFFFF"/>
            <w:tcMar>
              <w:top w:w="90" w:type="dxa"/>
              <w:bottom w:w="90" w:type="dxa"/>
              <w:left w:w="100" w:type="dxa"/>
              <w:right w:w="100" w:type="dxa"/>
            </w:tcMar>
          </w:tcPr>
          <w:p>
            <w:pPr>
              <w:spacing w:after="0"/>
              <w:jc w:val="left"/>
            </w:pPr>
            <w:r>
              <w:rPr>
                <w:rFonts w:ascii="Arial" w:hAnsi="Arial"/>
                <w:color w:val="000000"/>
                <w:sz w:val="17"/>
              </w:rPr>
              <w:t>Figueroa Chambi Jhymel Nelio</w:t>
            </w:r>
          </w:p>
        </w:tc>
        <w:tc>
          <w:tcPr>
            <w:tcW w:type="dxa" w:w="2304"/>
            <w:shd w:fill="FFFFFF"/>
            <w:tcMar>
              <w:top w:w="90" w:type="dxa"/>
              <w:bottom w:w="90" w:type="dxa"/>
              <w:left w:w="100" w:type="dxa"/>
              <w:right w:w="100" w:type="dxa"/>
            </w:tcMar>
          </w:tcPr>
          <w:p>
            <w:pPr>
              <w:spacing w:after="0"/>
              <w:jc w:val="left"/>
            </w:pPr>
            <w:r>
              <w:rPr>
                <w:rFonts w:ascii="Arial" w:hAnsi="Arial"/>
                <w:color w:val="000000"/>
                <w:sz w:val="17"/>
              </w:rPr>
              <w:t>Cierres G1, Onza Troy USD, Tipo de Cambio</w:t>
            </w:r>
          </w:p>
        </w:tc>
      </w:tr>
      <w:tr>
        <w:tc>
          <w:tcPr>
            <w:tcW w:type="dxa" w:w="576"/>
            <w:shd w:fill="F0F4F8"/>
            <w:tcMar>
              <w:top w:w="90" w:type="dxa"/>
              <w:bottom w:w="90" w:type="dxa"/>
              <w:left w:w="100" w:type="dxa"/>
              <w:right w:w="100" w:type="dxa"/>
            </w:tcMar>
          </w:tcPr>
          <w:p>
            <w:pPr>
              <w:spacing w:after="0"/>
              <w:jc w:val="center"/>
            </w:pPr>
            <w:r>
              <w:rPr>
                <w:rFonts w:ascii="Arial" w:hAnsi="Arial"/>
                <w:b/>
                <w:color w:val="000000"/>
                <w:sz w:val="17"/>
              </w:rPr>
              <w:t>4</w:t>
            </w:r>
          </w:p>
        </w:tc>
        <w:tc>
          <w:tcPr>
            <w:tcW w:type="dxa" w:w="2160"/>
            <w:shd w:fill="F0F4F8"/>
            <w:tcMar>
              <w:top w:w="90" w:type="dxa"/>
              <w:bottom w:w="90" w:type="dxa"/>
              <w:left w:w="100" w:type="dxa"/>
              <w:right w:w="100" w:type="dxa"/>
            </w:tcMar>
          </w:tcPr>
          <w:p>
            <w:pPr>
              <w:spacing w:after="0"/>
              <w:jc w:val="left"/>
            </w:pPr>
            <w:r>
              <w:rPr>
                <w:rFonts w:ascii="Arial" w:hAnsi="Arial"/>
                <w:b/>
                <w:color w:val="000000"/>
                <w:sz w:val="17"/>
              </w:rPr>
              <w:t>Cotizador (cotizador)</w:t>
            </w:r>
          </w:p>
        </w:tc>
        <w:tc>
          <w:tcPr>
            <w:tcW w:type="dxa" w:w="1728"/>
            <w:shd w:fill="F0F4F8"/>
            <w:tcMar>
              <w:top w:w="90" w:type="dxa"/>
              <w:bottom w:w="90" w:type="dxa"/>
              <w:left w:w="100" w:type="dxa"/>
              <w:right w:w="100" w:type="dxa"/>
            </w:tcMar>
          </w:tcPr>
          <w:p>
            <w:pPr>
              <w:spacing w:after="0"/>
              <w:jc w:val="left"/>
            </w:pPr>
            <w:r>
              <w:rPr>
                <w:rFonts w:ascii="Arial" w:hAnsi="Arial"/>
                <w:color w:val="000000"/>
                <w:sz w:val="17"/>
              </w:rPr>
              <w:t>No Transaccional 1</w:t>
            </w:r>
          </w:p>
        </w:tc>
        <w:tc>
          <w:tcPr>
            <w:tcW w:type="dxa" w:w="2592"/>
            <w:shd w:fill="F0F4F8"/>
            <w:tcMar>
              <w:top w:w="90" w:type="dxa"/>
              <w:bottom w:w="90" w:type="dxa"/>
              <w:left w:w="100" w:type="dxa"/>
              <w:right w:w="100" w:type="dxa"/>
            </w:tcMar>
          </w:tcPr>
          <w:p>
            <w:pPr>
              <w:spacing w:after="0"/>
              <w:jc w:val="left"/>
            </w:pPr>
            <w:r>
              <w:rPr>
                <w:rFonts w:ascii="Arial" w:hAnsi="Arial"/>
                <w:color w:val="000000"/>
                <w:sz w:val="17"/>
              </w:rPr>
              <w:t>Faijo Calisaya Helio Paul</w:t>
            </w:r>
          </w:p>
        </w:tc>
        <w:tc>
          <w:tcPr>
            <w:tcW w:type="dxa" w:w="2304"/>
            <w:shd w:fill="F0F4F8"/>
            <w:tcMar>
              <w:top w:w="90" w:type="dxa"/>
              <w:bottom w:w="90" w:type="dxa"/>
              <w:left w:w="100" w:type="dxa"/>
              <w:right w:w="100" w:type="dxa"/>
            </w:tcMar>
          </w:tcPr>
          <w:p>
            <w:pPr>
              <w:spacing w:after="0"/>
              <w:jc w:val="left"/>
            </w:pPr>
            <w:r>
              <w:rPr>
                <w:rFonts w:ascii="Arial" w:hAnsi="Arial"/>
                <w:color w:val="000000"/>
                <w:sz w:val="17"/>
              </w:rPr>
              <w:t>Simulador Minero, Merma, Cálculo en Memoria</w:t>
            </w:r>
          </w:p>
        </w:tc>
      </w:tr>
      <w:tr>
        <w:tc>
          <w:tcPr>
            <w:tcW w:type="dxa" w:w="576"/>
            <w:shd w:fill="FFFFFF"/>
            <w:tcMar>
              <w:top w:w="90" w:type="dxa"/>
              <w:bottom w:w="90" w:type="dxa"/>
              <w:left w:w="100" w:type="dxa"/>
              <w:right w:w="100" w:type="dxa"/>
            </w:tcMar>
          </w:tcPr>
          <w:p>
            <w:pPr>
              <w:spacing w:after="0"/>
              <w:jc w:val="center"/>
            </w:pPr>
            <w:r>
              <w:rPr>
                <w:rFonts w:ascii="Arial" w:hAnsi="Arial"/>
                <w:b/>
                <w:color w:val="000000"/>
                <w:sz w:val="17"/>
              </w:rPr>
              <w:t>5</w:t>
            </w:r>
          </w:p>
        </w:tc>
        <w:tc>
          <w:tcPr>
            <w:tcW w:type="dxa" w:w="2160"/>
            <w:shd w:fill="FFFFFF"/>
            <w:tcMar>
              <w:top w:w="90" w:type="dxa"/>
              <w:bottom w:w="90" w:type="dxa"/>
              <w:left w:w="100" w:type="dxa"/>
              <w:right w:w="100" w:type="dxa"/>
            </w:tcMar>
          </w:tcPr>
          <w:p>
            <w:pPr>
              <w:spacing w:after="0"/>
              <w:jc w:val="left"/>
            </w:pPr>
            <w:r>
              <w:rPr>
                <w:rFonts w:ascii="Arial" w:hAnsi="Arial"/>
                <w:b/>
                <w:color w:val="000000"/>
                <w:sz w:val="17"/>
              </w:rPr>
              <w:t>Parámetros (parametros)</w:t>
            </w:r>
          </w:p>
        </w:tc>
        <w:tc>
          <w:tcPr>
            <w:tcW w:type="dxa" w:w="1728"/>
            <w:shd w:fill="FFFFFF"/>
            <w:tcMar>
              <w:top w:w="90" w:type="dxa"/>
              <w:bottom w:w="90" w:type="dxa"/>
              <w:left w:w="100" w:type="dxa"/>
              <w:right w:w="100" w:type="dxa"/>
            </w:tcMar>
          </w:tcPr>
          <w:p>
            <w:pPr>
              <w:spacing w:after="0"/>
              <w:jc w:val="left"/>
            </w:pPr>
            <w:r>
              <w:rPr>
                <w:rFonts w:ascii="Arial" w:hAnsi="Arial"/>
                <w:color w:val="000000"/>
                <w:sz w:val="17"/>
              </w:rPr>
              <w:t>No Transaccional 2</w:t>
            </w:r>
          </w:p>
        </w:tc>
        <w:tc>
          <w:tcPr>
            <w:tcW w:type="dxa" w:w="2592"/>
            <w:shd w:fill="FFFFFF"/>
            <w:tcMar>
              <w:top w:w="90" w:type="dxa"/>
              <w:bottom w:w="90" w:type="dxa"/>
              <w:left w:w="100" w:type="dxa"/>
              <w:right w:w="100" w:type="dxa"/>
            </w:tcMar>
          </w:tcPr>
          <w:p>
            <w:pPr>
              <w:spacing w:after="0"/>
              <w:jc w:val="left"/>
            </w:pPr>
            <w:r>
              <w:rPr>
                <w:rFonts w:ascii="Arial" w:hAnsi="Arial"/>
                <w:color w:val="000000"/>
                <w:sz w:val="17"/>
              </w:rPr>
              <w:t>Figueroa Chambi Jhymel Nelio</w:t>
            </w:r>
          </w:p>
        </w:tc>
        <w:tc>
          <w:tcPr>
            <w:tcW w:type="dxa" w:w="2304"/>
            <w:shd w:fill="FFFFFF"/>
            <w:tcMar>
              <w:top w:w="90" w:type="dxa"/>
              <w:bottom w:w="90" w:type="dxa"/>
              <w:left w:w="100" w:type="dxa"/>
              <w:right w:w="100" w:type="dxa"/>
            </w:tcMar>
          </w:tcPr>
          <w:p>
            <w:pPr>
              <w:spacing w:after="0"/>
              <w:jc w:val="left"/>
            </w:pPr>
            <w:r>
              <w:rPr>
                <w:rFonts w:ascii="Arial" w:hAnsi="Arial"/>
                <w:color w:val="000000"/>
                <w:sz w:val="17"/>
              </w:rPr>
              <w:t>Precios Diarios, Mineros, Dashboard KPIs</w:t>
            </w:r>
          </w:p>
        </w:tc>
      </w:tr>
    </w:tbl>
    <w:p>
      <w:pPr>
        <w:spacing w:after="240"/>
      </w:pPr>
    </w:p>
    <w:p>
      <w:pPr>
        <w:jc w:val="center"/>
      </w:pPr>
      <w:r>
        <w:rPr>
          <w:rFonts w:ascii="Arial" w:hAnsi="Arial"/>
          <w:i/>
          <w:color w:val="64748B"/>
          <w:sz w:val="18"/>
        </w:rPr>
        <w:t>Proyecto Integrador Ciclo IV – SITRA-ORO Acopio de Oro – 2026 UPeU Campus Juliaca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