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INFORME DE EVIDENCIA DE APRENDIZAJE</w:t>
      </w:r>
    </w:p>
    <w:p>
      <w:pPr>
        <w:spacing w:after="240"/>
        <w:jc w:val="center"/>
      </w:pPr>
      <w:r>
        <w:rPr>
          <w:rFonts w:ascii="Arial" w:hAnsi="Arial"/>
          <w:b/>
          <w:color w:val="B7791F"/>
          <w:sz w:val="21"/>
        </w:rPr>
        <w:t>SESIÓN S03: ASOCIACIÓN ORM Y DTO RELACIONADO (MINERO — TRANSACCIÓN ACOPIO ORO)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Estudiante: </w:t>
            </w:r>
            <w:r>
              <w:rPr>
                <w:rFonts w:ascii="Arial" w:hAnsi="Arial"/>
                <w:color w:val="2D3748"/>
                <w:sz w:val="18"/>
              </w:rPr>
              <w:t>Figueroa Chambi Jhymel Nelio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Equipo de Desarrollo: </w:t>
            </w:r>
            <w:r>
              <w:rPr>
                <w:rFonts w:ascii="Arial" w:hAnsi="Arial"/>
                <w:color w:val="2D3748"/>
                <w:sz w:val="18"/>
              </w:rPr>
              <w:t>Equipo 05 — BomERP Acopio de Oro (bomerp-acopio-oro)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Proyecto de Dominio: </w:t>
            </w:r>
            <w:r>
              <w:rPr>
                <w:rFonts w:ascii="Arial" w:hAnsi="Arial"/>
                <w:color w:val="2D3748"/>
                <w:sz w:val="18"/>
              </w:rPr>
              <w:t>Sistema de Control y Acopio de Oro (bomerp-acopio-oro)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Curso / Ciclo: </w:t>
            </w:r>
            <w:r>
              <w:rPr>
                <w:rFonts w:ascii="Arial" w:hAnsi="Arial"/>
                <w:color w:val="2D3748"/>
                <w:sz w:val="18"/>
              </w:rPr>
              <w:t>Lenguaje de Programación II (LP2) — Ciclo IV (Semestre 2026-II)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Institución: </w:t>
            </w:r>
            <w:r>
              <w:rPr>
                <w:rFonts w:ascii="Arial" w:hAnsi="Arial"/>
                <w:color w:val="2D3748"/>
                <w:sz w:val="18"/>
              </w:rPr>
              <w:t>Universidad Peruana Unión (UPeU) — Campus Juliaca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Rol / Aporte realizado: </w:t>
            </w:r>
            <w:r>
              <w:rPr>
                <w:rFonts w:ascii="Arial" w:hAnsi="Arial"/>
                <w:color w:val="2D3748"/>
                <w:sz w:val="18"/>
              </w:rPr>
              <w:t>Mapeo ORM @ManyToOne TransaccionG2-Minero, DTO MineroResumen, validación 404, navegación por filtro y CRUD Minero</w:t>
              <w:br/>
            </w:r>
            <w:r>
              <w:rPr>
                <w:rFonts w:ascii="Arial" w:hAnsi="Arial"/>
                <w:b/>
                <w:color w:val="1A365D"/>
                <w:sz w:val="18"/>
              </w:rPr>
              <w:t xml:space="preserve">Repositorio GitHub: </w:t>
            </w:r>
            <w:r>
              <w:rPr>
                <w:rFonts w:ascii="Arial" w:hAnsi="Arial"/>
                <w:color w:val="2D3748"/>
                <w:sz w:val="18"/>
              </w:rPr>
              <w:t>https://github.com/262ciclo4/bomerp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B6CB0"/>
          <w:sz w:val="26"/>
        </w:rPr>
        <w:t>1. Evidencia Técnica por Bloques de Evaluación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1A365D"/>
          <w:sz w:val="22"/>
        </w:rPr>
        <w:t>Bloque 1: Asociación ORM y DTO Relacionado en Dominio Acopio (25%)</w:t>
      </w:r>
    </w:p>
    <w:p>
      <w:pPr>
        <w:spacing w:after="80"/>
      </w:pPr>
      <w:r>
        <w:rPr>
          <w:rFonts w:ascii="Arial" w:hAnsi="Arial"/>
          <w:color w:val="2D3748"/>
          <w:sz w:val="18"/>
        </w:rPr>
        <w:t>En el dominio de Acopio de Oro, la entidad principal TransaccionG2 (compra presencial de oro fundido) se asoció mediante @ManyToOne con carga perezosa (LAZY) y @JoinColumn(name = "ID_MINERO") hacia la entidad Minero (catálogo maestro). En la respuesta JSON, TransaccionG2Response embebe el DTO MineroResumen (idMinero, documentoIdentidad, nombresApellidos) sin exponer atributos internos ni provocar recursión infinita.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1: CÓDIGO DE TRANSACCIONG2.JAVA CON @MANYTOONE Y @JOINCOLUMN(NAME = 'ID_MINERO')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de VS Code en bomerp-acopio-oro mostrando la entidad TransaccionG2 y su relación hacia Minero.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hAnsi="Arial"/>
          <w:i/>
          <w:color w:val="718096"/>
          <w:sz w:val="17"/>
        </w:rPr>
        <w:t>Explicación técnica 1: La entidad TransaccionG2 mapea la clave foránea ID_MINERO de la tabla BOM_ACOPIO.TRANSACCIONES_G2 mediante @ManyToOne(fetch = FetchType.LAZY), manteniendo la integridad referencial con la tabla BOM_ACOPIO.MINEROS.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2: RESPUESTA GET /API/V1/ACOPIO/TRANSACCIONES CON MINERORESUMEN EMBEBIDO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de consola o Swagger ejecutando GET /api/v1/acopio/transacciones mostrando el JSON con 'minero': { 'idMinero': 1, 'nombresApellidos': '...' }.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Arial" w:hAnsi="Arial"/>
          <w:i/>
          <w:color w:val="718096"/>
          <w:sz w:val="17"/>
        </w:rPr>
        <w:t>Explicación técnica 2: La consulta de transacciones de compra de oro retorna HTTP 200 OK incluyendo la clasificación de oro (Rojo / Verde), peso neto, total pagado y el DTO anidado MineroResumen.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1A365D"/>
          <w:sz w:val="22"/>
        </w:rPr>
        <w:t>Bloque 2: Validación de Referencias (Respuesta 404 Not Found) (25%)</w:t>
      </w:r>
    </w:p>
    <w:p>
      <w:pPr>
        <w:spacing w:after="80"/>
      </w:pPr>
      <w:r>
        <w:rPr>
          <w:rFonts w:ascii="Arial" w:hAnsi="Arial"/>
          <w:color w:val="2D3748"/>
          <w:sz w:val="18"/>
        </w:rPr>
        <w:t>Al intentar registrar una compra de oro presencial con un idMinero que no existe en el sistema, AcopiadorServiceImpl valida la referencia mediante mineroRepository.findById(request.idMinero()). Al no encontrarlo, lanza ResourceNotFoundException y GlobalExceptionHandler responde de forma controlada HTTP 404 Not Found sin registrar compras huérfanas.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3: POST /API/V1/ACOPIO/TRANSACCIONES CON IDMINERO INEXISTENTE (404 NOT FOUND)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ejecutando compra con idMinero: 999 recibiendo 404 Not Found con mensaje 'Minero no encontrado: 999'.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Arial" w:hAnsi="Arial"/>
          <w:i/>
          <w:color w:val="718096"/>
          <w:sz w:val="17"/>
        </w:rPr>
        <w:t>Explicación técnica 3: La API rechaza la transacción con HTTP 404 Not Found: {"error": "Not Found", "message": "Minero no encontrado: 999"}, impidiendo inconsistencias financieras en el módulo de compras de oro G2.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1A365D"/>
          <w:sz w:val="22"/>
        </w:rPr>
        <w:t>Bloque 3: Navegación Controlada por Minero (25%)</w:t>
      </w:r>
    </w:p>
    <w:p>
      <w:pPr>
        <w:spacing w:after="80"/>
      </w:pPr>
      <w:r>
        <w:rPr>
          <w:rFonts w:ascii="Arial" w:hAnsi="Arial"/>
          <w:color w:val="2D3748"/>
          <w:sz w:val="18"/>
        </w:rPr>
        <w:t>Se implementó la navegación controlada a través del endpoint GET /api/v1/acopio/mineros/{id}/transacciones para listar el historial completo de compras de oro realizadas a un minero específico. Valida la existencia del minero respondiendo 404 si el identificador no existe.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4: NAVEGACIÓN CASO VÁLIDO: GET /API/V1/ACOPIO/MINEROS/1/TRANSACCIONES (200 OK)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mostrando el historial de compras de oro asociadas al minero ID 1.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hAnsi="Arial"/>
          <w:i/>
          <w:color w:val="718096"/>
          <w:sz w:val="17"/>
        </w:rPr>
        <w:t>Explicación técnica 4: Petición exitosa que lista las transacciones de oro rojo y verde efectuadas al minero artesanal con ID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5: NAVEGACIÓN CASO INVÁLIDO: GET /API/V1/ACOPIO/MINEROS/999/TRANSACCIONES (404 NOT FOUND)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mostrando la respuesta 404 Not Found al consultar el historial de un minero inexistente.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Arial" w:hAnsi="Arial"/>
          <w:i/>
          <w:color w:val="718096"/>
          <w:sz w:val="17"/>
        </w:rPr>
        <w:t>Explicación técnica 5: Consulta con minero inexistente (id=999) respondiendo 404 Not Found tras la verificación previa en base de datos.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1A365D"/>
          <w:sz w:val="22"/>
        </w:rPr>
        <w:t>Bloque 4: CRUD de Mineros y Verificación de Límites Modulares (25%)</w:t>
      </w:r>
    </w:p>
    <w:p>
      <w:pPr>
        <w:spacing w:after="80"/>
      </w:pPr>
      <w:r>
        <w:rPr>
          <w:rFonts w:ascii="Arial" w:hAnsi="Arial"/>
          <w:color w:val="2D3748"/>
          <w:sz w:val="18"/>
        </w:rPr>
        <w:t>El módulo de Parámetros/Maestros gestiona el CRUD completo del catálogo de Mineros (/api/v1/acopio/mineros: POST, GET, PUT, DELETE) con DTOs inmutables de tipo record, inyección de dependencias por interfaz y separación modular verificada con Spring Modulith.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6: CRUD DE MINERO: REGISTRO (POST) Y LISTADO GENERAL (GET)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ejecutando POST /api/v1/acopio/mineros (201 Created) y GET /api/v1/acopio/mineros (200 OK).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hAnsi="Arial"/>
          <w:i/>
          <w:color w:val="718096"/>
          <w:sz w:val="17"/>
        </w:rPr>
        <w:t>Explicación técnica 6: Operaciones CRUD en MineroController con validación de documento de identidad único y zona de procedencia minera.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2B6CB0"/>
                <w:sz w:val="20"/>
              </w:rPr>
              <w:t>📷 [ ESPACIO PARA CAPTURA 7: PRUEBAS AUTOMATIZADAS Y MODULARITYTESTS EN VERDE (BUILD SUCCESS) ]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Pegar imagen aquí. Captura de la consola ejecutando mvnw test con todas las pruebas del proyecto bomerp-acopio-oro en verde.</w:t>
              <w:br/>
              <w:t>(Importante: Mostrar reloj de Windows con fecha/hora y usuario visible)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rFonts w:ascii="Arial" w:hAnsi="Arial"/>
          <w:i/>
          <w:color w:val="718096"/>
          <w:sz w:val="17"/>
        </w:rPr>
        <w:t>Explicación técnica 7: Ejecución exitosa de ModularityTests y pruebas unitarias confirmando que AcopiadorService consume MineroService respetando los límites de paquete y las reglas de arquitectura modular.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2B6CB0"/>
          <w:sz w:val="26"/>
        </w:rPr>
        <w:t>2. Error o Hallazgo Técnico Diagnosticado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C53030"/>
                <w:sz w:val="19"/>
              </w:rPr>
              <w:t>Hallazgo en la Asociación @ManyToOne entre Módulos y Carga Perezosa (LazyLoading):</w:t>
              <w:br/>
            </w:r>
            <w:r>
              <w:rPr>
                <w:rFonts w:ascii="Arial" w:hAnsi="Arial"/>
                <w:color w:val="2D3748"/>
                <w:sz w:val="18"/>
              </w:rPr>
              <w:t>Durante el modelado de la relación entre TransaccionG2 (módulo acopiador) y Minero (módulo parametros), al serializar inicialmente la entidad completa en la respuesta JSON se producía LazyInitializationException o serialización de proxies de Hibernate debido a la carga perezosa (FetchType.LAZY). Se diagnosticó y resolvió introduciendo el DTO intermedio MineroResumen dentro de TransaccionG2Response y mapeando los datos explícitamente en TransaccionG2Mapper. Esto garantizó que la transacción no exponga detalles innecesarios del minero y desacopló completamente la serialización JSON del ciclo de vida de la sesión JPA.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2B6CB0"/>
          <w:sz w:val="26"/>
        </w:rPr>
        <w:t>3. Reflexión Técnica Breve</w:t>
      </w:r>
    </w:p>
    <w:p>
      <w:pPr>
        <w:spacing w:after="80"/>
      </w:pPr>
      <w:r>
        <w:rPr>
          <w:rFonts w:ascii="Arial" w:hAnsi="Arial"/>
          <w:b/>
          <w:color w:val="1A365D"/>
          <w:sz w:val="19"/>
        </w:rPr>
        <w:t>¿Por qué la relación entre TransaccionG2 y Minero es unidireccional, y qué problema evita esa decisión?</w:t>
        <w:br/>
      </w:r>
    </w:p>
    <w:p>
      <w:pPr>
        <w:spacing w:after="280" w:line="276" w:lineRule="auto"/>
      </w:pPr>
      <w:r>
        <w:rPr>
          <w:rFonts w:ascii="Arial" w:hAnsi="Arial"/>
          <w:color w:val="2D3748"/>
          <w:sz w:val="18"/>
        </w:rPr>
        <w:t>En el sistema bomerp-acopio-oro, la relación entre TransaccionG2 y Minero se diseñó de forma estrictamente unidireccional (@ManyToOne en TransaccionG2 sin @OneToMany en Minero) para evitar la sobrecarga de memoria y el clásico ciclo de serialización recursiva infinita. Un minero en el centro de acopio puede acumular cientos de transacciones a lo largo de los meses; si Minero tuviera una colección @OneToMany cargada por defecto, consultar un simple dato maestro traería innecesariamente miles de registros financieros a la memoria. Mantener la relación unidireccional y resolver la navegación mediante un endpoint filtrado bajo demanda (GET /mineros/{id}/transacciones) asegura alta eficiencia y bajo acoplamiento arquitectónico.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hAnsi="Arial"/>
          <w:b/>
          <w:color w:val="2B6CB0"/>
          <w:sz w:val="28"/>
        </w:rPr>
        <w:t>Anexo: Feedback de la Sesión</w:t>
      </w:r>
    </w:p>
    <w:p>
      <w:pPr>
        <w:spacing w:after="160"/>
      </w:pPr>
      <w:r>
        <w:rPr>
          <w:rFonts w:ascii="Arial" w:hAnsi="Arial"/>
          <w:i/>
          <w:color w:val="718096"/>
          <w:sz w:val="18"/>
        </w:rPr>
        <w:t>Instrumento de retroalimentación individual y metacognición del estudiante.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1. ¿Cuál es el aprendizaje más importante que te llevas de la clase de hoy?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Comprender cómo desacoplar el modelo relacional de base de datos de la API REST usando DTOs relacionados (MineroResumen embebido en TransaccionG2Response) y cómo implementar navegación controlada eficiente.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2. ¿Qué punto de la clase te resultó más confuso o te dejó con dudas?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El impacto del tipo de Fetch (LAZY vs EAGER) al mapear entidades JPA con MapStruct cuando se cruzan límites de paquetes.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3. ¿Tienes alguna pregunta que te gustaría que sea respondida la siguiente clase?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¿Cómo se articulan las transacciones atómicas (@Transactional) cuando una operación de compra actualiza acumulados y stock en diferentes módulos?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4. Sobre tu nivel de comprensión de la clase de hoy, marca una opción: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☑ ¡Entendido! - Lo domino y podría explicarlo.</w:t>
        <w:br/>
        <w:t>☐ Más o menos. - Entendí la idea general, pero tengo dudas.</w:t>
        <w:br/>
        <w:t>☐ Necesito ayuda. - Me siento perdido/a con este tema.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5. ¿Cómo puedo ayudarte a comprender mejor el tema?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Continuar mostrando ejemplos prácticos de cómo los principios de diseño de software (bajo acoplamiento y DTOs) evitan problemas de rendimiento en bases de datos reales.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6. Pensando en tu participación y esfuerzo en la clase de hoy, ¿cómo te autoevaluarías?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☑ Muy Comprometido/a: Me esforcé al máximo.</w:t>
        <w:br/>
        <w:t>☐ Comprometido/a: Sé que podría haberme esforzado un poco más.</w:t>
        <w:br/>
        <w:t>☐ Poco Comprometido/a: Hoy no di mi mejor esfuerzo.</w:t>
      </w:r>
    </w:p>
    <w:p>
      <w:pPr>
        <w:spacing w:before="120" w:after="40"/>
      </w:pPr>
      <w:r>
        <w:rPr>
          <w:rFonts w:ascii="Arial" w:hAnsi="Arial"/>
          <w:b/>
          <w:color w:val="1A365D"/>
          <w:sz w:val="19"/>
        </w:rPr>
        <w:t>7. Mi satisfacción con la clase fue... (califica del 1 al 10):</w:t>
      </w:r>
    </w:p>
    <w:p>
      <w:pPr>
        <w:spacing w:after="120"/>
      </w:pPr>
      <w:r>
        <w:rPr>
          <w:rFonts w:ascii="Arial" w:hAnsi="Arial"/>
          <w:color w:val="2D3748"/>
          <w:sz w:val="18"/>
        </w:rPr>
        <w:t>10 / 10 — Excelente clase práctica y aplicable a nuestro proyecto integrador.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