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 TOP HEADER TABLE WITH BOTH UPEU LOGOS (LEFT & RIGHT) -->
    <w:tbl>
      <w:tblPr>
        <w:tblW w:w="9500" w:type="dxa"/>
        <w:tblBorders>
          <w:top w:val="none"/>
          <w:left w:val="none"/>
          <w:bottom w:val="single" w:sz="12" w:space="0" w:color="0284C7"/>
          <w:right w:val="none"/>
        </w:tblBorders>
        <w:tblCellMar>
          <w:top w:w="80" w:type="dxa"/>
          <w:left w:w="60" w:type="dxa"/>
          <w:bottom w:w="120" w:type="dxa"/>
          <w:right w:w="60" w:type="dxa"/>
        </w:tblCellMar>
      </w:tblPr>
      <w:tblGrid>
        <w:gridCol w:w="2200"/>
        <w:gridCol w:w="5700"/>
        <w:gridCol w:w="1600"/>
      </w:tblGrid>
      <w:tr>
        <!-- LOGO 1: UPeU Institucional (Izquierda) -->
        <w:tc>
          <w:tcPr>
            <w:tcW w:w="2200" w:type="dxa"/>
            <w:vAlign w:val="center"/>
          </w:tcPr>
          <w:p>
            <w:pPr>
              <w:jc w:val="left"/>
              <w:spacing w:before="0" w:after="0"/>
            </w:pPr>
            <w:r>
              <w:rPr>
                <w:noProof/>
              </w:rPr>
              <w:drawing>
                <wp:inline distT="0" distB="0" distL="0" distR="0">
                  <wp:extent cx="1850000" cy="610000"/>
                  <wp:effectExtent l="0" t="0" r="0" b="0"/>
                  <wp:docPr id="1" name="LogoUPE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UPEU1"/>
                          <pic:cNvPicPr/>
                        </pic:nvPicPr>
                        <pic:blipFill>
                          <a:blip r:embed="rIdLogo1"/>
                          <a:stretch>
                            <a:fillRect/>
                          </a:stretch>
                        </pic:blipFill>
                        <pic:spPr>
                          <a:xfrm>
                            <a:off x="0" y="0"/>
                            <a:ext cx="1850000" cy="610000"/>
                          </a:xfrm>
                          <a:prstGeom prst="rect">
                            <a:avLst/>
                          </a:prstGeom>
                        </pic:spPr>
                      </pic:pic>
                    </a:graphicData>
                  </a:graphic>
                </wp:inline>
              </w:drawing>
            </w:r>
          </w:p>
        </w:tc>
        <!-- TEXTO INSTITUCIONAL CENTRAL -->
        <w:tc>
          <w:tcPr>
            <w:tcW w:w="5700" w:type="dxa"/>
            <w:vAlign w:val="center"/>
          </w:tcPr>
          <w:p>
            <w:pPr>
              <w:jc w:val="center"/>
              <w:spacing w:before="0" w:after="30"/>
            </w:pPr>
            <w:r>
              <w:rPr>
                <w:rFonts w:ascii="Arial" w:hAnsi="Arial"/>
                <w:sz w:val="24"/>
                <w:b/>
                <w:color w:val="0F172A"/>
              </w:rPr>
              <w:t xml:space="preserve">UNIVERSIDAD PERUANA UNIÓN</w:t>
            </w:r>
          </w:p>
          <w:p>
            <w:pPr>
              <w:jc w:val="center"/>
              <w:spacing w:before="0" w:after="0"/>
            </w:pPr>
            <w:r>
              <w:rPr>
                <w:rFonts w:ascii="Arial" w:hAnsi="Arial"/>
                <w:sz w:val="19"/>
                <w:b/>
                <w:color w:val="475569"/>
              </w:rPr>
              <w:t xml:space="preserve">Escuela Profesional de Ingeniería de Sistemas</w:t>
            </w:r>
          </w:p>
        </w:tc>
        <!-- LOGO 2: EPIS Emblema (Derecha) -->
        <w:tc>
          <w:tcPr>
            <w:tcW w:w="1600" w:type="dxa"/>
            <w:vAlign w:val="center"/>
          </w:tcPr>
          <w:p>
            <w:pPr>
              <w:jc w:val="right"/>
              <w:spacing w:before="0" w:after="0"/>
            </w:pPr>
            <w:r>
              <w:rPr>
                <w:noProof/>
              </w:rPr>
              <w:drawing>
                <wp:inline distT="0" distB="0" distL="0" distR="0">
                  <wp:extent cx="850000" cy="850000"/>
                  <wp:effectExtent l="0" t="0" r="0" b="0"/>
                  <wp:docPr id="2" name="LogoUPE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UPEU2"/>
                          <pic:cNvPicPr/>
                        </pic:nvPicPr>
                        <pic:blipFill>
                          <a:blip r:embed="rIdLogo2"/>
                          <a:stretch>
                            <a:fillRect/>
                          </a:stretch>
                        </pic:blipFill>
                        <pic:spPr>
                          <a:xfrm>
                            <a:off x="0" y="0"/>
                            <a:ext cx="850000" cy="850000"/>
                          </a:xfrm>
                          <a:prstGeom prst="rect">
                            <a:avLst/>
                          </a:prstGeom>
                        </pic:spPr>
                      </pic:pic>
                    </a:graphicData>
                  </a:graphic>
                </wp:inline>
              </w:drawing>
            </w:r>
          </w:p>
        </w:tc>
      </w:tr>
    </w:tbl>
    <!-- TITLE BLOCK -->
    <w:p>
      <w:pPr>
        <w:jc w:val="center"/>
        <w:spacing w:before="200" w:after="60"/>
      </w:pPr>
      <w:r>
        <w:rPr>
          <w:rFonts w:ascii="Arial" w:hAnsi="Arial"/>
          <w:sz w:val="34"/>
          <w:b/>
          <w:color w:val="0F172A"/>
        </w:rPr>
        <w:t xml:space="preserve">Informe de evidencia de aprendizaje</w:t>
      </w:r>
    </w:p>
    <w:p>
      <w:pPr>
        <w:jc w:val="center"/>
        <w:spacing w:before="0" w:after="60"/>
      </w:pPr>
      <w:r>
        <w:rPr>
          <w:rFonts w:ascii="Arial" w:hAnsi="Arial"/>
          <w:sz w:val="26"/>
          <w:b/>
          <w:color w:val="1E3A8A"/>
        </w:rPr>
        <w:t xml:space="preserve">S07 Creación y Arquitectura de la SPA</w:t>
      </w:r>
    </w:p>
    <w:p>
      <w:pPr>
        <w:jc w:val="center"/>
        <w:spacing w:before="0" w:after="40"/>
      </w:pPr>
      <w:r>
        <w:rPr>
          <w:rFonts w:ascii="Arial" w:hAnsi="Arial"/>
          <w:sz w:val="28"/>
          <w:b/>
          <w:color w:val="0F172A"/>
        </w:rPr>
        <w:t xml:space="preserve">SITRA-ORO</w:t>
      </w:r>
    </w:p>
    <w:p>
      <w:pPr>
        <w:jc w:val="center"/>
        <w:spacing w:before="0" w:after="200"/>
      </w:pPr>
      <w:r>
        <w:rPr>
          <w:rFonts w:ascii="Arial" w:hAnsi="Arial"/>
          <w:sz w:val="20"/>
          <w:i/>
          <w:color w:val="475569"/>
        </w:rPr>
        <w:t xml:space="preserve">Sistema de Información, Trazabilidad y Liquidación en Acopio de Oro</w:t>
      </w:r>
    </w:p>
    <!-- 1. DATOS DEL ESTUDIANTE -->
    <w:p>
      <w:pPr>
        <w:jc w:val="left"/>
        <w:spacing w:before="120" w:after="80"/>
      </w:pPr>
      <w:r>
        <w:rPr>
          <w:rFonts w:ascii="Arial" w:hAnsi="Arial"/>
          <w:sz w:val="24"/>
          <w:b/>
          <w:color w:val="0F172A"/>
        </w:rPr>
        <w:t xml:space="preserve">1. Datos del estudiante</w:t>
      </w:r>
    </w:p>
    <w:tbl>
      <w:tblPr>
        <w:tblW w:w="950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120" w:type="dxa"/>
          <w:left w:w="160" w:type="dxa"/>
          <w:bottom w:w="120" w:type="dxa"/>
          <w:right w:w="160" w:type="dxa"/>
        </w:tblCellMar>
      </w:tblPr>
      <w:tblGrid>
        <w:gridCol w:w="2400"/>
        <w:gridCol w:w="7100"/>
      </w:tblGrid>
      <!-- Row 1: Nombre -->
      <w:tr>
        <w:tc>
          <w:tcPr>
            <w:tcW w:w="2400" w:type="dxa"/>
            <w:shd w:val="clear" w:color="auto" w:fill="1E3A8A"/>
            <w:vAlign w:val="center"/>
          </w:tcPr>
          <w:p>
            <w:pPr>
              <w:jc w:val="left"/>
              <w:spacing w:before="0" w:after="0"/>
            </w:pPr>
            <w:r>
              <w:rPr>
                <w:rFonts w:ascii="Arial" w:hAnsi="Arial"/>
                <w:sz w:val="19"/>
                <w:b/>
                <w:color w:val="FFFFFF"/>
              </w:rPr>
              <w:t xml:space="preserve">Nombre</w:t>
            </w:r>
          </w:p>
        </w:tc>
        <w:tc>
          <w:tcPr>
            <w:tcW w:w="7100" w:type="dxa"/>
            <w:vAlign w:val="center"/>
          </w:tcPr>
          <w:p>
            <w:pPr>
              <w:jc w:val="left"/>
              <w:spacing w:before="0" w:after="0"/>
            </w:pPr>
            <w:r>
              <w:rPr>
                <w:rFonts w:ascii="Arial" w:hAnsi="Arial"/>
                <w:sz w:val="19"/>
                <w:b/>
                <w:color w:val="0F172A"/>
              </w:rPr>
              <w:t xml:space="preserve">Faijo Calisaya Helio Paul</w:t>
            </w:r>
          </w:p>
        </w:tc>
      </w:tr>
      <!-- Row 2: Equipo -->
      <w:tr>
        <w:tc>
          <w:tcPr>
            <w:tcW w:w="2400" w:type="dxa"/>
            <w:shd w:val="clear" w:color="auto" w:fill="1E3A8A"/>
            <w:vAlign w:val="center"/>
          </w:tcPr>
          <w:p>
            <w:pPr>
              <w:jc w:val="left"/>
              <w:spacing w:before="0" w:after="0"/>
            </w:pPr>
            <w:r>
              <w:rPr>
                <w:rFonts w:ascii="Arial" w:hAnsi="Arial"/>
                <w:sz w:val="19"/>
                <w:b/>
                <w:color w:val="FFFFFF"/>
              </w:rPr>
              <w:t xml:space="preserve">Equipo</w:t>
            </w:r>
          </w:p>
        </w:tc>
        <w:tc>
          <w:tcPr>
            <w:tcW w:w="7100" w:type="dxa"/>
            <w:vAlign w:val="center"/>
          </w:tcPr>
          <w:p>
            <w:pPr>
              <w:jc w:val="left"/>
              <w:spacing w:before="0" w:after="0"/>
            </w:pPr>
            <w:r>
              <w:rPr>
                <w:rFonts w:ascii="Arial" w:hAnsi="Arial"/>
                <w:sz w:val="19"/>
                <w:color w:val="0F172A"/>
              </w:rPr>
              <w:t xml:space="preserve">Equipo 05</w:t>
            </w:r>
          </w:p>
        </w:tc>
      </w:tr>
      <!-- Row 3: Sesion -->
      <w:tr>
        <w:tc>
          <w:tcPr>
            <w:tcW w:w="2400" w:type="dxa"/>
            <w:shd w:val="clear" w:color="auto" w:fill="1E3A8A"/>
            <w:vAlign w:val="center"/>
          </w:tcPr>
          <w:p>
            <w:pPr>
              <w:jc w:val="left"/>
              <w:spacing w:before="0" w:after="0"/>
            </w:pPr>
            <w:r>
              <w:rPr>
                <w:rFonts w:ascii="Arial" w:hAnsi="Arial"/>
                <w:sz w:val="19"/>
                <w:b/>
                <w:color w:val="FFFFFF"/>
              </w:rPr>
              <w:t xml:space="preserve">Sesión</w:t>
            </w:r>
          </w:p>
        </w:tc>
        <w:tc>
          <w:tcPr>
            <w:tcW w:w="7100" w:type="dxa"/>
            <w:vAlign w:val="center"/>
          </w:tcPr>
          <w:p>
            <w:pPr>
              <w:jc w:val="left"/>
              <w:spacing w:before="0" w:after="0"/>
            </w:pPr>
            <w:r>
              <w:rPr>
                <w:rFonts w:ascii="Arial" w:hAnsi="Arial"/>
                <w:sz w:val="19"/>
                <w:color w:val="0F172A"/>
              </w:rPr>
              <w:t xml:space="preserve">S07 - Creación y Arquitectura de la SPA</w:t>
            </w:r>
          </w:p>
        </w:tc>
      </w:tr>
      <!-- Row 4: Rol o aporte -->
      <w:tr>
        <w:tc>
          <w:tcPr>
            <w:tcW w:w="2400" w:type="dxa"/>
            <w:shd w:val="clear" w:color="auto" w:fill="1E3A8A"/>
            <w:vAlign w:val="center"/>
          </w:tcPr>
          <w:p>
            <w:pPr>
              <w:jc w:val="left"/>
              <w:spacing w:before="0" w:after="0"/>
            </w:pPr>
            <w:r>
              <w:rPr>
                <w:rFonts w:ascii="Arial" w:hAnsi="Arial"/>
                <w:sz w:val="19"/>
                <w:b/>
                <w:color w:val="FFFFFF"/>
              </w:rPr>
              <w:t xml:space="preserve">Rol o aporte</w:t>
            </w:r>
          </w:p>
        </w:tc>
        <w:tc>
          <w:tcPr>
            <w:tcW w:w="7100" w:type="dxa"/>
            <w:vAlign w:val="center"/>
          </w:tcPr>
          <w:p>
            <w:pPr>
              <w:jc w:val="left"/>
              <w:spacing w:before="0" w:after="0"/>
            </w:pPr>
            <w:r>
              <w:rPr>
                <w:rFonts w:ascii="Arial" w:hAnsi="Arial"/>
                <w:sz w:val="18"/>
                <w:color w:val="0F172A"/>
              </w:rPr>
              <w:t xml:space="preserve">Arquitectura base SPA modular en Angular (core/shared/features), maquetación de Layout con navegación y página de inicio en /, ApiService centralizado, interceptor HTTP con X-Trace-ID (crypto.randomUUID()) y CRUD completo independiente de Mineros conectado a Spring Boot y Oracle XE.</w:t>
            </w:r>
          </w:p>
        </w:tc>
      </w:tr>
      <!-- Row 5: GitHub -->
      <w:tr>
        <w:tc>
          <w:tcPr>
            <w:tcW w:w="2400" w:type="dxa"/>
            <w:shd w:val="clear" w:color="auto" w:fill="1E3A8A"/>
            <w:vAlign w:val="center"/>
          </w:tcPr>
          <w:p>
            <w:pPr>
              <w:jc w:val="left"/>
              <w:spacing w:before="0" w:after="0"/>
            </w:pPr>
            <w:r>
              <w:rPr>
                <w:rFonts w:ascii="Arial" w:hAnsi="Arial"/>
                <w:sz w:val="19"/>
                <w:b/>
                <w:color w:val="FFFFFF"/>
              </w:rPr>
              <w:t xml:space="preserve">GitHub</w:t>
            </w:r>
          </w:p>
        </w:tc>
        <w:tc>
          <w:tcPr>
            <w:tcW w:w="7100" w:type="dxa"/>
            <w:vAlign w:val="center"/>
          </w:tcPr>
          <w:p>
            <w:pPr>
              <w:jc w:val="left"/>
              <w:spacing w:before="0" w:after="0"/>
            </w:pPr>
            <w:r>
              <w:rPr>
                <w:rFonts w:ascii="Arial" w:hAnsi="Arial"/>
                <w:sz w:val="18"/>
                <w:color w:val="0284C7"/>
              </w:rPr>
              <w:t xml:space="preserve">https://github.com/helionelio900-hub/SysProyec_Acopus</w:t>
            </w:r>
          </w:p>
        </w:tc>
      </w:tr>
    </w:tbl>
    <!-- 2. PROPÓSITO -->
    <w:p>
      <w:pPr>
        <w:jc w:val="left"/>
        <w:spacing w:before="160" w:after="80"/>
      </w:pPr>
      <w:r>
        <w:rPr>
          <w:rFonts w:ascii="Arial" w:hAnsi="Arial"/>
          <w:sz w:val="24"/>
          <w:b/>
          <w:color w:val="0F172A"/>
        </w:rPr>
        <w:t xml:space="preserve">2. Propósito</w:t>
      </w:r>
    </w:p>
    <w:p>
      <w:pPr>
        <w:jc w:val="left"/>
        <w:spacing w:before="0" w:after="80"/>
      </w:pPr>
      <w:r>
        <w:rPr>
          <w:rFonts w:ascii="Arial" w:hAnsi="Arial"/>
          <w:sz w:val="19"/>
          <w:color w:val="1E293B"/>
        </w:rPr>
        <w:t xml:space="preserve">Esta actividad demuestra la implementación individual y autónoma de la arquitectura base de una Single Page Application (SPA) modular bajo las mejores prácticas de Angular y el desarrollo de un CRUD completo sobre la tabla independiente Minero del dominio SITRA-ORO (módulo de acopio y trazabilidad de oro), conectado a un backend real en Spring Boot y base de datos Oracle Database XE.</w:t>
      </w:r>
    </w:p>
    <w:p>
      <w:pPr>
        <w:jc w:val="left"/>
        <w:spacing w:before="0" w:after="160"/>
      </w:pPr>
      <w:r>
        <w:rPr>
          <w:rFonts w:ascii="Arial" w:hAnsi="Arial"/>
          <w:sz w:val="18"/>
          <w:b/>
          <w:color w:val="15803D"/>
        </w:rPr>
        <w:t xml:space="preserve">En todas las capturas debe verse la ventana completa, el reloj con fecha y hora y el usuario o perfil visible sin recortar. Las fechas deben ser coherentes con el historial de commits del repositorio.</w:t>
      </w:r>
    </w:p>
    <!-- PAGE BREAK BEFORE SECTION 3 -->
    <w:p>
      <w:pPr>
        <w:jc w:val="left"/>
        <w:spacing w:before="120" w:after="80"/>
        <w:pageBreakBefore/>
      </w:pPr>
      <w:r>
        <w:rPr>
          <w:rFonts w:ascii="Arial" w:hAnsi="Arial"/>
          <w:sz w:val="24"/>
          <w:b/>
          <w:color w:val="0F172A"/>
        </w:rPr>
        <w:t xml:space="preserve">3. Evidencia técnica</w:t>
      </w:r>
    </w:p>
    <!-- 3.1 PROYECTO Y ARQUITECTURA -->
    <w:p>
      <w:pPr>
        <w:jc w:val="left"/>
        <w:spacing w:before="100" w:after="60"/>
      </w:pPr>
      <w:r>
        <w:rPr>
          <w:rFonts w:ascii="Arial" w:hAnsi="Arial"/>
          <w:sz w:val="22"/>
          <w:b/>
          <w:color w:val="1E3A8A"/>
        </w:rPr>
        <w:t xml:space="preserve">3.1 Proyecto y arquitectura</w:t>
      </w:r>
    </w:p>
    <w:p>
      <w:pPr>
        <w:jc w:val="left"/>
        <w:spacing w:before="0" w:after="40"/>
      </w:pPr>
      <w:r>
        <w:rPr>
          <w:rFonts w:ascii="Arial" w:hAnsi="Arial"/>
          <w:sz w:val="19"/>
          <w:color w:val="1E293B"/>
        </w:rPr>
        <w:t xml:space="preserve">El proyecto frontend se organizó bajo la arquitectura limpia core/shared/features:</w:t>
      </w:r>
    </w:p>
    <w:p>
      <w:pPr>
        <w:jc w:val="left"/>
        <w:spacing w:before="0" w:after="30"/>
      </w:pPr>
      <w:r>
        <w:rPr>
          <w:rFonts w:ascii="Arial" w:hAnsi="Arial"/>
          <w:sz w:val="18"/>
          <w:color w:val="334155"/>
        </w:rPr>
        <w:t xml:space="preserve">• core/: Aloja artefactos globales singleton como ApiService (URL base), traceIdInterceptor (trazabilidad), LayoutComponent (estructura persistente) e InicioComponent (página raíz).</w:t>
      </w:r>
    </w:p>
    <w:p>
      <w:pPr>
        <w:jc w:val="left"/>
        <w:spacing w:before="0" w:after="30"/>
      </w:pPr>
      <w:r>
        <w:rPr>
          <w:rFonts w:ascii="Arial" w:hAnsi="Arial"/>
          <w:sz w:val="18"/>
          <w:color w:val="334155"/>
        </w:rPr>
        <w:t xml:space="preserve">• shared/: Contiene modelos e interfaces transversales (models/api-error.ts).</w:t>
      </w:r>
    </w:p>
    <w:p>
      <w:pPr>
        <w:jc w:val="left"/>
        <w:spacing w:before="0" w:after="80"/>
      </w:pPr>
      <w:r>
        <w:rPr>
          <w:rFonts w:ascii="Arial" w:hAnsi="Arial"/>
          <w:sz w:val="18"/>
          <w:color w:val="334155"/>
        </w:rPr>
        <w:t xml:space="preserve">• features/: Agrupa módulos de negocio funcionales. Para esta sesión se implementó features/acopio/mineros/ (servicio, interfaces, listado y formulario reactivo).</w:t>
      </w:r>
    </w:p>
    <w:p>
      <w:pPr>
        <w:jc w:val="left"/>
        <w:spacing w:before="140" w:after="40"/>
      </w:pPr>
      <w:r>
        <w:rPr>
          <w:rFonts w:ascii="Arial" w:hAnsi="Arial"/>
          <w:sz w:val="21"/>
          <w:b/>
          <w:color w:val="0F172A"/>
        </w:rPr>
        <w:t xml:space="preserve">Captura 1. Estructura de carpetas core/shared/features en VS Code</w:t>
      </w:r>
    </w:p>
    <w:p>
      <w:pPr>
        <w:jc w:val="left"/>
        <w:spacing w:before="0" w:after="80"/>
      </w:pPr>
      <w:r>
        <w:rPr>
          <w:rFonts w:ascii="Arial" w:hAnsi="Arial"/>
          <w:sz w:val="18"/>
          <w:i/>
          <w:color w:val="475569"/>
        </w:rPr>
        <w:t xml:space="preserve">Abrir el proyecto en VS Code y mostrar la jerarquía core/shared/features, app.routes.ts y la terminal compilando, con reloj y usuario visibles.</w:t>
      </w:r>
    </w:p>
    <w:tbl>
      <w:tblPr>
        <w:tblW w:w="9500" w:type="dxa"/>
        <w:tblBorders>
          <w:top w:val="dashed" w:sz="12" w:space="0" w:color="0284C7"/>
          <w:left w:val="dashed" w:sz="12" w:space="0" w:color="0284C7"/>
          <w:bottom w:val="dashed" w:sz="12" w:space="0" w:color="0284C7"/>
          <w:right w:val="dashed" w:sz="12" w:space="0" w:color="0284C7"/>
        </w:tblBorders>
        <w:tblCellMar>
          <w:top w:w="300" w:type="dxa"/>
          <w:left w:w="300" w:type="dxa"/>
          <w:bottom w:w="300" w:type="dxa"/>
          <w:right w:w="300" w:type="dxa"/>
        </w:tblCellMar>
      </w:tblPr>
      <w:tblGrid>
        <w:gridCol w:w="9500"/>
      </w:tblGrid>
      <w:tr>
        <w:tc>
          <w:tcPr>
            <w:tcW w:w="9500" w:type="dxa"/>
            <w:shd w:val="clear" w:color="auto" w:fill="F8FAFC"/>
            <w:vAlign w:val="center"/>
          </w:tcPr>
          <w:p>
            <w:pPr>
              <w:jc w:val="center"/>
              <w:spacing w:before="0" w:after="40"/>
            </w:pPr>
            <w:r>
              <w:rPr>
                <w:rFonts w:ascii="Arial" w:hAnsi="Arial"/>
                <w:sz w:val="22"/>
                <w:b/>
                <w:color w:val="0284C7"/>
              </w:rPr>
              <w:t xml:space="preserve">📷 [ CLIC AQUÍ Y PEGAR CAPTURA 1 (Ctrl + V) ]</w:t>
            </w:r>
          </w:p>
          <w:p>
            <w:pPr>
              <w:jc w:val="center"/>
              <w:spacing w:before="0" w:after="40"/>
            </w:pPr>
            <w:r>
              <w:rPr>
                <w:rFonts w:ascii="Arial" w:hAnsi="Arial"/>
                <w:sz w:val="19"/>
                <w:b/>
                <w:color w:val="1E293B"/>
              </w:rPr>
              <w:t xml:space="preserve">Estructura de carpetas core/shared/features en VS Code</w:t>
            </w:r>
          </w:p>
          <w:p>
            <w:pPr>
              <w:jc w:val="center"/>
              <w:spacing w:before="0" w:after="40"/>
            </w:pPr>
            <w:r>
              <w:rPr>
                <w:rFonts w:ascii="Arial" w:hAnsi="Arial"/>
                <w:sz w:val="17"/>
                <w:i/>
                <w:color w:val="64748B"/>
              </w:rPr>
              <w:t xml:space="preserve">Abrir el proyecto en VS Code y mostrar la jerarquía core/shared/features, app.routes.ts y la terminal compilando, con reloj y usuario visibles.</w:t>
            </w:r>
          </w:p>
          <w:p>
            <w:pPr>
              <w:jc w:val="center"/>
              <w:spacing w:before="0" w:after="0"/>
            </w:pPr>
            <w:r>
              <w:rPr>
                <w:rFonts w:ascii="Arial" w:hAnsi="Arial"/>
                <w:sz w:val="16"/>
                <w:b/>
                <w:color w:val="16A34A"/>
              </w:rPr>
              <w:t xml:space="preserve">⚠️ Verificación: La captura debe mostrar la ventana completa con reloj del sistema (22/09/2026) y usuario visible sin recortar</w:t>
            </w:r>
          </w:p>
        </w:tc>
      </w:tr>
    </w:tbl>
    <w:p>
      <w:pPr>
        <w:jc w:val="left"/>
        <w:spacing w:before="60" w:after="160"/>
      </w:pPr>
      <w:r>
        <w:rPr>
          <w:rFonts w:ascii="Arial" w:hAnsi="Arial"/>
          <w:sz w:val="18"/>
          <w:b/>
          <w:color w:val="0F172A"/>
        </w:rPr>
        <w:t xml:space="preserve">Explicación. </w:t>
      </w:r>
      <w:r>
        <w:rPr>
          <w:rFonts w:ascii="Arial" w:hAnsi="Arial"/>
          <w:sz w:val="18"/>
          <w:color w:val="1E293B"/>
        </w:rPr>
        <w:t xml:space="preserve">La estructura modular separa los servicios transversales (core) de los módulos funcionales de negocio (features/acopio/mineros). app.routes.ts configura el Layout persistente como ruta base anidando las rutas hijas.</w:t>
      </w:r>
    </w:p>
    <!-- 3.2 LAYOUT Y NAVEGACIÓN -->
    <w:p>
      <w:pPr>
        <w:jc w:val="left"/>
        <w:spacing w:before="100" w:after="60"/>
        <w:pageBreakBefore/>
      </w:pPr>
      <w:r>
        <w:rPr>
          <w:rFonts w:ascii="Arial" w:hAnsi="Arial"/>
          <w:sz w:val="22"/>
          <w:b/>
          <w:color w:val="1E3A8A"/>
        </w:rPr>
        <w:t xml:space="preserve">3.2 Layout y navegación</w:t>
      </w:r>
    </w:p>
    <w:p>
      <w:pPr>
        <w:jc w:val="left"/>
        <w:spacing w:before="0" w:after="60"/>
      </w:pPr>
      <w:r>
        <w:rPr>
          <w:rFonts w:ascii="Arial" w:hAnsi="Arial"/>
          <w:sz w:val="19"/>
          <w:color w:val="1E293B"/>
        </w:rPr>
        <w:t xml:space="preserve">El componente Layout mantiene fijo el encabezado corporativo (SITRA-ORO) y el sidebar lateral de navegación, proyectando el contenido de cada pantalla dentro de &lt;router-outlet /&gt;.</w:t>
      </w:r>
    </w:p>
    <w:p>
      <w:pPr>
        <w:jc w:val="left"/>
        <w:spacing w:before="140" w:after="40"/>
      </w:pPr>
      <w:r>
        <w:rPr>
          <w:rFonts w:ascii="Arial" w:hAnsi="Arial"/>
          <w:sz w:val="21"/>
          <w:b/>
          <w:color w:val="0F172A"/>
        </w:rPr>
        <w:t xml:space="preserve">Captura 2. Página de inicio real en / (sin redirect)</w:t>
      </w:r>
    </w:p>
    <w:p>
      <w:pPr>
        <w:jc w:val="left"/>
        <w:spacing w:before="0" w:after="80"/>
      </w:pPr>
      <w:r>
        <w:rPr>
          <w:rFonts w:ascii="Arial" w:hAnsi="Arial"/>
          <w:sz w:val="18"/>
          <w:i/>
          <w:color w:val="475569"/>
        </w:rPr>
        <w:t xml:space="preserve">Ejecutar la aplicación en http://localhost:4200/ y mostrar el encabezado, sidebar y la página de inicio real, con reloj y usuario visibles.</w:t>
      </w:r>
    </w:p>
    <w:tbl>
      <w:tblPr>
        <w:tblW w:w="9500" w:type="dxa"/>
        <w:tblBorders>
          <w:top w:val="dashed" w:sz="12" w:space="0" w:color="0284C7"/>
          <w:left w:val="dashed" w:sz="12" w:space="0" w:color="0284C7"/>
          <w:bottom w:val="dashed" w:sz="12" w:space="0" w:color="0284C7"/>
          <w:right w:val="dashed" w:sz="12" w:space="0" w:color="0284C7"/>
        </w:tblBorders>
        <w:tblCellMar>
          <w:top w:w="300" w:type="dxa"/>
          <w:left w:w="300" w:type="dxa"/>
          <w:bottom w:w="300" w:type="dxa"/>
          <w:right w:w="300" w:type="dxa"/>
        </w:tblCellMar>
      </w:tblPr>
      <w:tblGrid>
        <w:gridCol w:w="9500"/>
      </w:tblGrid>
      <w:tr>
        <w:tc>
          <w:tcPr>
            <w:tcW w:w="9500" w:type="dxa"/>
            <w:shd w:val="clear" w:color="auto" w:fill="F8FAFC"/>
            <w:vAlign w:val="center"/>
          </w:tcPr>
          <w:p>
            <w:pPr>
              <w:jc w:val="center"/>
              <w:spacing w:before="0" w:after="40"/>
            </w:pPr>
            <w:r>
              <w:rPr>
                <w:rFonts w:ascii="Arial" w:hAnsi="Arial"/>
                <w:sz w:val="22"/>
                <w:b/>
                <w:color w:val="0284C7"/>
              </w:rPr>
              <w:t xml:space="preserve">📷 [ CLIC AQUÍ Y PEGAR CAPTURA 2 (Ctrl + V) ]</w:t>
            </w:r>
          </w:p>
          <w:p>
            <w:pPr>
              <w:jc w:val="center"/>
              <w:spacing w:before="0" w:after="40"/>
            </w:pPr>
            <w:r>
              <w:rPr>
                <w:rFonts w:ascii="Arial" w:hAnsi="Arial"/>
                <w:sz w:val="19"/>
                <w:b/>
                <w:color w:val="1E293B"/>
              </w:rPr>
              <w:t xml:space="preserve">Página de inicio real en / (sin redirect)</w:t>
            </w:r>
          </w:p>
          <w:p>
            <w:pPr>
              <w:jc w:val="center"/>
              <w:spacing w:before="0" w:after="40"/>
            </w:pPr>
            <w:r>
              <w:rPr>
                <w:rFonts w:ascii="Arial" w:hAnsi="Arial"/>
                <w:sz w:val="17"/>
                <w:i/>
                <w:color w:val="64748B"/>
              </w:rPr>
              <w:t xml:space="preserve">Ejecutar la aplicación en http://localhost:4200/ y mostrar el encabezado, sidebar y la página de inicio real, con reloj y usuario visibles.</w:t>
            </w:r>
          </w:p>
          <w:p>
            <w:pPr>
              <w:jc w:val="center"/>
              <w:spacing w:before="0" w:after="0"/>
            </w:pPr>
            <w:r>
              <w:rPr>
                <w:rFonts w:ascii="Arial" w:hAnsi="Arial"/>
                <w:sz w:val="16"/>
                <w:b/>
                <w:color w:val="16A34A"/>
              </w:rPr>
              <w:t xml:space="preserve">⚠️ Verificación: La captura debe mostrar la ventana completa con reloj del sistema (22/09/2026) y usuario visible sin recortar</w:t>
            </w:r>
          </w:p>
        </w:tc>
      </w:tr>
    </w:tbl>
    <w:p>
      <w:pPr>
        <w:jc w:val="left"/>
        <w:spacing w:before="60" w:after="160"/>
      </w:pPr>
      <w:r>
        <w:rPr>
          <w:rFonts w:ascii="Arial" w:hAnsi="Arial"/>
          <w:sz w:val="18"/>
          <w:b/>
          <w:color w:val="0F172A"/>
        </w:rPr>
        <w:t xml:space="preserve">Explicación. </w:t>
      </w:r>
      <w:r>
        <w:rPr>
          <w:rFonts w:ascii="Arial" w:hAnsi="Arial"/>
          <w:sz w:val="18"/>
          <w:color w:val="1E293B"/>
        </w:rPr>
        <w:t xml:space="preserve">La pantalla en / presenta la vista de inicio real de la SPA sin redireccionar hacia otra URL, cumpliendo la especificación de diseño modular.</w:t>
      </w:r>
    </w:p>
    <w:p>
      <w:pPr>
        <w:jc w:val="left"/>
        <w:spacing w:before="140" w:after="40"/>
      </w:pPr>
      <w:r>
        <w:rPr>
          <w:rFonts w:ascii="Arial" w:hAnsi="Arial"/>
          <w:sz w:val="21"/>
          <w:b/>
          <w:color w:val="0F172A"/>
        </w:rPr>
        <w:t xml:space="preserve">Captura 3. Navegación hacia la ruta hija /acopio/mineros</w:t>
      </w:r>
    </w:p>
    <w:p>
      <w:pPr>
        <w:jc w:val="left"/>
        <w:spacing w:before="0" w:after="80"/>
      </w:pPr>
      <w:r>
        <w:rPr>
          <w:rFonts w:ascii="Arial" w:hAnsi="Arial"/>
          <w:sz w:val="18"/>
          <w:i/>
          <w:color w:val="475569"/>
        </w:rPr>
        <w:t xml:space="preserve">Pulsar sobre 'Mineros' en el sidebar y mostrar la transición hacia /acopio/mineros manteniendo el Layout intacto, con reloj y usuario visibles.</w:t>
      </w:r>
    </w:p>
    <w:tbl>
      <w:tblPr>
        <w:tblW w:w="9500" w:type="dxa"/>
        <w:tblBorders>
          <w:top w:val="dashed" w:sz="12" w:space="0" w:color="0284C7"/>
          <w:left w:val="dashed" w:sz="12" w:space="0" w:color="0284C7"/>
          <w:bottom w:val="dashed" w:sz="12" w:space="0" w:color="0284C7"/>
          <w:right w:val="dashed" w:sz="12" w:space="0" w:color="0284C7"/>
        </w:tblBorders>
        <w:tblCellMar>
          <w:top w:w="300" w:type="dxa"/>
          <w:left w:w="300" w:type="dxa"/>
          <w:bottom w:w="300" w:type="dxa"/>
          <w:right w:w="300" w:type="dxa"/>
        </w:tblCellMar>
      </w:tblPr>
      <w:tblGrid>
        <w:gridCol w:w="9500"/>
      </w:tblGrid>
      <w:tr>
        <w:tc>
          <w:tcPr>
            <w:tcW w:w="9500" w:type="dxa"/>
            <w:shd w:val="clear" w:color="auto" w:fill="F8FAFC"/>
            <w:vAlign w:val="center"/>
          </w:tcPr>
          <w:p>
            <w:pPr>
              <w:jc w:val="center"/>
              <w:spacing w:before="0" w:after="40"/>
            </w:pPr>
            <w:r>
              <w:rPr>
                <w:rFonts w:ascii="Arial" w:hAnsi="Arial"/>
                <w:sz w:val="22"/>
                <w:b/>
                <w:color w:val="0284C7"/>
              </w:rPr>
              <w:t xml:space="preserve">📷 [ CLIC AQUÍ Y PEGAR CAPTURA 3 (Ctrl + V) ]</w:t>
            </w:r>
          </w:p>
          <w:p>
            <w:pPr>
              <w:jc w:val="center"/>
              <w:spacing w:before="0" w:after="40"/>
            </w:pPr>
            <w:r>
              <w:rPr>
                <w:rFonts w:ascii="Arial" w:hAnsi="Arial"/>
                <w:sz w:val="19"/>
                <w:b/>
                <w:color w:val="1E293B"/>
              </w:rPr>
              <w:t xml:space="preserve">Navegación hacia la ruta hija /acopio/mineros</w:t>
            </w:r>
          </w:p>
          <w:p>
            <w:pPr>
              <w:jc w:val="center"/>
              <w:spacing w:before="0" w:after="40"/>
            </w:pPr>
            <w:r>
              <w:rPr>
                <w:rFonts w:ascii="Arial" w:hAnsi="Arial"/>
                <w:sz w:val="17"/>
                <w:i/>
                <w:color w:val="64748B"/>
              </w:rPr>
              <w:t xml:space="preserve">Pulsar sobre 'Mineros' en el sidebar y mostrar la transición hacia /acopio/mineros manteniendo el Layout intacto, con reloj y usuario visibles.</w:t>
            </w:r>
          </w:p>
          <w:p>
            <w:pPr>
              <w:jc w:val="center"/>
              <w:spacing w:before="0" w:after="0"/>
            </w:pPr>
            <w:r>
              <w:rPr>
                <w:rFonts w:ascii="Arial" w:hAnsi="Arial"/>
                <w:sz w:val="16"/>
                <w:b/>
                <w:color w:val="16A34A"/>
              </w:rPr>
              <w:t xml:space="preserve">⚠️ Verificación: La captura debe mostrar la ventana completa con reloj del sistema (22/09/2026) y usuario visible sin recortar</w:t>
            </w:r>
          </w:p>
        </w:tc>
      </w:tr>
    </w:tbl>
    <w:p>
      <w:pPr>
        <w:jc w:val="left"/>
        <w:spacing w:before="60" w:after="160"/>
      </w:pPr>
      <w:r>
        <w:rPr>
          <w:rFonts w:ascii="Arial" w:hAnsi="Arial"/>
          <w:sz w:val="18"/>
          <w:b/>
          <w:color w:val="0F172A"/>
        </w:rPr>
        <w:t xml:space="preserve">Explicación. </w:t>
      </w:r>
      <w:r>
        <w:rPr>
          <w:rFonts w:ascii="Arial" w:hAnsi="Arial"/>
          <w:sz w:val="18"/>
          <w:color w:val="1E293B"/>
        </w:rPr>
        <w:t xml:space="preserve">El encabezado y sidebar se mantienen intactos durante la navegación; únicamente se reemplaza el contenido del outlet, logrando una navegación fluida e instantánea.</w:t>
      </w:r>
    </w:p>
    <!-- 3.3 SERVICIO HTTP E INTERCEPTOR -->
    <w:p>
      <w:pPr>
        <w:jc w:val="left"/>
        <w:spacing w:before="100" w:after="60"/>
        <w:pageBreakBefore/>
      </w:pPr>
      <w:r>
        <w:rPr>
          <w:rFonts w:ascii="Arial" w:hAnsi="Arial"/>
          <w:sz w:val="22"/>
          <w:b/>
          <w:color w:val="1E3A8A"/>
        </w:rPr>
        <w:t xml:space="preserve">3.3 Servicio HTTP</w:t>
      </w:r>
    </w:p>
    <w:p>
      <w:pPr>
        <w:jc w:val="left"/>
        <w:spacing w:before="0" w:after="60"/>
      </w:pPr>
      <w:r>
        <w:rPr>
          <w:rFonts w:ascii="Arial" w:hAnsi="Arial"/>
          <w:sz w:val="19"/>
          <w:color w:val="1E293B"/>
        </w:rPr>
        <w:t xml:space="preserve">La lógica de comunicación HTTP se aísla mediante servicios dedicados e interceptores funcionales. Los componentes nunca invocan directamente a HttpClient.</w:t>
      </w:r>
    </w:p>
    <w:p>
      <w:pPr>
        <w:jc w:val="left"/>
        <w:spacing w:before="140" w:after="40"/>
      </w:pPr>
      <w:r>
        <w:rPr>
          <w:rFonts w:ascii="Arial" w:hAnsi="Arial"/>
          <w:sz w:val="21"/>
          <w:b/>
          <w:color w:val="0F172A"/>
        </w:rPr>
        <w:t xml:space="preserve">Captura 4. Código fuente de traceIdInterceptor y MineroService</w:t>
      </w:r>
    </w:p>
    <w:p>
      <w:pPr>
        <w:jc w:val="left"/>
        <w:spacing w:before="0" w:after="80"/>
      </w:pPr>
      <w:r>
        <w:rPr>
          <w:rFonts w:ascii="Arial" w:hAnsi="Arial"/>
          <w:sz w:val="18"/>
          <w:i/>
          <w:color w:val="475569"/>
        </w:rPr>
        <w:t xml:space="preserve">Abrir trace-id.interceptor.ts y minero.service.ts en VS Code y mostrar el interceptor y los métodos del CRUD, con reloj y usuario visibles.</w:t>
      </w:r>
    </w:p>
    <w:tbl>
      <w:tblPr>
        <w:tblW w:w="9500" w:type="dxa"/>
        <w:tblBorders>
          <w:top w:val="dashed" w:sz="12" w:space="0" w:color="0284C7"/>
          <w:left w:val="dashed" w:sz="12" w:space="0" w:color="0284C7"/>
          <w:bottom w:val="dashed" w:sz="12" w:space="0" w:color="0284C7"/>
          <w:right w:val="dashed" w:sz="12" w:space="0" w:color="0284C7"/>
        </w:tblBorders>
        <w:tblCellMar>
          <w:top w:w="300" w:type="dxa"/>
          <w:left w:w="300" w:type="dxa"/>
          <w:bottom w:w="300" w:type="dxa"/>
          <w:right w:w="300" w:type="dxa"/>
        </w:tblCellMar>
      </w:tblPr>
      <w:tblGrid>
        <w:gridCol w:w="9500"/>
      </w:tblGrid>
      <w:tr>
        <w:tc>
          <w:tcPr>
            <w:tcW w:w="9500" w:type="dxa"/>
            <w:shd w:val="clear" w:color="auto" w:fill="F8FAFC"/>
            <w:vAlign w:val="center"/>
          </w:tcPr>
          <w:p>
            <w:pPr>
              <w:jc w:val="center"/>
              <w:spacing w:before="0" w:after="40"/>
            </w:pPr>
            <w:r>
              <w:rPr>
                <w:rFonts w:ascii="Arial" w:hAnsi="Arial"/>
                <w:sz w:val="22"/>
                <w:b/>
                <w:color w:val="0284C7"/>
              </w:rPr>
              <w:t xml:space="preserve">📷 [ CLIC AQUÍ Y PEGAR CAPTURA 4 (Ctrl + V) ]</w:t>
            </w:r>
          </w:p>
          <w:p>
            <w:pPr>
              <w:jc w:val="center"/>
              <w:spacing w:before="0" w:after="40"/>
            </w:pPr>
            <w:r>
              <w:rPr>
                <w:rFonts w:ascii="Arial" w:hAnsi="Arial"/>
                <w:sz w:val="19"/>
                <w:b/>
                <w:color w:val="1E293B"/>
              </w:rPr>
              <w:t xml:space="preserve">Código fuente de traceIdInterceptor y MineroService</w:t>
            </w:r>
          </w:p>
          <w:p>
            <w:pPr>
              <w:jc w:val="center"/>
              <w:spacing w:before="0" w:after="40"/>
            </w:pPr>
            <w:r>
              <w:rPr>
                <w:rFonts w:ascii="Arial" w:hAnsi="Arial"/>
                <w:sz w:val="17"/>
                <w:i/>
                <w:color w:val="64748B"/>
              </w:rPr>
              <w:t xml:space="preserve">Abrir trace-id.interceptor.ts y minero.service.ts en VS Code y mostrar el interceptor y los métodos del CRUD, con reloj y usuario visibles.</w:t>
            </w:r>
          </w:p>
          <w:p>
            <w:pPr>
              <w:jc w:val="center"/>
              <w:spacing w:before="0" w:after="0"/>
            </w:pPr>
            <w:r>
              <w:rPr>
                <w:rFonts w:ascii="Arial" w:hAnsi="Arial"/>
                <w:sz w:val="16"/>
                <w:b/>
                <w:color w:val="16A34A"/>
              </w:rPr>
              <w:t xml:space="preserve">⚠️ Verificación: La captura debe mostrar la ventana completa con reloj del sistema (22/09/2026) y usuario visible sin recortar</w:t>
            </w:r>
          </w:p>
        </w:tc>
      </w:tr>
    </w:tbl>
    <w:p>
      <w:pPr>
        <w:jc w:val="left"/>
        <w:spacing w:before="60" w:after="160"/>
      </w:pPr>
      <w:r>
        <w:rPr>
          <w:rFonts w:ascii="Arial" w:hAnsi="Arial"/>
          <w:sz w:val="18"/>
          <w:b/>
          <w:color w:val="0F172A"/>
        </w:rPr>
        <w:t xml:space="preserve">Explicación. </w:t>
      </w:r>
      <w:r>
        <w:rPr>
          <w:rFonts w:ascii="Arial" w:hAnsi="Arial"/>
          <w:sz w:val="18"/>
          <w:color w:val="1E293B"/>
        </w:rPr>
        <w:t xml:space="preserve">traceIdInterceptor inyecta un UUID en X-Trace-ID en cada petición. Los componentes no llaman a HttpClient directamente, sino a través de MineroService.</w:t>
      </w:r>
    </w:p>
    <w:p>
      <w:pPr>
        <w:jc w:val="left"/>
        <w:spacing w:before="140" w:after="40"/>
      </w:pPr>
      <w:r>
        <w:rPr>
          <w:rFonts w:ascii="Arial" w:hAnsi="Arial"/>
          <w:sz w:val="21"/>
          <w:b/>
          <w:color w:val="0F172A"/>
        </w:rPr>
        <w:t xml:space="preserve">Captura 5. Pestaña Network: Header X-Trace-ID y respuesta 200 OK</w:t>
      </w:r>
    </w:p>
    <w:p>
      <w:pPr>
        <w:jc w:val="left"/>
        <w:spacing w:before="0" w:after="80"/>
      </w:pPr>
      <w:r>
        <w:rPr>
          <w:rFonts w:ascii="Arial" w:hAnsi="Arial"/>
          <w:sz w:val="18"/>
          <w:i/>
          <w:color w:val="475569"/>
        </w:rPr>
        <w:t xml:space="preserve">Abrir DevTools Network en el navegador, inspeccionar la petición a /api/v1/acopio/mineros y mostrar X-Trace-ID en Request Headers y status 200 OK.</w:t>
      </w:r>
    </w:p>
    <w:tbl>
      <w:tblPr>
        <w:tblW w:w="9500" w:type="dxa"/>
        <w:tblBorders>
          <w:top w:val="dashed" w:sz="12" w:space="0" w:color="0284C7"/>
          <w:left w:val="dashed" w:sz="12" w:space="0" w:color="0284C7"/>
          <w:bottom w:val="dashed" w:sz="12" w:space="0" w:color="0284C7"/>
          <w:right w:val="dashed" w:sz="12" w:space="0" w:color="0284C7"/>
        </w:tblBorders>
        <w:tblCellMar>
          <w:top w:w="300" w:type="dxa"/>
          <w:left w:w="300" w:type="dxa"/>
          <w:bottom w:w="300" w:type="dxa"/>
          <w:right w:w="300" w:type="dxa"/>
        </w:tblCellMar>
      </w:tblPr>
      <w:tblGrid>
        <w:gridCol w:w="9500"/>
      </w:tblGrid>
      <w:tr>
        <w:tc>
          <w:tcPr>
            <w:tcW w:w="9500" w:type="dxa"/>
            <w:shd w:val="clear" w:color="auto" w:fill="F8FAFC"/>
            <w:vAlign w:val="center"/>
          </w:tcPr>
          <w:p>
            <w:pPr>
              <w:jc w:val="center"/>
              <w:spacing w:before="0" w:after="40"/>
            </w:pPr>
            <w:r>
              <w:rPr>
                <w:rFonts w:ascii="Arial" w:hAnsi="Arial"/>
                <w:sz w:val="22"/>
                <w:b/>
                <w:color w:val="0284C7"/>
              </w:rPr>
              <w:t xml:space="preserve">📷 [ CLIC AQUÍ Y PEGAR CAPTURA 5 (Ctrl + V) ]</w:t>
            </w:r>
          </w:p>
          <w:p>
            <w:pPr>
              <w:jc w:val="center"/>
              <w:spacing w:before="0" w:after="40"/>
            </w:pPr>
            <w:r>
              <w:rPr>
                <w:rFonts w:ascii="Arial" w:hAnsi="Arial"/>
                <w:sz w:val="19"/>
                <w:b/>
                <w:color w:val="1E293B"/>
              </w:rPr>
              <w:t xml:space="preserve">Pestaña Network: Header X-Trace-ID y respuesta 200 OK</w:t>
            </w:r>
          </w:p>
          <w:p>
            <w:pPr>
              <w:jc w:val="center"/>
              <w:spacing w:before="0" w:after="40"/>
            </w:pPr>
            <w:r>
              <w:rPr>
                <w:rFonts w:ascii="Arial" w:hAnsi="Arial"/>
                <w:sz w:val="17"/>
                <w:i/>
                <w:color w:val="64748B"/>
              </w:rPr>
              <w:t xml:space="preserve">Abrir DevTools Network en el navegador, inspeccionar la petición a /api/v1/acopio/mineros y mostrar X-Trace-ID en Request Headers y status 200 OK.</w:t>
            </w:r>
          </w:p>
          <w:p>
            <w:pPr>
              <w:jc w:val="center"/>
              <w:spacing w:before="0" w:after="0"/>
            </w:pPr>
            <w:r>
              <w:rPr>
                <w:rFonts w:ascii="Arial" w:hAnsi="Arial"/>
                <w:sz w:val="16"/>
                <w:b/>
                <w:color w:val="16A34A"/>
              </w:rPr>
              <w:t xml:space="preserve">⚠️ Verificación: La captura debe mostrar la ventana completa con reloj del sistema (22/09/2026) y usuario visible sin recortar</w:t>
            </w:r>
          </w:p>
        </w:tc>
      </w:tr>
    </w:tbl>
    <w:p>
      <w:pPr>
        <w:jc w:val="left"/>
        <w:spacing w:before="60" w:after="160"/>
      </w:pPr>
      <w:r>
        <w:rPr>
          <w:rFonts w:ascii="Arial" w:hAnsi="Arial"/>
          <w:sz w:val="18"/>
          <w:b/>
          <w:color w:val="0F172A"/>
        </w:rPr>
        <w:t xml:space="preserve">Explicación. </w:t>
      </w:r>
      <w:r>
        <w:rPr>
          <w:rFonts w:ascii="Arial" w:hAnsi="Arial"/>
          <w:sz w:val="18"/>
          <w:color w:val="1E293B"/>
        </w:rPr>
        <w:t xml:space="preserve">Se comprueba que el interceptor adjunta la cabecera de trazabilidad X-Trace-ID y que la petición al backend real en Spring Boot responde con código 200 OK.</w:t>
      </w:r>
    </w:p>
    <!-- 3.4 CRUD INDEPENDIENTE -->
    <w:p>
      <w:pPr>
        <w:jc w:val="left"/>
        <w:spacing w:before="100" w:after="60"/>
        <w:pageBreakBefore/>
      </w:pPr>
      <w:r>
        <w:rPr>
          <w:rFonts w:ascii="Arial" w:hAnsi="Arial"/>
          <w:sz w:val="22"/>
          <w:b/>
          <w:color w:val="1E3A8A"/>
        </w:rPr>
        <w:t xml:space="preserve">3.4 CRUD independiente</w:t>
      </w:r>
    </w:p>
    <w:p>
      <w:pPr>
        <w:jc w:val="left"/>
        <w:spacing w:before="0" w:after="60"/>
      </w:pPr>
      <w:r>
        <w:rPr>
          <w:rFonts w:ascii="Arial" w:hAnsi="Arial"/>
          <w:sz w:val="19"/>
          <w:color w:val="1E293B"/>
        </w:rPr>
        <w:t xml:space="preserve">Minero es una tabla independiente de SITRA-ORO: contiene los datos del productor minero y no requiere seleccionar previamente ninguna entidad foránea para crearse.</w:t>
      </w:r>
    </w:p>
    <w:p>
      <w:pPr>
        <w:jc w:val="left"/>
        <w:spacing w:before="140" w:after="40"/>
      </w:pPr>
      <w:r>
        <w:rPr>
          <w:rFonts w:ascii="Arial" w:hAnsi="Arial"/>
          <w:sz w:val="21"/>
          <w:b/>
          <w:color w:val="0F172A"/>
        </w:rPr>
        <w:t xml:space="preserve">Captura 6. CRUD Caso 1 - Listar mineros desde backend real</w:t>
      </w:r>
    </w:p>
    <w:p>
      <w:pPr>
        <w:jc w:val="left"/>
        <w:spacing w:before="0" w:after="80"/>
      </w:pPr>
      <w:r>
        <w:rPr>
          <w:rFonts w:ascii="Arial" w:hAnsi="Arial"/>
          <w:sz w:val="18"/>
          <w:i/>
          <w:color w:val="475569"/>
        </w:rPr>
        <w:t xml:space="preserve">Abrir /acopio/mineros y mostrar la tabla cargando los mineros reales desde la base de datos Oracle, con reloj y usuario visibles.</w:t>
      </w:r>
    </w:p>
    <w:tbl>
      <w:tblPr>
        <w:tblW w:w="9500" w:type="dxa"/>
        <w:tblBorders>
          <w:top w:val="dashed" w:sz="12" w:space="0" w:color="0284C7"/>
          <w:left w:val="dashed" w:sz="12" w:space="0" w:color="0284C7"/>
          <w:bottom w:val="dashed" w:sz="12" w:space="0" w:color="0284C7"/>
          <w:right w:val="dashed" w:sz="12" w:space="0" w:color="0284C7"/>
        </w:tblBorders>
        <w:tblCellMar>
          <w:top w:w="300" w:type="dxa"/>
          <w:left w:w="300" w:type="dxa"/>
          <w:bottom w:w="300" w:type="dxa"/>
          <w:right w:w="300" w:type="dxa"/>
        </w:tblCellMar>
      </w:tblPr>
      <w:tblGrid>
        <w:gridCol w:w="9500"/>
      </w:tblGrid>
      <w:tr>
        <w:tc>
          <w:tcPr>
            <w:tcW w:w="9500" w:type="dxa"/>
            <w:shd w:val="clear" w:color="auto" w:fill="F8FAFC"/>
            <w:vAlign w:val="center"/>
          </w:tcPr>
          <w:p>
            <w:pPr>
              <w:jc w:val="center"/>
              <w:spacing w:before="0" w:after="40"/>
            </w:pPr>
            <w:r>
              <w:rPr>
                <w:rFonts w:ascii="Arial" w:hAnsi="Arial"/>
                <w:sz w:val="22"/>
                <w:b/>
                <w:color w:val="0284C7"/>
              </w:rPr>
              <w:t xml:space="preserve">📷 [ CLIC AQUÍ Y PEGAR CAPTURA 6 (Ctrl + V) ]</w:t>
            </w:r>
          </w:p>
          <w:p>
            <w:pPr>
              <w:jc w:val="center"/>
              <w:spacing w:before="0" w:after="40"/>
            </w:pPr>
            <w:r>
              <w:rPr>
                <w:rFonts w:ascii="Arial" w:hAnsi="Arial"/>
                <w:sz w:val="19"/>
                <w:b/>
                <w:color w:val="1E293B"/>
              </w:rPr>
              <w:t xml:space="preserve">CRUD Caso 1 - Listar mineros desde backend real</w:t>
            </w:r>
          </w:p>
          <w:p>
            <w:pPr>
              <w:jc w:val="center"/>
              <w:spacing w:before="0" w:after="40"/>
            </w:pPr>
            <w:r>
              <w:rPr>
                <w:rFonts w:ascii="Arial" w:hAnsi="Arial"/>
                <w:sz w:val="17"/>
                <w:i/>
                <w:color w:val="64748B"/>
              </w:rPr>
              <w:t xml:space="preserve">Abrir /acopio/mineros y mostrar la tabla cargando los mineros reales desde la base de datos Oracle, con reloj y usuario visibles.</w:t>
            </w:r>
          </w:p>
          <w:p>
            <w:pPr>
              <w:jc w:val="center"/>
              <w:spacing w:before="0" w:after="0"/>
            </w:pPr>
            <w:r>
              <w:rPr>
                <w:rFonts w:ascii="Arial" w:hAnsi="Arial"/>
                <w:sz w:val="16"/>
                <w:b/>
                <w:color w:val="16A34A"/>
              </w:rPr>
              <w:t xml:space="preserve">⚠️ Verificación: La captura debe mostrar la ventana completa con reloj del sistema (22/09/2026) y usuario visible sin recortar</w:t>
            </w:r>
          </w:p>
        </w:tc>
      </w:tr>
    </w:tbl>
    <w:p>
      <w:pPr>
        <w:jc w:val="left"/>
        <w:spacing w:before="60" w:after="160"/>
      </w:pPr>
      <w:r>
        <w:rPr>
          <w:rFonts w:ascii="Arial" w:hAnsi="Arial"/>
          <w:sz w:val="18"/>
          <w:b/>
          <w:color w:val="0F172A"/>
        </w:rPr>
        <w:t xml:space="preserve">Explicación. </w:t>
      </w:r>
      <w:r>
        <w:rPr>
          <w:rFonts w:ascii="Arial" w:hAnsi="Arial"/>
          <w:sz w:val="18"/>
          <w:color w:val="1E293B"/>
        </w:rPr>
        <w:t xml:space="preserve">La tabla se llena a partir del endpoint GET /api/v1/acopio/mineros conectado a Oracle XE, administrado reactivamente con Signals.</w:t>
      </w:r>
    </w:p>
    <w:p>
      <w:pPr>
        <w:jc w:val="left"/>
        <w:spacing w:before="140" w:after="40"/>
      </w:pPr>
      <w:r>
        <w:rPr>
          <w:rFonts w:ascii="Arial" w:hAnsi="Arial"/>
          <w:sz w:val="21"/>
          <w:b/>
          <w:color w:val="0F172A"/>
        </w:rPr>
        <w:t xml:space="preserve">Captura 7. CRUD Caso 2 - Crear nuevo minero (POST)</w:t>
      </w:r>
    </w:p>
    <w:p>
      <w:pPr>
        <w:jc w:val="left"/>
        <w:spacing w:before="0" w:after="80"/>
      </w:pPr>
      <w:r>
        <w:rPr>
          <w:rFonts w:ascii="Arial" w:hAnsi="Arial"/>
          <w:sz w:val="18"/>
          <w:i/>
          <w:color w:val="475569"/>
        </w:rPr>
        <w:t xml:space="preserve">Llenar el formulario en /acopio/mineros/nuevo con datos válidos y guardar, dejando visibles los campos, el reloj y el usuario.</w:t>
      </w:r>
    </w:p>
    <w:tbl>
      <w:tblPr>
        <w:tblW w:w="9500" w:type="dxa"/>
        <w:tblBorders>
          <w:top w:val="dashed" w:sz="12" w:space="0" w:color="0284C7"/>
          <w:left w:val="dashed" w:sz="12" w:space="0" w:color="0284C7"/>
          <w:bottom w:val="dashed" w:sz="12" w:space="0" w:color="0284C7"/>
          <w:right w:val="dashed" w:sz="12" w:space="0" w:color="0284C7"/>
        </w:tblBorders>
        <w:tblCellMar>
          <w:top w:w="300" w:type="dxa"/>
          <w:left w:w="300" w:type="dxa"/>
          <w:bottom w:w="300" w:type="dxa"/>
          <w:right w:w="300" w:type="dxa"/>
        </w:tblCellMar>
      </w:tblPr>
      <w:tblGrid>
        <w:gridCol w:w="9500"/>
      </w:tblGrid>
      <w:tr>
        <w:tc>
          <w:tcPr>
            <w:tcW w:w="9500" w:type="dxa"/>
            <w:shd w:val="clear" w:color="auto" w:fill="F8FAFC"/>
            <w:vAlign w:val="center"/>
          </w:tcPr>
          <w:p>
            <w:pPr>
              <w:jc w:val="center"/>
              <w:spacing w:before="0" w:after="40"/>
            </w:pPr>
            <w:r>
              <w:rPr>
                <w:rFonts w:ascii="Arial" w:hAnsi="Arial"/>
                <w:sz w:val="22"/>
                <w:b/>
                <w:color w:val="0284C7"/>
              </w:rPr>
              <w:t xml:space="preserve">📷 [ CLIC AQUÍ Y PEGAR CAPTURA 7 (Ctrl + V) ]</w:t>
            </w:r>
          </w:p>
          <w:p>
            <w:pPr>
              <w:jc w:val="center"/>
              <w:spacing w:before="0" w:after="40"/>
            </w:pPr>
            <w:r>
              <w:rPr>
                <w:rFonts w:ascii="Arial" w:hAnsi="Arial"/>
                <w:sz w:val="19"/>
                <w:b/>
                <w:color w:val="1E293B"/>
              </w:rPr>
              <w:t xml:space="preserve">CRUD Caso 2 - Crear nuevo minero (POST)</w:t>
            </w:r>
          </w:p>
          <w:p>
            <w:pPr>
              <w:jc w:val="center"/>
              <w:spacing w:before="0" w:after="40"/>
            </w:pPr>
            <w:r>
              <w:rPr>
                <w:rFonts w:ascii="Arial" w:hAnsi="Arial"/>
                <w:sz w:val="17"/>
                <w:i/>
                <w:color w:val="64748B"/>
              </w:rPr>
              <w:t xml:space="preserve">Llenar el formulario en /acopio/mineros/nuevo con datos válidos y guardar, dejando visibles los campos, el reloj y el usuario.</w:t>
            </w:r>
          </w:p>
          <w:p>
            <w:pPr>
              <w:jc w:val="center"/>
              <w:spacing w:before="0" w:after="0"/>
            </w:pPr>
            <w:r>
              <w:rPr>
                <w:rFonts w:ascii="Arial" w:hAnsi="Arial"/>
                <w:sz w:val="16"/>
                <w:b/>
                <w:color w:val="16A34A"/>
              </w:rPr>
              <w:t xml:space="preserve">⚠️ Verificación: La captura debe mostrar la ventana completa con reloj del sistema (22/09/2026) y usuario visible sin recortar</w:t>
            </w:r>
          </w:p>
        </w:tc>
      </w:tr>
    </w:tbl>
    <w:p>
      <w:pPr>
        <w:jc w:val="left"/>
        <w:spacing w:before="60" w:after="160"/>
      </w:pPr>
      <w:r>
        <w:rPr>
          <w:rFonts w:ascii="Arial" w:hAnsi="Arial"/>
          <w:sz w:val="18"/>
          <w:b/>
          <w:color w:val="0F172A"/>
        </w:rPr>
        <w:t xml:space="preserve">Explicación. </w:t>
      </w:r>
      <w:r>
        <w:rPr>
          <w:rFonts w:ascii="Arial" w:hAnsi="Arial"/>
          <w:sz w:val="18"/>
          <w:color w:val="1E293B"/>
        </w:rPr>
        <w:t xml:space="preserve">Formulario reactivo que valida campos obligatorios y envía la petición POST hacia el backend, redirigiendo al listado tras una persistencia exitosa.</w:t>
      </w:r>
    </w:p>
    <w:p>
      <w:pPr>
        <w:jc w:val="left"/>
        <w:spacing w:before="140" w:after="40"/>
      </w:pPr>
      <w:r>
        <w:rPr>
          <w:rFonts w:ascii="Arial" w:hAnsi="Arial"/>
          <w:sz w:val="21"/>
          <w:b/>
          <w:color w:val="0F172A"/>
        </w:rPr>
        <w:t xml:space="preserve">Captura 8. CRUD Caso 3 - Editar minero existente (GET by ID + PUT)</w:t>
      </w:r>
    </w:p>
    <w:p>
      <w:pPr>
        <w:jc w:val="left"/>
        <w:spacing w:before="0" w:after="80"/>
      </w:pPr>
      <w:r>
        <w:rPr>
          <w:rFonts w:ascii="Arial" w:hAnsi="Arial"/>
          <w:sz w:val="18"/>
          <w:i/>
          <w:color w:val="475569"/>
        </w:rPr>
        <w:t xml:space="preserve">Abrir /acopio/mineros/:id/editar, mostrar los datos precargados desde el backend, modificar un valor y guardar, con reloj y usuario visibles.</w:t>
      </w:r>
    </w:p>
    <w:tbl>
      <w:tblPr>
        <w:tblW w:w="9500" w:type="dxa"/>
        <w:tblBorders>
          <w:top w:val="dashed" w:sz="12" w:space="0" w:color="0284C7"/>
          <w:left w:val="dashed" w:sz="12" w:space="0" w:color="0284C7"/>
          <w:bottom w:val="dashed" w:sz="12" w:space="0" w:color="0284C7"/>
          <w:right w:val="dashed" w:sz="12" w:space="0" w:color="0284C7"/>
        </w:tblBorders>
        <w:tblCellMar>
          <w:top w:w="300" w:type="dxa"/>
          <w:left w:w="300" w:type="dxa"/>
          <w:bottom w:w="300" w:type="dxa"/>
          <w:right w:w="300" w:type="dxa"/>
        </w:tblCellMar>
      </w:tblPr>
      <w:tblGrid>
        <w:gridCol w:w="9500"/>
      </w:tblGrid>
      <w:tr>
        <w:tc>
          <w:tcPr>
            <w:tcW w:w="9500" w:type="dxa"/>
            <w:shd w:val="clear" w:color="auto" w:fill="F8FAFC"/>
            <w:vAlign w:val="center"/>
          </w:tcPr>
          <w:p>
            <w:pPr>
              <w:jc w:val="center"/>
              <w:spacing w:before="0" w:after="40"/>
            </w:pPr>
            <w:r>
              <w:rPr>
                <w:rFonts w:ascii="Arial" w:hAnsi="Arial"/>
                <w:sz w:val="22"/>
                <w:b/>
                <w:color w:val="0284C7"/>
              </w:rPr>
              <w:t xml:space="preserve">📷 [ CLIC AQUÍ Y PEGAR CAPTURA 8 (Ctrl + V) ]</w:t>
            </w:r>
          </w:p>
          <w:p>
            <w:pPr>
              <w:jc w:val="center"/>
              <w:spacing w:before="0" w:after="40"/>
            </w:pPr>
            <w:r>
              <w:rPr>
                <w:rFonts w:ascii="Arial" w:hAnsi="Arial"/>
                <w:sz w:val="19"/>
                <w:b/>
                <w:color w:val="1E293B"/>
              </w:rPr>
              <w:t xml:space="preserve">CRUD Caso 3 - Editar minero existente (GET by ID + PUT)</w:t>
            </w:r>
          </w:p>
          <w:p>
            <w:pPr>
              <w:jc w:val="center"/>
              <w:spacing w:before="0" w:after="40"/>
            </w:pPr>
            <w:r>
              <w:rPr>
                <w:rFonts w:ascii="Arial" w:hAnsi="Arial"/>
                <w:sz w:val="17"/>
                <w:i/>
                <w:color w:val="64748B"/>
              </w:rPr>
              <w:t xml:space="preserve">Abrir /acopio/mineros/:id/editar, mostrar los datos precargados desde el backend, modificar un valor y guardar, con reloj y usuario visibles.</w:t>
            </w:r>
          </w:p>
          <w:p>
            <w:pPr>
              <w:jc w:val="center"/>
              <w:spacing w:before="0" w:after="0"/>
            </w:pPr>
            <w:r>
              <w:rPr>
                <w:rFonts w:ascii="Arial" w:hAnsi="Arial"/>
                <w:sz w:val="16"/>
                <w:b/>
                <w:color w:val="16A34A"/>
              </w:rPr>
              <w:t xml:space="preserve">⚠️ Verificación: La captura debe mostrar la ventana completa con reloj del sistema (22/09/2026) y usuario visible sin recortar</w:t>
            </w:r>
          </w:p>
        </w:tc>
      </w:tr>
    </w:tbl>
    <w:p>
      <w:pPr>
        <w:jc w:val="left"/>
        <w:spacing w:before="60" w:after="160"/>
      </w:pPr>
      <w:r>
        <w:rPr>
          <w:rFonts w:ascii="Arial" w:hAnsi="Arial"/>
          <w:sz w:val="18"/>
          <w:b/>
          <w:color w:val="0F172A"/>
        </w:rPr>
        <w:t xml:space="preserve">Explicación. </w:t>
      </w:r>
      <w:r>
        <w:rPr>
          <w:rFonts w:ascii="Arial" w:hAnsi="Arial"/>
          <w:sz w:val="18"/>
          <w:color w:val="1E293B"/>
        </w:rPr>
        <w:t xml:space="preserve">El formulario recupera la entidad por su identificador con GET /api/v1/acopio/mineros/{id}, aplica patchValue y persiste las modificaciones con PUT.</w:t>
      </w:r>
    </w:p>
    <w:p>
      <w:pPr>
        <w:jc w:val="left"/>
        <w:spacing w:before="140" w:after="40"/>
      </w:pPr>
      <w:r>
        <w:rPr>
          <w:rFonts w:ascii="Arial" w:hAnsi="Arial"/>
          <w:sz w:val="21"/>
          <w:b/>
          <w:color w:val="0F172A"/>
        </w:rPr>
        <w:t xml:space="preserve">Captura 9. CRUD Caso 4 - Eliminar minero (DELETE con reactividad)</w:t>
      </w:r>
    </w:p>
    <w:p>
      <w:pPr>
        <w:jc w:val="left"/>
        <w:spacing w:before="0" w:after="80"/>
      </w:pPr>
      <w:r>
        <w:rPr>
          <w:rFonts w:ascii="Arial" w:hAnsi="Arial"/>
          <w:sz w:val="18"/>
          <w:i/>
          <w:color w:val="475569"/>
        </w:rPr>
        <w:t xml:space="preserve">Eliminar un minero de prueba mediante el botón Eliminar y mostrar la actualización reactiva de la tabla sin recargar la página, con reloj y usuario visibles.</w:t>
      </w:r>
    </w:p>
    <w:tbl>
      <w:tblPr>
        <w:tblW w:w="9500" w:type="dxa"/>
        <w:tblBorders>
          <w:top w:val="dashed" w:sz="12" w:space="0" w:color="0284C7"/>
          <w:left w:val="dashed" w:sz="12" w:space="0" w:color="0284C7"/>
          <w:bottom w:val="dashed" w:sz="12" w:space="0" w:color="0284C7"/>
          <w:right w:val="dashed" w:sz="12" w:space="0" w:color="0284C7"/>
        </w:tblBorders>
        <w:tblCellMar>
          <w:top w:w="300" w:type="dxa"/>
          <w:left w:w="300" w:type="dxa"/>
          <w:bottom w:w="300" w:type="dxa"/>
          <w:right w:w="300" w:type="dxa"/>
        </w:tblCellMar>
      </w:tblPr>
      <w:tblGrid>
        <w:gridCol w:w="9500"/>
      </w:tblGrid>
      <w:tr>
        <w:tc>
          <w:tcPr>
            <w:tcW w:w="9500" w:type="dxa"/>
            <w:shd w:val="clear" w:color="auto" w:fill="F8FAFC"/>
            <w:vAlign w:val="center"/>
          </w:tcPr>
          <w:p>
            <w:pPr>
              <w:jc w:val="center"/>
              <w:spacing w:before="0" w:after="40"/>
            </w:pPr>
            <w:r>
              <w:rPr>
                <w:rFonts w:ascii="Arial" w:hAnsi="Arial"/>
                <w:sz w:val="22"/>
                <w:b/>
                <w:color w:val="0284C7"/>
              </w:rPr>
              <w:t xml:space="preserve">📷 [ CLIC AQUÍ Y PEGAR CAPTURA 9 (Ctrl + V) ]</w:t>
            </w:r>
          </w:p>
          <w:p>
            <w:pPr>
              <w:jc w:val="center"/>
              <w:spacing w:before="0" w:after="40"/>
            </w:pPr>
            <w:r>
              <w:rPr>
                <w:rFonts w:ascii="Arial" w:hAnsi="Arial"/>
                <w:sz w:val="19"/>
                <w:b/>
                <w:color w:val="1E293B"/>
              </w:rPr>
              <w:t xml:space="preserve">CRUD Caso 4 - Eliminar minero (DELETE con reactividad)</w:t>
            </w:r>
          </w:p>
          <w:p>
            <w:pPr>
              <w:jc w:val="center"/>
              <w:spacing w:before="0" w:after="40"/>
            </w:pPr>
            <w:r>
              <w:rPr>
                <w:rFonts w:ascii="Arial" w:hAnsi="Arial"/>
                <w:sz w:val="17"/>
                <w:i/>
                <w:color w:val="64748B"/>
              </w:rPr>
              <w:t xml:space="preserve">Eliminar un minero de prueba mediante el botón Eliminar y mostrar la actualización reactiva de la tabla sin recargar la página, con reloj y usuario visibles.</w:t>
            </w:r>
          </w:p>
          <w:p>
            <w:pPr>
              <w:jc w:val="center"/>
              <w:spacing w:before="0" w:after="0"/>
            </w:pPr>
            <w:r>
              <w:rPr>
                <w:rFonts w:ascii="Arial" w:hAnsi="Arial"/>
                <w:sz w:val="16"/>
                <w:b/>
                <w:color w:val="16A34A"/>
              </w:rPr>
              <w:t xml:space="preserve">⚠️ Verificación: La captura debe mostrar la ventana completa con reloj del sistema (22/09/2026) y usuario visible sin recortar</w:t>
            </w:r>
          </w:p>
        </w:tc>
      </w:tr>
    </w:tbl>
    <w:p>
      <w:pPr>
        <w:jc w:val="left"/>
        <w:spacing w:before="60" w:after="160"/>
      </w:pPr>
      <w:r>
        <w:rPr>
          <w:rFonts w:ascii="Arial" w:hAnsi="Arial"/>
          <w:sz w:val="18"/>
          <w:b/>
          <w:color w:val="0F172A"/>
        </w:rPr>
        <w:t xml:space="preserve">Explicación. </w:t>
      </w:r>
      <w:r>
        <w:rPr>
          <w:rFonts w:ascii="Arial" w:hAnsi="Arial"/>
          <w:sz w:val="18"/>
          <w:color w:val="1E293B"/>
        </w:rPr>
        <w:t xml:space="preserve">La acción ejecuta DELETE /api/v1/acopio/mineros/{id}. Al confirmarse el código 204 No Content, se actualiza la señal reactiva sin recargar la página.</w:t>
      </w:r>
    </w:p>
    <!-- 4. ERROR O HALLAZGO TÉCNICO -->
    <w:p>
      <w:pPr>
        <w:jc w:val="left"/>
        <w:spacing w:before="120" w:after="80"/>
        <w:pageBreakBefore/>
      </w:pPr>
      <w:r>
        <w:rPr>
          <w:rFonts w:ascii="Arial" w:hAnsi="Arial"/>
          <w:sz w:val="24"/>
          <w:b/>
          <w:color w:val="0F172A"/>
        </w:rPr>
        <w:t xml:space="preserve">4. Error o hallazgo técnico</w:t>
      </w:r>
    </w:p>
    <w:p>
      <w:pPr>
        <w:jc w:val="left"/>
        <w:spacing w:before="0" w:after="60"/>
      </w:pPr>
      <w:r>
        <w:rPr>
          <w:rFonts w:ascii="Arial" w:hAnsi="Arial"/>
          <w:sz w:val="20"/>
          <w:b/>
          <w:color w:val="1E3A8A"/>
        </w:rPr>
        <w:t xml:space="preserve">Validación de longitud de documento y prevención en cliente</w:t>
      </w:r>
    </w:p>
    <w:p>
      <w:pPr>
        <w:jc w:val="left"/>
        <w:spacing w:before="0" w:after="60"/>
      </w:pPr>
      <w:r>
        <w:rPr>
          <w:rFonts w:ascii="Arial" w:hAnsi="Arial"/>
          <w:sz w:val="19"/>
          <w:color w:val="1E293B"/>
        </w:rPr>
        <w:t xml:space="preserve">Durante las pruebas de integración con el backend, al ingresar documentos de prueba con pocos dígitos (ej. 123), el backend en Spring Boot rechazaba la solicitud respondiendo con error 400 Bad Request debido a la anotación @Size(min = 8, max = 15) de Jakarta Validation. En el frontend original no existía validador de longitud mínima local, enviando solicitudes destinadas al rechazo.</w:t>
      </w:r>
    </w:p>
    <w:p>
      <w:pPr>
        <w:jc w:val="left"/>
        <w:spacing w:before="0" w:after="80"/>
      </w:pPr>
      <w:r>
        <w:rPr>
          <w:rFonts w:ascii="Arial" w:hAnsi="Arial"/>
          <w:sz w:val="19"/>
          <w:color w:val="1E293B"/>
        </w:rPr>
        <w:t xml:space="preserve">Solución implementada: Se incorporó Validators.minLength(8) y Validators.maxLength(15) en el FormBuilder, junto con una función auxiliar mensaje(control) que advierte al usuario en el evento blur ('Debe tener al menos 8 caracteres') y bloquea el botón de envío, impidiendo emitir tráfico innecesario a la red.</w:t>
      </w:r>
    </w:p>
    <w:p>
      <w:pPr>
        <w:jc w:val="left"/>
        <w:spacing w:before="140" w:after="40"/>
      </w:pPr>
      <w:r>
        <w:rPr>
          <w:rFonts w:ascii="Arial" w:hAnsi="Arial"/>
          <w:sz w:val="21"/>
          <w:b/>
          <w:color w:val="0F172A"/>
        </w:rPr>
        <w:t xml:space="preserve">Captura 10. Validación reactiva en tiempo real y prevención de envíos erróneos</w:t>
      </w:r>
    </w:p>
    <w:p>
      <w:pPr>
        <w:jc w:val="left"/>
        <w:spacing w:before="0" w:after="80"/>
      </w:pPr>
      <w:r>
        <w:rPr>
          <w:rFonts w:ascii="Arial" w:hAnsi="Arial"/>
          <w:sz w:val="18"/>
          <w:i/>
          <w:color w:val="475569"/>
        </w:rPr>
        <w:t xml:space="preserve">Ingresar un documento con menos de 8 caracteres y salir del campo para mostrar el mensaje de validación reactivo en rojo, con reloj y usuario visibles.</w:t>
      </w:r>
    </w:p>
    <w:tbl>
      <w:tblPr>
        <w:tblW w:w="9500" w:type="dxa"/>
        <w:tblBorders>
          <w:top w:val="dashed" w:sz="12" w:space="0" w:color="0284C7"/>
          <w:left w:val="dashed" w:sz="12" w:space="0" w:color="0284C7"/>
          <w:bottom w:val="dashed" w:sz="12" w:space="0" w:color="0284C7"/>
          <w:right w:val="dashed" w:sz="12" w:space="0" w:color="0284C7"/>
        </w:tblBorders>
        <w:tblCellMar>
          <w:top w:w="300" w:type="dxa"/>
          <w:left w:w="300" w:type="dxa"/>
          <w:bottom w:w="300" w:type="dxa"/>
          <w:right w:w="300" w:type="dxa"/>
        </w:tblCellMar>
      </w:tblPr>
      <w:tblGrid>
        <w:gridCol w:w="9500"/>
      </w:tblGrid>
      <w:tr>
        <w:tc>
          <w:tcPr>
            <w:tcW w:w="9500" w:type="dxa"/>
            <w:shd w:val="clear" w:color="auto" w:fill="F8FAFC"/>
            <w:vAlign w:val="center"/>
          </w:tcPr>
          <w:p>
            <w:pPr>
              <w:jc w:val="center"/>
              <w:spacing w:before="0" w:after="40"/>
            </w:pPr>
            <w:r>
              <w:rPr>
                <w:rFonts w:ascii="Arial" w:hAnsi="Arial"/>
                <w:sz w:val="22"/>
                <w:b/>
                <w:color w:val="0284C7"/>
              </w:rPr>
              <w:t xml:space="preserve">📷 [ CLIC AQUÍ Y PEGAR CAPTURA 10 (Ctrl + V) ]</w:t>
            </w:r>
          </w:p>
          <w:p>
            <w:pPr>
              <w:jc w:val="center"/>
              <w:spacing w:before="0" w:after="40"/>
            </w:pPr>
            <w:r>
              <w:rPr>
                <w:rFonts w:ascii="Arial" w:hAnsi="Arial"/>
                <w:sz w:val="19"/>
                <w:b/>
                <w:color w:val="1E293B"/>
              </w:rPr>
              <w:t xml:space="preserve">Validación reactiva en tiempo real y prevención de envíos erróneos</w:t>
            </w:r>
          </w:p>
          <w:p>
            <w:pPr>
              <w:jc w:val="center"/>
              <w:spacing w:before="0" w:after="40"/>
            </w:pPr>
            <w:r>
              <w:rPr>
                <w:rFonts w:ascii="Arial" w:hAnsi="Arial"/>
                <w:sz w:val="17"/>
                <w:i/>
                <w:color w:val="64748B"/>
              </w:rPr>
              <w:t xml:space="preserve">Ingresar un documento con menos de 8 caracteres y salir del campo para mostrar el mensaje de validación reactivo en rojo, con reloj y usuario visibles.</w:t>
            </w:r>
          </w:p>
          <w:p>
            <w:pPr>
              <w:jc w:val="center"/>
              <w:spacing w:before="0" w:after="0"/>
            </w:pPr>
            <w:r>
              <w:rPr>
                <w:rFonts w:ascii="Arial" w:hAnsi="Arial"/>
                <w:sz w:val="16"/>
                <w:b/>
                <w:color w:val="16A34A"/>
              </w:rPr>
              <w:t xml:space="preserve">⚠️ Verificación: La captura debe mostrar la ventana completa con reloj del sistema (22/09/2026) y usuario visible sin recortar</w:t>
            </w:r>
          </w:p>
        </w:tc>
      </w:tr>
    </w:tbl>
    <w:p>
      <w:pPr>
        <w:jc w:val="left"/>
        <w:spacing w:before="60" w:after="160"/>
      </w:pPr>
      <w:r>
        <w:rPr>
          <w:rFonts w:ascii="Arial" w:hAnsi="Arial"/>
          <w:sz w:val="18"/>
          <w:b/>
          <w:color w:val="0F172A"/>
        </w:rPr>
        <w:t xml:space="preserve">Explicación. </w:t>
      </w:r>
      <w:r>
        <w:rPr>
          <w:rFonts w:ascii="Arial" w:hAnsi="Arial"/>
          <w:sz w:val="18"/>
          <w:color w:val="1E293B"/>
        </w:rPr>
        <w:t xml:space="preserve">El formulario valida en el cliente antes de llamar a la red, garantizando coherencia con las restricciones del backend y ofreciendo retroalimentación inmediata.</w:t>
      </w:r>
    </w:p>
    <!-- 5. REFLEXIÓN TÉCNICA BREVE -->
    <w:p>
      <w:pPr>
        <w:jc w:val="left"/>
        <w:spacing w:before="140" w:after="80"/>
      </w:pPr>
      <w:r>
        <w:rPr>
          <w:rFonts w:ascii="Arial" w:hAnsi="Arial"/>
          <w:sz w:val="24"/>
          <w:b/>
          <w:color w:val="0F172A"/>
        </w:rPr>
        <w:t xml:space="preserve">5. Reflexión técnica breve</w:t>
      </w:r>
    </w:p>
    <w:p>
      <w:pPr>
        <w:jc w:val="left"/>
        <w:spacing w:before="0" w:after="60"/>
      </w:pPr>
      <w:r>
        <w:rPr>
          <w:rFonts w:ascii="Arial" w:hAnsi="Arial"/>
          <w:sz w:val="19"/>
          <w:b/>
          <w:i/>
          <w:color w:val="1E3A8A"/>
        </w:rPr>
        <w:t xml:space="preserve">¿Por qué separar CategoriaService (o MineroService) del componente que lo usa facilita un cambio futuro en la URL o en la forma de consumir el backend?</w:t>
      </w:r>
    </w:p>
    <w:p>
      <w:pPr>
        <w:jc w:val="left"/>
        <w:spacing w:before="0" w:after="160"/>
      </w:pPr>
      <w:r>
        <w:rPr>
          <w:rFonts w:ascii="Arial" w:hAnsi="Arial"/>
          <w:sz w:val="19"/>
          <w:color w:val="1E293B"/>
        </w:rPr>
        <w:t xml:space="preserve">Separar MineroService del componente respeta el Principio de Responsabilidad Única (SRP): el componente se limita a gobernar el estado de la vista y la interacción del usuario, mientras que el servicio encapsula los detalles del protocolo de red y el contrato HTTP. Si la API cambia su versionamiento (por ejemplo, migrando de /api/v1/acopio/mineros a /api/v2/mineros), cambia de dominio base, incorpora tokens Bearer JWT o reemplaza peticiones REST por WebSocket/GraphQL, la actualización se realiza en un único punto dentro del servicio. Ningún componente consumidor (como MineroList o MineroForm) requiere ser modificado ni recompilado, garantizando alta cohesión, bajo acoplamiento y facilidad para realizar pruebas unitarias aisladas mediante mocks.</w:t>
      </w:r>
    </w:p>
    <!-- 6. PREGUNTAS DE DEFENSA -->
    <w:p>
      <w:pPr>
        <w:jc w:val="left"/>
        <w:spacing w:before="120" w:after="80"/>
        <w:pageBreakBefore/>
      </w:pPr>
      <w:r>
        <w:rPr>
          <w:rFonts w:ascii="Arial" w:hAnsi="Arial"/>
          <w:sz w:val="24"/>
          <w:b/>
          <w:color w:val="0F172A"/>
        </w:rPr>
        <w:t xml:space="preserve">6. Respuestas a las Preguntas de Defensa</w:t>
      </w:r>
    </w:p>
    <w:p>
      <w:pPr>
        <w:jc w:val="left"/>
        <w:spacing w:before="0" w:after="30"/>
      </w:pPr>
      <w:r>
        <w:rPr>
          <w:rFonts w:ascii="Arial" w:hAnsi="Arial"/>
          <w:sz w:val="19"/>
          <w:b/>
          <w:color w:val="0F172A"/>
        </w:rPr>
        <w:t xml:space="preserve">1. ¿Por qué el layout (menú, sidebar, encabezado) vive en un componente separado de las pantallas de cada funcionalidad?</w:t>
      </w:r>
    </w:p>
    <w:p>
      <w:pPr>
        <w:jc w:val="left"/>
        <w:spacing w:before="0" w:after="80"/>
      </w:pPr>
      <w:r>
        <w:rPr>
          <w:rFonts w:ascii="Arial" w:hAnsi="Arial"/>
          <w:sz w:val="18"/>
          <w:color w:val="334155"/>
        </w:rPr>
        <w:t xml:space="preserve">Porque conforma la estructura común y persistente de la SPA. Al aislarlo en LayoutComponent, las vistas hijas se proyectan dinámicamente en el &lt;router-outlet /&gt;, evitando duplicar código de maquetación en cada pantalla, previniendo reinicializaciones del DOM global y manteniendo el estado de navegación.</w:t>
      </w:r>
    </w:p>
    <w:p>
      <w:pPr>
        <w:jc w:val="left"/>
        <w:spacing w:before="0" w:after="30"/>
      </w:pPr>
      <w:r>
        <w:rPr>
          <w:rFonts w:ascii="Arial" w:hAnsi="Arial"/>
          <w:sz w:val="19"/>
          <w:b/>
          <w:color w:val="0F172A"/>
        </w:rPr>
        <w:t xml:space="preserve">2. ¿Qué diferencia hay entre organizar componentes por tipo y organizarlos por funcionalidad (core/shared/features)?</w:t>
      </w:r>
    </w:p>
    <w:p>
      <w:pPr>
        <w:jc w:val="left"/>
        <w:spacing w:before="0" w:after="80"/>
      </w:pPr>
      <w:r>
        <w:rPr>
          <w:rFonts w:ascii="Arial" w:hAnsi="Arial"/>
          <w:sz w:val="18"/>
          <w:color w:val="334155"/>
        </w:rPr>
        <w:t xml:space="preserve">Organizar por tipo agrupa todos los componentes juntos y todos los servicios juntos, volviendo el proyecto inmanejable al crecer. Organizar por funcionalidad (core/shared/features) sigue los principios de Domain-Driven Design (DDD): cada módulo es autónomo, cohesivo, fácil de auditar, propicio para carga perezosa (lazy loading) y asignable a distintos miembros del equipo sin generar conflictos.</w:t>
      </w:r>
    </w:p>
    <w:p>
      <w:pPr>
        <w:jc w:val="left"/>
        <w:spacing w:before="0" w:after="30"/>
      </w:pPr>
      <w:r>
        <w:rPr>
          <w:rFonts w:ascii="Arial" w:hAnsi="Arial"/>
          <w:sz w:val="19"/>
          <w:b/>
          <w:color w:val="0F172A"/>
        </w:rPr>
        <w:t xml:space="preserve">3. ¿Por qué MineroService no expone directamente el HttpClient a los componentes que lo usan?</w:t>
      </w:r>
    </w:p>
    <w:p>
      <w:pPr>
        <w:jc w:val="left"/>
        <w:spacing w:before="0" w:after="80"/>
      </w:pPr>
      <w:r>
        <w:rPr>
          <w:rFonts w:ascii="Arial" w:hAnsi="Arial"/>
          <w:sz w:val="18"/>
          <w:color w:val="334155"/>
        </w:rPr>
        <w:t xml:space="preserve">Porque rompería el principio de encapsulamiento. Si un componente llamara a HttpClient.get() directamente, quedaría acoplado a URLs hardcodeadas, verbos HTTP y detalles de cabeceras. El servicio actúa como una fachada que entrega datos con tipado estricto (Observable&lt;Minero[]&gt;).</w:t>
      </w:r>
    </w:p>
    <w:p>
      <w:pPr>
        <w:jc w:val="left"/>
        <w:spacing w:before="0" w:after="30"/>
      </w:pPr>
      <w:r>
        <w:rPr>
          <w:rFonts w:ascii="Arial" w:hAnsi="Arial"/>
          <w:sz w:val="19"/>
          <w:b/>
          <w:color w:val="0F172A"/>
        </w:rPr>
        <w:t xml:space="preserve">4. ¿Por qué Minero es una tabla independiente, y qué cambiaría si tuviera una relación con otra entidad?</w:t>
      </w:r>
    </w:p>
    <w:p>
      <w:pPr>
        <w:jc w:val="left"/>
        <w:spacing w:before="0" w:after="80"/>
      </w:pPr>
      <w:r>
        <w:rPr>
          <w:rFonts w:ascii="Arial" w:hAnsi="Arial"/>
          <w:sz w:val="18"/>
          <w:color w:val="334155"/>
        </w:rPr>
        <w:t xml:space="preserve">Es independiente porque no requiere la existencia previa de otra entidad ni una clave foránea para crearse. Si fuera dependiente (como una liquidación o entrega de mineral), el formulario del frontend estaría obligado a cargar previamente un selector para elegir la entidad padre antes de enviar la creación.</w:t>
      </w:r>
    </w:p>
    <w:p>
      <w:pPr>
        <w:jc w:val="left"/>
        <w:spacing w:before="0" w:after="30"/>
      </w:pPr>
      <w:r>
        <w:rPr>
          <w:rFonts w:ascii="Arial" w:hAnsi="Arial"/>
          <w:sz w:val="19"/>
          <w:b/>
          <w:color w:val="0F172A"/>
        </w:rPr>
        <w:t xml:space="preserve">5. ¿Por qué ApiService no sabe nada sobre Minero, y qué otro servicio futuro reutilizaría exactamente el mismo ApiService?</w:t>
      </w:r>
    </w:p>
    <w:p>
      <w:pPr>
        <w:jc w:val="left"/>
        <w:spacing w:before="0" w:after="80"/>
      </w:pPr>
      <w:r>
        <w:rPr>
          <w:rFonts w:ascii="Arial" w:hAnsi="Arial"/>
          <w:sz w:val="18"/>
          <w:color w:val="334155"/>
        </w:rPr>
        <w:t xml:space="preserve">ApiService reside en core/ y su responsabilidad exclusiva es proveer la URL base y utilidades de transporte global. No debe tener conocimiento del dominio de negocio. Servicios futuros como AcopiadorService o LiquidacionService reutilizarán el mismo ApiService.buildUrl(...) sin alterar core/.</w:t>
      </w:r>
    </w:p>
    <w:p>
      <w:pPr>
        <w:jc w:val="left"/>
        <w:spacing w:before="0" w:after="30"/>
      </w:pPr>
      <w:r>
        <w:rPr>
          <w:rFonts w:ascii="Arial" w:hAnsi="Arial"/>
          <w:sz w:val="19"/>
          <w:b/>
          <w:color w:val="0F172A"/>
        </w:rPr>
        <w:t xml:space="preserve">6. ¿Por qué el interceptor HTTP agrega su header en un solo lugar, en vez de que cada servicio lo agregue? ¿Qué otro problema resuelve?</w:t>
      </w:r>
    </w:p>
    <w:p>
      <w:pPr>
        <w:jc w:val="left"/>
        <w:spacing w:before="0" w:after="80"/>
      </w:pPr>
      <w:r>
        <w:rPr>
          <w:rFonts w:ascii="Arial" w:hAnsi="Arial"/>
          <w:sz w:val="18"/>
          <w:color w:val="334155"/>
        </w:rPr>
        <w:t xml:space="preserve">Centraliza un aspecto transversal (Cross-Cutting Concern), evitando duplicar código propenso a errores en cada servicio. Con el mismo mecanismo se resuelven de forma elegante la inyección de tokens de autenticación JWT (Authorization: Bearer), la captura global de errores (401/403/500) y el manejo de spinners de carga globales.</w:t>
      </w:r>
    </w:p>
    <w:p>
      <w:pPr>
        <w:jc w:val="left"/>
        <w:spacing w:before="0" w:after="30"/>
      </w:pPr>
      <w:r>
        <w:rPr>
          <w:rFonts w:ascii="Arial" w:hAnsi="Arial"/>
          <w:sz w:val="19"/>
          <w:b/>
          <w:color w:val="0F172A"/>
        </w:rPr>
        <w:t xml:space="preserve">7. Si tu CRUD autónomo usa una tabla distinta a Categoria, ¿qué validaciones del backend tuviste que respetar en el frontend?</w:t>
      </w:r>
    </w:p>
    <w:p>
      <w:pPr>
        <w:jc w:val="left"/>
        <w:spacing w:before="0" w:after="120"/>
      </w:pPr>
      <w:r>
        <w:rPr>
          <w:rFonts w:ascii="Arial" w:hAnsi="Arial"/>
          <w:sz w:val="18"/>
          <w:color w:val="334155"/>
        </w:rPr>
        <w:t xml:space="preserve">Para Minero se respetaron las reglas de MineroRequest.java: documento de identidad obligatorio con longitud entre 8 y 15 caracteres; nombres y apellidos obligatorios con máximo 150 caracteres; teléfono con límite de 20 caracteres; y zona de procedencia con un máximo de 100 caracteres.</w:t>
      </w:r>
    </w:p>
    <!-- 7. RÚBRICA DE EVALUACIÓN -->
    <w:p>
      <w:pPr>
        <w:jc w:val="left"/>
        <w:spacing w:before="120" w:after="80"/>
      </w:pPr>
      <w:r>
        <w:rPr>
          <w:rFonts w:ascii="Arial" w:hAnsi="Arial"/>
          <w:sz w:val="24"/>
          <w:b/>
          <w:color w:val="0F172A"/>
        </w:rPr>
        <w:t xml:space="preserve">7. Rúbrica de evaluación</w:t>
      </w:r>
    </w:p>
    <w:tbl>
      <w:tblPr>
        <w:tblW w:w="9500" w:type="dxa"/>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100" w:type="dxa"/>
          <w:left w:w="120" w:type="dxa"/>
          <w:bottom w:w="100" w:type="dxa"/>
          <w:right w:w="120" w:type="dxa"/>
        </w:tblCellMar>
      </w:tblPr>
      <w:tblGrid>
        <w:gridCol w:w="2600"/>
        <w:gridCol w:w="1100"/>
        <w:gridCol w:w="1600"/>
        <w:gridCol w:w="1000"/>
        <w:gridCol w:w="3200"/>
      </w:tblGrid>
      <!-- Header -->
      <w:tr>
        <w:tc>
          <w:tcPr>
            <w:tcW w:w="2600" w:type="dxa"/>
            <w:shd w:val="clear" w:color="auto" w:fill="1E3A8A"/>
            <w:vAlign w:val="center"/>
          </w:tcPr>
          <w:p>
            <w:pPr>
              <w:jc w:val="left"/>
              <w:spacing w:before="0" w:after="0"/>
            </w:pPr>
            <w:r>
              <w:rPr>
                <w:rFonts w:ascii="Arial" w:hAnsi="Arial"/>
                <w:sz w:val="18"/>
                <w:b/>
                <w:color w:val="FFFFFF"/>
              </w:rPr>
              <w:t xml:space="preserve">Criterio</w:t>
            </w:r>
          </w:p>
        </w:tc>
        <w:tc>
          <w:tcPr>
            <w:tcW w:w="1100" w:type="dxa"/>
            <w:shd w:val="clear" w:color="auto" w:fill="1E3A8A"/>
            <w:vAlign w:val="center"/>
          </w:tcPr>
          <w:p>
            <w:pPr>
              <w:jc w:val="center"/>
              <w:spacing w:before="0" w:after="0"/>
            </w:pPr>
            <w:r>
              <w:rPr>
                <w:rFonts w:ascii="Arial" w:hAnsi="Arial"/>
                <w:sz w:val="18"/>
                <w:b/>
                <w:color w:val="FFFFFF"/>
              </w:rPr>
              <w:t xml:space="preserve">Peso</w:t>
            </w:r>
          </w:p>
        </w:tc>
        <w:tc>
          <w:tcPr>
            <w:tcW w:w="1600" w:type="dxa"/>
            <w:shd w:val="clear" w:color="auto" w:fill="1E3A8A"/>
            <w:vAlign w:val="center"/>
          </w:tcPr>
          <w:p>
            <w:pPr>
              <w:jc w:val="center"/>
              <w:spacing w:before="0" w:after="0"/>
            </w:pPr>
            <w:r>
              <w:rPr>
                <w:rFonts w:ascii="Arial" w:hAnsi="Arial"/>
                <w:sz w:val="18"/>
                <w:b/>
                <w:color w:val="FFFFFF"/>
              </w:rPr>
              <w:t xml:space="preserve">Nivel obtenido</w:t>
            </w:r>
          </w:p>
        </w:tc>
        <w:tc>
          <w:tcPr>
            <w:tcW w:w="1000" w:type="dxa"/>
            <w:shd w:val="clear" w:color="auto" w:fill="1E3A8A"/>
            <w:vAlign w:val="center"/>
          </w:tcPr>
          <w:p>
            <w:pPr>
              <w:jc w:val="center"/>
              <w:spacing w:before="0" w:after="0"/>
            </w:pPr>
            <w:r>
              <w:rPr>
                <w:rFonts w:ascii="Arial" w:hAnsi="Arial"/>
                <w:sz w:val="18"/>
                <w:b/>
                <w:color w:val="FFFFFF"/>
              </w:rPr>
              <w:t xml:space="preserve">Puntos</w:t>
            </w:r>
          </w:p>
        </w:tc>
        <w:tc>
          <w:tcPr>
            <w:tcW w:w="3200" w:type="dxa"/>
            <w:shd w:val="clear" w:color="auto" w:fill="1E3A8A"/>
            <w:vAlign w:val="center"/>
          </w:tcPr>
          <w:p>
            <w:pPr>
              <w:jc w:val="left"/>
              <w:spacing w:before="0" w:after="0"/>
            </w:pPr>
            <w:r>
              <w:rPr>
                <w:rFonts w:ascii="Arial" w:hAnsi="Arial"/>
                <w:sz w:val="18"/>
                <w:b/>
                <w:color w:val="FFFFFF"/>
              </w:rPr>
              <w:t xml:space="preserve">Justificación técnica</w:t>
            </w:r>
          </w:p>
        </w:tc>
      </w:tr>
      <!-- Row 1 -->
      <w:tr>
        <w:tc>
          <w:tcPr>
            <w:tcW w:w="2600" w:type="dxa"/>
            <w:vAlign w:val="center"/>
          </w:tcPr>
          <w:p>
            <w:pPr>
              <w:jc w:val="left"/>
              <w:spacing w:before="0" w:after="0"/>
            </w:pPr>
            <w:r>
              <w:rPr>
                <w:rFonts w:ascii="Arial" w:hAnsi="Arial"/>
                <w:sz w:val="18"/>
                <w:b/>
              </w:rPr>
              <w:t xml:space="preserve">1. Proyecto y arquitectura</w:t>
            </w:r>
          </w:p>
        </w:tc>
        <w:tc>
          <w:tcPr>
            <w:tcW w:w="1100" w:type="dxa"/>
            <w:vAlign w:val="center"/>
          </w:tcPr>
          <w:p>
            <w:pPr>
              <w:jc w:val="center"/>
              <w:spacing w:before="0" w:after="0"/>
            </w:pPr>
            <w:r>
              <w:rPr>
                <w:rFonts w:ascii="Arial" w:hAnsi="Arial"/>
                <w:sz w:val="18"/>
              </w:rPr>
              <w:t xml:space="preserve">25%</w:t>
            </w:r>
          </w:p>
        </w:tc>
        <w:tc>
          <w:tcPr>
            <w:tcW w:w="1600" w:type="dxa"/>
            <w:shd w:val="clear" w:color="auto" w:fill="DCFCE7"/>
            <w:vAlign w:val="center"/>
          </w:tcPr>
          <w:p>
            <w:pPr>
              <w:jc w:val="center"/>
              <w:spacing w:before="0" w:after="0"/>
            </w:pPr>
            <w:r>
              <w:rPr>
                <w:rFonts w:ascii="Arial" w:hAnsi="Arial"/>
                <w:sz w:val="18"/>
                <w:b/>
                <w:color w:val="15803D"/>
              </w:rPr>
              <w:t xml:space="preserve">A (20 pts)</w:t>
            </w:r>
          </w:p>
        </w:tc>
        <w:tc>
          <w:tcPr>
            <w:tcW w:w="1000" w:type="dxa"/>
            <w:vAlign w:val="center"/>
          </w:tcPr>
          <w:p>
            <w:pPr>
              <w:jc w:val="center"/>
              <w:spacing w:before="0" w:after="0"/>
            </w:pPr>
            <w:r>
              <w:rPr>
                <w:rFonts w:ascii="Arial" w:hAnsi="Arial"/>
                <w:sz w:val="18"/>
                <w:b/>
              </w:rPr>
              <w:t xml:space="preserve">20</w:t>
            </w:r>
          </w:p>
        </w:tc>
        <w:tc>
          <w:tcPr>
            <w:tcW w:w="3200" w:type="dxa"/>
            <w:vAlign w:val="center"/>
          </w:tcPr>
          <w:p>
            <w:pPr>
              <w:jc w:val="left"/>
              <w:spacing w:before="0" w:after="0"/>
            </w:pPr>
            <w:r>
              <w:rPr>
                <w:rFonts w:ascii="Arial" w:hAnsi="Arial"/>
                <w:sz w:val="17"/>
              </w:rPr>
              <w:t xml:space="preserve">Estructura modular core/shared/features correcta y coherente con SITRA-ORO.</w:t>
            </w:r>
          </w:p>
        </w:tc>
      </w:tr>
      <!-- Row 2 -->
      <w:tr>
        <w:tc>
          <w:tcPr>
            <w:tcW w:w="2600" w:type="dxa"/>
            <w:vAlign w:val="center"/>
          </w:tcPr>
          <w:p>
            <w:pPr>
              <w:jc w:val="left"/>
              <w:spacing w:before="0" w:after="0"/>
            </w:pPr>
            <w:r>
              <w:rPr>
                <w:rFonts w:ascii="Arial" w:hAnsi="Arial"/>
                <w:sz w:val="18"/>
                <w:b/>
              </w:rPr>
              <w:t xml:space="preserve">2. Layout y navegación</w:t>
            </w:r>
          </w:p>
        </w:tc>
        <w:tc>
          <w:tcPr>
            <w:tcW w:w="1100" w:type="dxa"/>
            <w:vAlign w:val="center"/>
          </w:tcPr>
          <w:p>
            <w:pPr>
              <w:jc w:val="center"/>
              <w:spacing w:before="0" w:after="0"/>
            </w:pPr>
            <w:r>
              <w:rPr>
                <w:rFonts w:ascii="Arial" w:hAnsi="Arial"/>
                <w:sz w:val="18"/>
              </w:rPr>
              <w:t xml:space="preserve">25%</w:t>
            </w:r>
          </w:p>
        </w:tc>
        <w:tc>
          <w:tcPr>
            <w:tcW w:w="1600" w:type="dxa"/>
            <w:shd w:val="clear" w:color="auto" w:fill="DCFCE7"/>
            <w:vAlign w:val="center"/>
          </w:tcPr>
          <w:p>
            <w:pPr>
              <w:jc w:val="center"/>
              <w:spacing w:before="0" w:after="0"/>
            </w:pPr>
            <w:r>
              <w:rPr>
                <w:rFonts w:ascii="Arial" w:hAnsi="Arial"/>
                <w:sz w:val="18"/>
                <w:b/>
                <w:color w:val="15803D"/>
              </w:rPr>
              <w:t xml:space="preserve">A (20 pts)</w:t>
            </w:r>
          </w:p>
        </w:tc>
        <w:tc>
          <w:tcPr>
            <w:tcW w:w="1000" w:type="dxa"/>
            <w:vAlign w:val="center"/>
          </w:tcPr>
          <w:p>
            <w:pPr>
              <w:jc w:val="center"/>
              <w:spacing w:before="0" w:after="0"/>
            </w:pPr>
            <w:r>
              <w:rPr>
                <w:rFonts w:ascii="Arial" w:hAnsi="Arial"/>
                <w:sz w:val="18"/>
                <w:b/>
              </w:rPr>
              <w:t xml:space="preserve">20</w:t>
            </w:r>
          </w:p>
        </w:tc>
        <w:tc>
          <w:tcPr>
            <w:tcW w:w="3200" w:type="dxa"/>
            <w:vAlign w:val="center"/>
          </w:tcPr>
          <w:p>
            <w:pPr>
              <w:jc w:val="left"/>
              <w:spacing w:before="0" w:after="0"/>
            </w:pPr>
            <w:r>
              <w:rPr>
                <w:rFonts w:ascii="Arial" w:hAnsi="Arial"/>
                <w:sz w:val="17"/>
              </w:rPr>
              <w:t xml:space="preserve">Layout funcional, página de inicio real en / sin redirect y navegación entre rutas hijas.</w:t>
            </w:r>
          </w:p>
        </w:tc>
      </w:tr>
      <!-- Row 3 -->
      <w:tr>
        <w:tc>
          <w:tcPr>
            <w:tcW w:w="2600" w:type="dxa"/>
            <w:vAlign w:val="center"/>
          </w:tcPr>
          <w:p>
            <w:pPr>
              <w:jc w:val="left"/>
              <w:spacing w:before="0" w:after="0"/>
            </w:pPr>
            <w:r>
              <w:rPr>
                <w:rFonts w:ascii="Arial" w:hAnsi="Arial"/>
                <w:sz w:val="18"/>
                <w:b/>
              </w:rPr>
              <w:t xml:space="preserve">3. Servicio HTTP</w:t>
            </w:r>
          </w:p>
        </w:tc>
        <w:tc>
          <w:tcPr>
            <w:tcW w:w="1100" w:type="dxa"/>
            <w:vAlign w:val="center"/>
          </w:tcPr>
          <w:p>
            <w:pPr>
              <w:jc w:val="center"/>
              <w:spacing w:before="0" w:after="0"/>
            </w:pPr>
            <w:r>
              <w:rPr>
                <w:rFonts w:ascii="Arial" w:hAnsi="Arial"/>
                <w:sz w:val="18"/>
              </w:rPr>
              <w:t xml:space="preserve">25%</w:t>
            </w:r>
          </w:p>
        </w:tc>
        <w:tc>
          <w:tcPr>
            <w:tcW w:w="1600" w:type="dxa"/>
            <w:shd w:val="clear" w:color="auto" w:fill="DCFCE7"/>
            <w:vAlign w:val="center"/>
          </w:tcPr>
          <w:p>
            <w:pPr>
              <w:jc w:val="center"/>
              <w:spacing w:before="0" w:after="0"/>
            </w:pPr>
            <w:r>
              <w:rPr>
                <w:rFonts w:ascii="Arial" w:hAnsi="Arial"/>
                <w:sz w:val="18"/>
                <w:b/>
                <w:color w:val="15803D"/>
              </w:rPr>
              <w:t xml:space="preserve">A (20 pts)</w:t>
            </w:r>
          </w:p>
        </w:tc>
        <w:tc>
          <w:tcPr>
            <w:tcW w:w="1000" w:type="dxa"/>
            <w:vAlign w:val="center"/>
          </w:tcPr>
          <w:p>
            <w:pPr>
              <w:jc w:val="center"/>
              <w:spacing w:before="0" w:after="0"/>
            </w:pPr>
            <w:r>
              <w:rPr>
                <w:rFonts w:ascii="Arial" w:hAnsi="Arial"/>
                <w:sz w:val="18"/>
                <w:b/>
              </w:rPr>
              <w:t xml:space="preserve">20</w:t>
            </w:r>
          </w:p>
        </w:tc>
        <w:tc>
          <w:tcPr>
            <w:tcW w:w="3200" w:type="dxa"/>
            <w:vAlign w:val="center"/>
          </w:tcPr>
          <w:p>
            <w:pPr>
              <w:jc w:val="left"/>
              <w:spacing w:before="0" w:after="0"/>
            </w:pPr>
            <w:r>
              <w:rPr>
                <w:rFonts w:ascii="Arial" w:hAnsi="Arial"/>
                <w:sz w:val="17"/>
              </w:rPr>
              <w:t xml:space="preserve">ApiService base, MineroService dedicado y traceIdInterceptor inyectando UUID probado contra backend real.</w:t>
            </w:r>
          </w:p>
        </w:tc>
      </w:tr>
      <!-- Row 4 -->
      <w:tr>
        <w:tc>
          <w:tcPr>
            <w:tcW w:w="2600" w:type="dxa"/>
            <w:vAlign w:val="center"/>
          </w:tcPr>
          <w:p>
            <w:pPr>
              <w:jc w:val="left"/>
              <w:spacing w:before="0" w:after="0"/>
            </w:pPr>
            <w:r>
              <w:rPr>
                <w:rFonts w:ascii="Arial" w:hAnsi="Arial"/>
                <w:sz w:val="18"/>
                <w:b/>
              </w:rPr>
              <w:t xml:space="preserve">4. CRUD independiente</w:t>
            </w:r>
          </w:p>
        </w:tc>
        <w:tc>
          <w:tcPr>
            <w:tcW w:w="1100" w:type="dxa"/>
            <w:vAlign w:val="center"/>
          </w:tcPr>
          <w:p>
            <w:pPr>
              <w:jc w:val="center"/>
              <w:spacing w:before="0" w:after="0"/>
            </w:pPr>
            <w:r>
              <w:rPr>
                <w:rFonts w:ascii="Arial" w:hAnsi="Arial"/>
                <w:sz w:val="18"/>
              </w:rPr>
              <w:t xml:space="preserve">25%</w:t>
            </w:r>
          </w:p>
        </w:tc>
        <w:tc>
          <w:tcPr>
            <w:tcW w:w="1600" w:type="dxa"/>
            <w:shd w:val="clear" w:color="auto" w:fill="DCFCE7"/>
            <w:vAlign w:val="center"/>
          </w:tcPr>
          <w:p>
            <w:pPr>
              <w:jc w:val="center"/>
              <w:spacing w:before="0" w:after="0"/>
            </w:pPr>
            <w:r>
              <w:rPr>
                <w:rFonts w:ascii="Arial" w:hAnsi="Arial"/>
                <w:sz w:val="18"/>
                <w:b/>
                <w:color w:val="15803D"/>
              </w:rPr>
              <w:t xml:space="preserve">A (20 pts)</w:t>
            </w:r>
          </w:p>
        </w:tc>
        <w:tc>
          <w:tcPr>
            <w:tcW w:w="1000" w:type="dxa"/>
            <w:vAlign w:val="center"/>
          </w:tcPr>
          <w:p>
            <w:pPr>
              <w:jc w:val="center"/>
              <w:spacing w:before="0" w:after="0"/>
            </w:pPr>
            <w:r>
              <w:rPr>
                <w:rFonts w:ascii="Arial" w:hAnsi="Arial"/>
                <w:sz w:val="18"/>
                <w:b/>
              </w:rPr>
              <w:t xml:space="preserve">20</w:t>
            </w:r>
          </w:p>
        </w:tc>
        <w:tc>
          <w:tcPr>
            <w:tcW w:w="3200" w:type="dxa"/>
            <w:vAlign w:val="center"/>
          </w:tcPr>
          <w:p>
            <w:pPr>
              <w:jc w:val="left"/>
              <w:spacing w:before="0" w:after="0"/>
            </w:pPr>
            <w:r>
              <w:rPr>
                <w:rFonts w:ascii="Arial" w:hAnsi="Arial"/>
                <w:sz w:val="17"/>
              </w:rPr>
              <w:t xml:space="preserve">Los 4 casos funcionando contra backend Spring Boot y Oracle XE con manejo de estados.</w:t>
            </w:r>
          </w:p>
        </w:tc>
      </w:tr>
    </w:tbl>
    <w:p>
      <w:pPr>
        <w:jc w:val="right"/>
        <w:spacing w:before="120" w:after="160"/>
      </w:pPr>
      <w:r>
        <w:rPr>
          <w:rFonts w:ascii="Arial" w:hAnsi="Arial"/>
          <w:sz w:val="20"/>
          <w:b/>
          <w:color w:val="0F172A"/>
        </w:rPr>
        <w:t xml:space="preserve">Nota final = (0.25 × 20) + (0.25 × 20) + (0.25 × 20) + (0.25 × 20) = </w:t>
      </w:r>
      <w:r>
        <w:rPr>
          <w:rFonts w:ascii="Arial" w:hAnsi="Arial"/>
          <w:sz w:val="24"/>
          <w:b/>
          <w:color w:val="16A34A"/>
        </w:rPr>
        <w:t xml:space="preserve">20.0 / 20.0</w:t>
      </w:r>
    </w:p>
    <!-- ANEXO FEEDBACK (ÚLTIMA PÁGINA) -->
    <w:p>
      <w:pPr>
        <w:jc w:val="left"/>
        <w:spacing w:before="140" w:after="60"/>
        <w:pageBreakBefore/>
      </w:pPr>
      <w:r>
        <w:rPr>
          <w:rFonts w:ascii="Arial" w:hAnsi="Arial"/>
          <w:sz w:val="24"/>
          <w:b/>
          <w:color w:val="0F172A"/>
        </w:rPr>
        <w:t xml:space="preserve">Anexo: Feedback de la sesión</w:t>
      </w:r>
    </w:p>
    <w:p>
      <w:pPr>
        <w:jc w:val="left"/>
        <w:spacing w:before="0" w:after="120"/>
      </w:pPr>
      <w:r>
        <w:rPr>
          <w:rFonts w:ascii="Arial" w:hAnsi="Arial"/>
          <w:sz w:val="20"/>
          <w:b/>
          <w:color w:val="1E3A8A"/>
        </w:rPr>
        <w:t xml:space="preserve">Sesión S07: Creación y Arquitectura de la SPA</w:t>
      </w:r>
    </w:p>
    <w:p>
      <w:pPr>
        <w:jc w:val="left"/>
        <w:spacing w:before="0" w:after="30"/>
      </w:pPr>
      <w:r>
        <w:rPr>
          <w:rFonts w:ascii="Arial" w:hAnsi="Arial"/>
          <w:sz w:val="19"/>
          <w:b/>
          <w:color w:val="0F172A"/>
        </w:rPr>
        <w:t xml:space="preserve">1. ¿Cuál es el aprendizaje más importante que te llevas de la clase de hoy?</w:t>
      </w:r>
    </w:p>
    <w:p>
      <w:pPr>
        <w:jc w:val="left"/>
        <w:spacing w:before="0" w:after="100"/>
      </w:pPr>
      <w:r>
        <w:rPr>
          <w:rFonts w:ascii="Arial" w:hAnsi="Arial"/>
          <w:sz w:val="18"/>
          <w:color w:val="334155"/>
        </w:rPr>
        <w:t xml:space="preserve">Aprender a estructurar un frontend empresarial moderno con Angular Standalone separando responsabilidades en core, shared y features, y comprender el rol de los interceptores HTTP funcionales para inyectar trazabilidad distribuida (X-Trace-ID) sin alterar los componentes.</w:t>
      </w:r>
    </w:p>
    <w:p>
      <w:pPr>
        <w:jc w:val="left"/>
        <w:spacing w:before="0" w:after="30"/>
      </w:pPr>
      <w:r>
        <w:rPr>
          <w:rFonts w:ascii="Arial" w:hAnsi="Arial"/>
          <w:sz w:val="19"/>
          <w:b/>
          <w:color w:val="0F172A"/>
        </w:rPr>
        <w:t xml:space="preserve">2. ¿Qué punto de la clase te resultó más confuso o te dejó con dudas?</w:t>
      </w:r>
    </w:p>
    <w:p>
      <w:pPr>
        <w:jc w:val="left"/>
        <w:spacing w:before="0" w:after="100"/>
      </w:pPr>
      <w:r>
        <w:rPr>
          <w:rFonts w:ascii="Arial" w:hAnsi="Arial"/>
          <w:sz w:val="18"/>
          <w:color w:val="334155"/>
        </w:rPr>
        <w:t xml:space="preserve">Al inicio, la configuración del enrutamiento anidado para asegurar que los componentes hijos utilicen el LayoutComponent de forma persistente sin provocar parpadeos ni recargas al cambiar de pantalla.</w:t>
      </w:r>
    </w:p>
    <w:p>
      <w:pPr>
        <w:jc w:val="left"/>
        <w:spacing w:before="0" w:after="30"/>
      </w:pPr>
      <w:r>
        <w:rPr>
          <w:rFonts w:ascii="Arial" w:hAnsi="Arial"/>
          <w:sz w:val="19"/>
          <w:b/>
          <w:color w:val="0F172A"/>
        </w:rPr>
        <w:t xml:space="preserve">3. ¿Tienes alguna pregunta que te gustaría que sea respondida la siguiente clase?</w:t>
      </w:r>
    </w:p>
    <w:p>
      <w:pPr>
        <w:jc w:val="left"/>
        <w:spacing w:before="0" w:after="100"/>
      </w:pPr>
      <w:r>
        <w:rPr>
          <w:rFonts w:ascii="Arial" w:hAnsi="Arial"/>
          <w:sz w:val="18"/>
          <w:color w:val="334155"/>
        </w:rPr>
        <w:t xml:space="preserve">¿Cómo se gestiona adecuadamente la renovación de tokens JWT vencidos dentro de un interceptor HTTP en Angular cuando múltiples peticiones concurrentes reciben un código de error 401?</w:t>
      </w:r>
    </w:p>
    <w:p>
      <w:pPr>
        <w:jc w:val="left"/>
        <w:spacing w:before="0" w:after="30"/>
      </w:pPr>
      <w:r>
        <w:rPr>
          <w:rFonts w:ascii="Arial" w:hAnsi="Arial"/>
          <w:sz w:val="19"/>
          <w:b/>
          <w:color w:val="0F172A"/>
        </w:rPr>
        <w:t xml:space="preserve">4. Sobre tu nivel de comprensión de la clase de hoy, marca una opción:</w:t>
      </w:r>
    </w:p>
    <w:p>
      <w:pPr>
        <w:jc w:val="left"/>
        <w:spacing w:before="0" w:after="20"/>
      </w:pPr>
      <w:r>
        <w:rPr>
          <w:rFonts w:ascii="Arial" w:hAnsi="Arial"/>
          <w:sz w:val="18"/>
          <w:b/>
          <w:color w:val="16A34A"/>
        </w:rPr>
        <w:t xml:space="preserve">[ X ] ¡Entendido! - Lo domino y podría explicarlo.</w:t>
      </w:r>
    </w:p>
    <w:p>
      <w:pPr>
        <w:jc w:val="left"/>
        <w:spacing w:before="0" w:after="20"/>
      </w:pPr>
      <w:r>
        <w:rPr>
          <w:rFonts w:ascii="Arial" w:hAnsi="Arial"/>
          <w:sz w:val="18"/>
          <w:color w:val="64748B"/>
        </w:rPr>
        <w:t xml:space="preserve">[   ] Más o menos. - Entendí la idea general, pero tengo dudas.</w:t>
      </w:r>
    </w:p>
    <w:p>
      <w:pPr>
        <w:jc w:val="left"/>
        <w:spacing w:before="0" w:after="100"/>
      </w:pPr>
      <w:r>
        <w:rPr>
          <w:rFonts w:ascii="Arial" w:hAnsi="Arial"/>
          <w:sz w:val="18"/>
          <w:color w:val="64748B"/>
        </w:rPr>
        <w:t xml:space="preserve">[   ] Necesito ayuda. - Me siento perdido/a con este tema.</w:t>
      </w:r>
    </w:p>
    <w:p>
      <w:pPr>
        <w:jc w:val="left"/>
        <w:spacing w:before="0" w:after="30"/>
      </w:pPr>
      <w:r>
        <w:rPr>
          <w:rFonts w:ascii="Arial" w:hAnsi="Arial"/>
          <w:sz w:val="19"/>
          <w:b/>
          <w:color w:val="0F172A"/>
        </w:rPr>
        <w:t xml:space="preserve">5. ¿Cómo puedo ayudarte a comprender mejor el tema?</w:t>
      </w:r>
    </w:p>
    <w:p>
      <w:pPr>
        <w:jc w:val="left"/>
        <w:spacing w:before="0" w:after="100"/>
      </w:pPr>
      <w:r>
        <w:rPr>
          <w:rFonts w:ascii="Arial" w:hAnsi="Arial"/>
          <w:sz w:val="18"/>
          <w:color w:val="334155"/>
        </w:rPr>
        <w:t xml:space="preserve">Con ejemplos prácticos de comunicación entre componentes mediante Signals reactivas y manejo de estados de carga globales.</w:t>
      </w:r>
    </w:p>
    <w:p>
      <w:pPr>
        <w:jc w:val="left"/>
        <w:spacing w:before="0" w:after="30"/>
      </w:pPr>
      <w:r>
        <w:rPr>
          <w:rFonts w:ascii="Arial" w:hAnsi="Arial"/>
          <w:sz w:val="19"/>
          <w:b/>
          <w:color w:val="0F172A"/>
        </w:rPr>
        <w:t xml:space="preserve">6. Pensando en tu participación y esfuerzo en la clase de hoy, ¿cómo te autoevaluarías?</w:t>
      </w:r>
    </w:p>
    <w:p>
      <w:pPr>
        <w:jc w:val="left"/>
        <w:spacing w:before="0" w:after="20"/>
      </w:pPr>
      <w:r>
        <w:rPr>
          <w:rFonts w:ascii="Arial" w:hAnsi="Arial"/>
          <w:sz w:val="18"/>
          <w:b/>
          <w:color w:val="16A34A"/>
        </w:rPr>
        <w:t xml:space="preserve">[ X ] Muy Comprometido/a: Me esforcé al máximo.</w:t>
      </w:r>
    </w:p>
    <w:p>
      <w:pPr>
        <w:jc w:val="left"/>
        <w:spacing w:before="0" w:after="20"/>
      </w:pPr>
      <w:r>
        <w:rPr>
          <w:rFonts w:ascii="Arial" w:hAnsi="Arial"/>
          <w:sz w:val="18"/>
          <w:color w:val="64748B"/>
        </w:rPr>
        <w:t xml:space="preserve">[   ] Comprometido/a: Sé que podría haberme esforzado un poco más.</w:t>
      </w:r>
    </w:p>
    <w:p>
      <w:pPr>
        <w:jc w:val="left"/>
        <w:spacing w:before="0" w:after="100"/>
      </w:pPr>
      <w:r>
        <w:rPr>
          <w:rFonts w:ascii="Arial" w:hAnsi="Arial"/>
          <w:sz w:val="18"/>
          <w:color w:val="64748B"/>
        </w:rPr>
        <w:t xml:space="preserve">[   ] Poco Comprometido/a: Hoy no di mi mejor esfuerzo.</w:t>
      </w:r>
    </w:p>
    <w:p>
      <w:pPr>
        <w:jc w:val="left"/>
        <w:spacing w:before="0" w:after="30"/>
      </w:pPr>
      <w:r>
        <w:rPr>
          <w:rFonts w:ascii="Arial" w:hAnsi="Arial"/>
          <w:sz w:val="19"/>
          <w:b/>
          <w:color w:val="0F172A"/>
        </w:rPr>
        <w:t xml:space="preserve">7. Mi satisfacción con la clase fue... (califica del 1 al 10):</w:t>
      </w:r>
    </w:p>
    <w:p>
      <w:pPr>
        <w:jc w:val="left"/>
        <w:spacing w:before="0" w:after="160"/>
      </w:pPr>
      <w:r>
        <w:rPr>
          <w:rFonts w:ascii="Arial" w:hAnsi="Arial"/>
          <w:sz w:val="19"/>
          <w:b/>
          <w:color w:val="1E3A8A"/>
        </w:rPr>
        <w:t xml:space="preserve">10 / 10 — La sesión brindó los fundamentos esenciales para conectar la interfaz de usuario con la arquitectura backend construida en las sesiones previas.</w:t>
      </w:r>
    </w:p>
    <w:sectPr>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56744877">
    <w:abstractNumId w:val="8"/>
  </w:num>
  <w:num w:numId="2" w16cid:durableId="2134639001">
    <w:abstractNumId w:val="6"/>
  </w:num>
  <w:num w:numId="3" w16cid:durableId="365956377">
    <w:abstractNumId w:val="5"/>
  </w:num>
  <w:num w:numId="4" w16cid:durableId="1454328921">
    <w:abstractNumId w:val="4"/>
  </w:num>
  <w:num w:numId="5" w16cid:durableId="2097823750">
    <w:abstractNumId w:val="7"/>
  </w:num>
  <w:num w:numId="6" w16cid:durableId="1324701186">
    <w:abstractNumId w:val="3"/>
  </w:num>
  <w:num w:numId="7" w16cid:durableId="1345519986">
    <w:abstractNumId w:val="2"/>
  </w:num>
  <w:num w:numId="8" w16cid:durableId="1373192735">
    <w:abstractNumId w:val="1"/>
  </w:num>
  <w:num w:numId="9" w16cid:durableId="1131509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66D"/>
    <w:rsid w:val="0015074B"/>
    <w:rsid w:val="00222FF2"/>
    <w:rsid w:val="0023518F"/>
    <w:rsid w:val="00251B64"/>
    <w:rsid w:val="0029639D"/>
    <w:rsid w:val="002F0C74"/>
    <w:rsid w:val="00326F90"/>
    <w:rsid w:val="003B08B2"/>
    <w:rsid w:val="003C1FAB"/>
    <w:rsid w:val="003C587D"/>
    <w:rsid w:val="00472255"/>
    <w:rsid w:val="00572BC9"/>
    <w:rsid w:val="005B37D8"/>
    <w:rsid w:val="00697396"/>
    <w:rsid w:val="006D2083"/>
    <w:rsid w:val="007A6E72"/>
    <w:rsid w:val="009828C1"/>
    <w:rsid w:val="00AA1D8D"/>
    <w:rsid w:val="00AE6E9B"/>
    <w:rsid w:val="00B47730"/>
    <w:rsid w:val="00B6499A"/>
    <w:rsid w:val="00B711B4"/>
    <w:rsid w:val="00C47BD5"/>
    <w:rsid w:val="00CA7751"/>
    <w:rsid w:val="00CB0664"/>
    <w:rsid w:val="00CF36EC"/>
    <w:rsid w:val="00D01AF4"/>
    <w:rsid w:val="00D72DB4"/>
    <w:rsid w:val="00D834D3"/>
    <w:rsid w:val="00DD4EE5"/>
    <w:rsid w:val="00F2720E"/>
    <w:rsid w:val="00F4624B"/>
    <w:rsid w:val="00F640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893A01"/>
  <w14:defaultImageDpi w14:val="300"/>
  <w15:docId w15:val="{E5DBE3F1-347C-45D5-8C69-344BA2185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F3F3F3"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F3F3F3"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F0F0F0" w:themeColor="text1"/>
    </w:rPr>
  </w:style>
  <w:style w:type="character" w:customStyle="1" w:styleId="CitaCar">
    <w:name w:val="Cita Car"/>
    <w:basedOn w:val="Fuentedeprrafopredeter"/>
    <w:link w:val="Cita"/>
    <w:uiPriority w:val="29"/>
    <w:rsid w:val="00FC693F"/>
    <w:rPr>
      <w:i/>
      <w:iCs/>
      <w:color w:val="F0F0F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F3F3F3"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F3F3F3"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F7F7F7"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B3B3B3" w:themeColor="text1" w:themeShade="BF"/>
    </w:rPr>
    <w:tblPr>
      <w:tblStyleRowBandSize w:val="1"/>
      <w:tblStyleColBandSize w:val="1"/>
      <w:tblBorders>
        <w:top w:val="single" w:sz="8" w:space="0" w:color="F0F0F0" w:themeColor="text1"/>
        <w:bottom w:val="single" w:sz="8" w:space="0" w:color="F0F0F0" w:themeColor="text1"/>
      </w:tblBorders>
    </w:tblPr>
    <w:tblStylePr w:type="firstRow">
      <w:pPr>
        <w:spacing w:before="0" w:after="0" w:line="240" w:lineRule="auto"/>
      </w:pPr>
      <w:rPr>
        <w:b/>
        <w:bCs/>
      </w:rPr>
      <w:tblPr/>
      <w:tcPr>
        <w:tcBorders>
          <w:top w:val="single" w:sz="8" w:space="0" w:color="F0F0F0" w:themeColor="text1"/>
          <w:left w:val="nil"/>
          <w:bottom w:val="single" w:sz="8" w:space="0" w:color="F0F0F0" w:themeColor="text1"/>
          <w:right w:val="nil"/>
          <w:insideH w:val="nil"/>
          <w:insideV w:val="nil"/>
        </w:tcBorders>
      </w:tcPr>
    </w:tblStylePr>
    <w:tblStylePr w:type="lastRow">
      <w:pPr>
        <w:spacing w:before="0" w:after="0" w:line="240" w:lineRule="auto"/>
      </w:pPr>
      <w:rPr>
        <w:b/>
        <w:bCs/>
      </w:rPr>
      <w:tblPr/>
      <w:tcPr>
        <w:tcBorders>
          <w:top w:val="single" w:sz="8" w:space="0" w:color="F0F0F0" w:themeColor="text1"/>
          <w:left w:val="nil"/>
          <w:bottom w:val="single" w:sz="8" w:space="0" w:color="F0F0F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BFB" w:themeFill="text1" w:themeFillTint="3F"/>
      </w:tcPr>
    </w:tblStylePr>
    <w:tblStylePr w:type="band1Horz">
      <w:tblPr/>
      <w:tcPr>
        <w:tcBorders>
          <w:left w:val="nil"/>
          <w:right w:val="nil"/>
          <w:insideH w:val="nil"/>
          <w:insideV w:val="nil"/>
        </w:tcBorders>
        <w:shd w:val="clear" w:color="auto" w:fill="FBFBFB"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tblBorders>
    </w:tblPr>
    <w:tblStylePr w:type="firstRow">
      <w:pPr>
        <w:spacing w:before="0" w:after="0" w:line="240" w:lineRule="auto"/>
      </w:pPr>
      <w:rPr>
        <w:b/>
        <w:bCs/>
        <w:color w:val="000000" w:themeColor="background1"/>
      </w:rPr>
      <w:tblPr/>
      <w:tcPr>
        <w:shd w:val="clear" w:color="auto" w:fill="F0F0F0" w:themeFill="text1"/>
      </w:tcPr>
    </w:tblStylePr>
    <w:tblStylePr w:type="lastRow">
      <w:pPr>
        <w:spacing w:before="0" w:after="0" w:line="240" w:lineRule="auto"/>
      </w:pPr>
      <w:rPr>
        <w:b/>
        <w:bCs/>
      </w:rPr>
      <w:tblPr/>
      <w:tcPr>
        <w:tcBorders>
          <w:top w:val="double" w:sz="6" w:space="0" w:color="F0F0F0" w:themeColor="text1"/>
          <w:left w:val="single" w:sz="8" w:space="0" w:color="F0F0F0" w:themeColor="text1"/>
          <w:bottom w:val="single" w:sz="8" w:space="0" w:color="F0F0F0" w:themeColor="text1"/>
          <w:right w:val="single" w:sz="8" w:space="0" w:color="F0F0F0" w:themeColor="text1"/>
        </w:tcBorders>
      </w:tcPr>
    </w:tblStylePr>
    <w:tblStylePr w:type="firstCol">
      <w:rPr>
        <w:b/>
        <w:bCs/>
      </w:rPr>
    </w:tblStylePr>
    <w:tblStylePr w:type="lastCol">
      <w:rPr>
        <w:b/>
        <w:bCs/>
      </w:rPr>
    </w:tblStylePr>
    <w:tblStylePr w:type="band1Vert">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tblStylePr w:type="band1Horz">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insideH w:val="single" w:sz="8" w:space="0" w:color="F0F0F0" w:themeColor="text1"/>
        <w:insideV w:val="single" w:sz="8" w:space="0" w:color="F0F0F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F0F0" w:themeColor="text1"/>
          <w:left w:val="single" w:sz="8" w:space="0" w:color="F0F0F0" w:themeColor="text1"/>
          <w:bottom w:val="single" w:sz="18" w:space="0" w:color="F0F0F0" w:themeColor="text1"/>
          <w:right w:val="single" w:sz="8" w:space="0" w:color="F0F0F0" w:themeColor="text1"/>
          <w:insideH w:val="nil"/>
          <w:insideV w:val="single" w:sz="8" w:space="0" w:color="F0F0F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F0F0" w:themeColor="text1"/>
          <w:left w:val="single" w:sz="8" w:space="0" w:color="F0F0F0" w:themeColor="text1"/>
          <w:bottom w:val="single" w:sz="8" w:space="0" w:color="F0F0F0" w:themeColor="text1"/>
          <w:right w:val="single" w:sz="8" w:space="0" w:color="F0F0F0" w:themeColor="text1"/>
          <w:insideH w:val="nil"/>
          <w:insideV w:val="single" w:sz="8" w:space="0" w:color="F0F0F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tblStylePr w:type="band1Vert">
      <w:tblPr/>
      <w:tcPr>
        <w:tcBorders>
          <w:top w:val="single" w:sz="8" w:space="0" w:color="F0F0F0" w:themeColor="text1"/>
          <w:left w:val="single" w:sz="8" w:space="0" w:color="F0F0F0" w:themeColor="text1"/>
          <w:bottom w:val="single" w:sz="8" w:space="0" w:color="F0F0F0" w:themeColor="text1"/>
          <w:right w:val="single" w:sz="8" w:space="0" w:color="F0F0F0" w:themeColor="text1"/>
        </w:tcBorders>
        <w:shd w:val="clear" w:color="auto" w:fill="FBFBFB" w:themeFill="text1" w:themeFillTint="3F"/>
      </w:tcPr>
    </w:tblStylePr>
    <w:tblStylePr w:type="band1Horz">
      <w:tblPr/>
      <w:tcPr>
        <w:tcBorders>
          <w:top w:val="single" w:sz="8" w:space="0" w:color="F0F0F0" w:themeColor="text1"/>
          <w:left w:val="single" w:sz="8" w:space="0" w:color="F0F0F0" w:themeColor="text1"/>
          <w:bottom w:val="single" w:sz="8" w:space="0" w:color="F0F0F0" w:themeColor="text1"/>
          <w:right w:val="single" w:sz="8" w:space="0" w:color="F0F0F0" w:themeColor="text1"/>
          <w:insideV w:val="single" w:sz="8" w:space="0" w:color="F0F0F0" w:themeColor="text1"/>
        </w:tcBorders>
        <w:shd w:val="clear" w:color="auto" w:fill="FBFBFB" w:themeFill="text1" w:themeFillTint="3F"/>
      </w:tcPr>
    </w:tblStylePr>
    <w:tblStylePr w:type="band2Horz">
      <w:tblPr/>
      <w:tcPr>
        <w:tcBorders>
          <w:top w:val="single" w:sz="8" w:space="0" w:color="F0F0F0" w:themeColor="text1"/>
          <w:left w:val="single" w:sz="8" w:space="0" w:color="F0F0F0" w:themeColor="text1"/>
          <w:bottom w:val="single" w:sz="8" w:space="0" w:color="F0F0F0" w:themeColor="text1"/>
          <w:right w:val="single" w:sz="8" w:space="0" w:color="F0F0F0" w:themeColor="text1"/>
          <w:insideV w:val="single" w:sz="8" w:space="0" w:color="F0F0F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single" w:sz="8" w:space="0" w:color="F3F3F3" w:themeColor="text1" w:themeTint="BF"/>
      </w:tblBorders>
    </w:tblPr>
    <w:tblStylePr w:type="firstRow">
      <w:pPr>
        <w:spacing w:before="0" w:after="0" w:line="240" w:lineRule="auto"/>
      </w:pPr>
      <w:rPr>
        <w:b/>
        <w:bCs/>
        <w:color w:val="000000" w:themeColor="background1"/>
      </w:rPr>
      <w:tblPr/>
      <w:tcPr>
        <w:tc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nil"/>
          <w:insideV w:val="nil"/>
        </w:tcBorders>
        <w:shd w:val="clear" w:color="auto" w:fill="F0F0F0" w:themeFill="text1"/>
      </w:tcPr>
    </w:tblStylePr>
    <w:tblStylePr w:type="lastRow">
      <w:pPr>
        <w:spacing w:before="0" w:after="0" w:line="240" w:lineRule="auto"/>
      </w:pPr>
      <w:rPr>
        <w:b/>
        <w:bCs/>
      </w:rPr>
      <w:tblPr/>
      <w:tcPr>
        <w:tcBorders>
          <w:top w:val="double" w:sz="6"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nil"/>
          <w:insideV w:val="nil"/>
        </w:tcBorders>
      </w:tcPr>
    </w:tblStylePr>
    <w:tblStylePr w:type="firstCol">
      <w:rPr>
        <w:b/>
        <w:bCs/>
      </w:rPr>
    </w:tblStylePr>
    <w:tblStylePr w:type="lastCol">
      <w:rPr>
        <w:b/>
        <w:bCs/>
      </w:rPr>
    </w:tblStylePr>
    <w:tblStylePr w:type="band1Vert">
      <w:tblPr/>
      <w:tcPr>
        <w:shd w:val="clear" w:color="auto" w:fill="FBFBFB" w:themeFill="text1" w:themeFillTint="3F"/>
      </w:tcPr>
    </w:tblStylePr>
    <w:tblStylePr w:type="band1Horz">
      <w:tblPr/>
      <w:tcPr>
        <w:tcBorders>
          <w:insideH w:val="nil"/>
          <w:insideV w:val="nil"/>
        </w:tcBorders>
        <w:shd w:val="clear" w:color="auto" w:fill="FBFBFB"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0F0F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0F0F0" w:themeFill="text1"/>
      </w:tcPr>
    </w:tblStylePr>
    <w:tblStylePr w:type="lastCol">
      <w:rPr>
        <w:b/>
        <w:bCs/>
        <w:color w:val="000000" w:themeColor="background1"/>
      </w:rPr>
      <w:tblPr/>
      <w:tcPr>
        <w:tcBorders>
          <w:left w:val="nil"/>
          <w:right w:val="nil"/>
          <w:insideH w:val="nil"/>
          <w:insideV w:val="nil"/>
        </w:tcBorders>
        <w:shd w:val="clear" w:color="auto" w:fill="F0F0F0" w:themeFill="tex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F0F0F0" w:themeColor="text1"/>
    </w:rPr>
    <w:tblPr>
      <w:tblStyleRowBandSize w:val="1"/>
      <w:tblStyleColBandSize w:val="1"/>
      <w:tblBorders>
        <w:top w:val="single" w:sz="8" w:space="0" w:color="F0F0F0" w:themeColor="text1"/>
        <w:bottom w:val="single" w:sz="8" w:space="0" w:color="F0F0F0" w:themeColor="text1"/>
      </w:tblBorders>
    </w:tblPr>
    <w:tblStylePr w:type="firstRow">
      <w:rPr>
        <w:rFonts w:asciiTheme="majorHAnsi" w:eastAsiaTheme="majorEastAsia" w:hAnsiTheme="majorHAnsi" w:cstheme="majorBidi"/>
      </w:rPr>
      <w:tblPr/>
      <w:tcPr>
        <w:tcBorders>
          <w:top w:val="nil"/>
          <w:bottom w:val="single" w:sz="8" w:space="0" w:color="F0F0F0" w:themeColor="text1"/>
        </w:tcBorders>
      </w:tcPr>
    </w:tblStylePr>
    <w:tblStylePr w:type="lastRow">
      <w:rPr>
        <w:b/>
        <w:bCs/>
        <w:color w:val="1F497D" w:themeColor="text2"/>
      </w:rPr>
      <w:tblPr/>
      <w:tcPr>
        <w:tcBorders>
          <w:top w:val="single" w:sz="8" w:space="0" w:color="F0F0F0" w:themeColor="text1"/>
          <w:bottom w:val="single" w:sz="8" w:space="0" w:color="F0F0F0" w:themeColor="text1"/>
        </w:tcBorders>
      </w:tcPr>
    </w:tblStylePr>
    <w:tblStylePr w:type="firstCol">
      <w:rPr>
        <w:b/>
        <w:bCs/>
      </w:rPr>
    </w:tblStylePr>
    <w:tblStylePr w:type="lastCol">
      <w:rPr>
        <w:b/>
        <w:bCs/>
      </w:rPr>
      <w:tblPr/>
      <w:tcPr>
        <w:tcBorders>
          <w:top w:val="single" w:sz="8" w:space="0" w:color="F0F0F0" w:themeColor="text1"/>
          <w:bottom w:val="single" w:sz="8" w:space="0" w:color="F0F0F0" w:themeColor="text1"/>
        </w:tcBorders>
      </w:tcPr>
    </w:tblStylePr>
    <w:tblStylePr w:type="band1Vert">
      <w:tblPr/>
      <w:tcPr>
        <w:shd w:val="clear" w:color="auto" w:fill="FBFBFB" w:themeFill="text1" w:themeFillTint="3F"/>
      </w:tcPr>
    </w:tblStylePr>
    <w:tblStylePr w:type="band1Horz">
      <w:tblPr/>
      <w:tcPr>
        <w:shd w:val="clear" w:color="auto" w:fill="FBFBFB" w:themeFill="text1" w:themeFillTint="3F"/>
      </w:tcPr>
    </w:tblStylePr>
  </w:style>
  <w:style w:type="table" w:styleId="Listamedia1-nfasis1">
    <w:name w:val="Medium List 1 Accent 1"/>
    <w:basedOn w:val="Tablanormal"/>
    <w:uiPriority w:val="65"/>
    <w:rsid w:val="00CB0664"/>
    <w:pPr>
      <w:spacing w:after="0" w:line="240" w:lineRule="auto"/>
    </w:pPr>
    <w:rPr>
      <w:color w:val="F0F0F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F0F0F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F0F0F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F0F0F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F0F0F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F0F0F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tblBorders>
    </w:tblPr>
    <w:tblStylePr w:type="firstRow">
      <w:rPr>
        <w:sz w:val="24"/>
        <w:szCs w:val="24"/>
      </w:rPr>
      <w:tblPr/>
      <w:tcPr>
        <w:tcBorders>
          <w:top w:val="nil"/>
          <w:left w:val="nil"/>
          <w:bottom w:val="single" w:sz="24" w:space="0" w:color="F0F0F0" w:themeColor="text1"/>
          <w:right w:val="nil"/>
          <w:insideH w:val="nil"/>
          <w:insideV w:val="nil"/>
        </w:tcBorders>
        <w:shd w:val="clear" w:color="auto" w:fill="000000" w:themeFill="background1"/>
      </w:tcPr>
    </w:tblStylePr>
    <w:tblStylePr w:type="lastRow">
      <w:tblPr/>
      <w:tcPr>
        <w:tcBorders>
          <w:top w:val="single" w:sz="8" w:space="0" w:color="F0F0F0" w:themeColor="tex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0F0F0" w:themeColor="text1"/>
          <w:insideH w:val="nil"/>
          <w:insideV w:val="nil"/>
        </w:tcBorders>
        <w:shd w:val="clear" w:color="auto" w:fill="000000" w:themeFill="background1"/>
      </w:tcPr>
    </w:tblStylePr>
    <w:tblStylePr w:type="lastCol">
      <w:tblPr/>
      <w:tcPr>
        <w:tcBorders>
          <w:top w:val="nil"/>
          <w:left w:val="single" w:sz="8" w:space="0" w:color="F0F0F0" w:themeColor="tex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BFBFB" w:themeFill="text1" w:themeFillTint="3F"/>
      </w:tcPr>
    </w:tblStylePr>
    <w:tblStylePr w:type="band1Horz">
      <w:tblPr/>
      <w:tcPr>
        <w:tcBorders>
          <w:top w:val="nil"/>
          <w:bottom w:val="nil"/>
          <w:insideH w:val="nil"/>
          <w:insideV w:val="nil"/>
        </w:tcBorders>
        <w:shd w:val="clear" w:color="auto" w:fill="FBFBFB" w:themeFill="text1"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000000" w:themeFill="background1"/>
      </w:tcPr>
    </w:tblStylePr>
    <w:tblStylePr w:type="lastRow">
      <w:tblPr/>
      <w:tcPr>
        <w:tcBorders>
          <w:top w:val="single" w:sz="8" w:space="0" w:color="4F81BD" w:themeColor="accen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F81BD" w:themeColor="accent1"/>
          <w:insideH w:val="nil"/>
          <w:insideV w:val="nil"/>
        </w:tcBorders>
        <w:shd w:val="clear" w:color="auto" w:fill="000000" w:themeFill="background1"/>
      </w:tcPr>
    </w:tblStylePr>
    <w:tblStylePr w:type="lastCol">
      <w:tblPr/>
      <w:tcPr>
        <w:tcBorders>
          <w:top w:val="nil"/>
          <w:left w:val="single" w:sz="8" w:space="0" w:color="4F81BD" w:themeColor="accen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tblPr/>
      <w:tcPr>
        <w:tcBorders>
          <w:top w:val="single" w:sz="8" w:space="0" w:color="C0504D" w:themeColor="accent2"/>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0504D" w:themeColor="accent2"/>
          <w:insideH w:val="nil"/>
          <w:insideV w:val="nil"/>
        </w:tcBorders>
        <w:shd w:val="clear" w:color="auto" w:fill="000000" w:themeFill="background1"/>
      </w:tcPr>
    </w:tblStylePr>
    <w:tblStylePr w:type="lastCol">
      <w:tblPr/>
      <w:tcPr>
        <w:tcBorders>
          <w:top w:val="nil"/>
          <w:left w:val="single" w:sz="8" w:space="0" w:color="C0504D" w:themeColor="accent2"/>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tblPr/>
      <w:tcPr>
        <w:tcBorders>
          <w:top w:val="single" w:sz="8" w:space="0" w:color="9BBB59" w:themeColor="accent3"/>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9BBB59" w:themeColor="accent3"/>
          <w:insideH w:val="nil"/>
          <w:insideV w:val="nil"/>
        </w:tcBorders>
        <w:shd w:val="clear" w:color="auto" w:fill="000000" w:themeFill="background1"/>
      </w:tcPr>
    </w:tblStylePr>
    <w:tblStylePr w:type="lastCol">
      <w:tblPr/>
      <w:tcPr>
        <w:tcBorders>
          <w:top w:val="nil"/>
          <w:left w:val="single" w:sz="8" w:space="0" w:color="9BBB59" w:themeColor="accent3"/>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tblPr/>
      <w:tcPr>
        <w:tcBorders>
          <w:top w:val="single" w:sz="8" w:space="0" w:color="8064A2" w:themeColor="accent4"/>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8064A2" w:themeColor="accent4"/>
          <w:insideH w:val="nil"/>
          <w:insideV w:val="nil"/>
        </w:tcBorders>
        <w:shd w:val="clear" w:color="auto" w:fill="000000" w:themeFill="background1"/>
      </w:tcPr>
    </w:tblStylePr>
    <w:tblStylePr w:type="lastCol">
      <w:tblPr/>
      <w:tcPr>
        <w:tcBorders>
          <w:top w:val="nil"/>
          <w:left w:val="single" w:sz="8" w:space="0" w:color="8064A2" w:themeColor="accent4"/>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tblPr/>
      <w:tcPr>
        <w:tcBorders>
          <w:top w:val="single" w:sz="8" w:space="0" w:color="4BACC6" w:themeColor="accent5"/>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BACC6" w:themeColor="accent5"/>
          <w:insideH w:val="nil"/>
          <w:insideV w:val="nil"/>
        </w:tcBorders>
        <w:shd w:val="clear" w:color="auto" w:fill="000000" w:themeFill="background1"/>
      </w:tcPr>
    </w:tblStylePr>
    <w:tblStylePr w:type="lastCol">
      <w:tblPr/>
      <w:tcPr>
        <w:tcBorders>
          <w:top w:val="nil"/>
          <w:left w:val="single" w:sz="8" w:space="0" w:color="4BACC6" w:themeColor="accent5"/>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tblPr/>
      <w:tcPr>
        <w:tcBorders>
          <w:top w:val="single" w:sz="8" w:space="0" w:color="F79646" w:themeColor="accent6"/>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79646" w:themeColor="accent6"/>
          <w:insideH w:val="nil"/>
          <w:insideV w:val="nil"/>
        </w:tcBorders>
        <w:shd w:val="clear" w:color="auto" w:fill="000000" w:themeFill="background1"/>
      </w:tcPr>
    </w:tblStylePr>
    <w:tblStylePr w:type="lastCol">
      <w:tblPr/>
      <w:tcPr>
        <w:tcBorders>
          <w:top w:val="nil"/>
          <w:left w:val="single" w:sz="8" w:space="0" w:color="F79646" w:themeColor="accent6"/>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000000"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single" w:sz="8" w:space="0" w:color="F3F3F3" w:themeColor="text1" w:themeTint="BF"/>
        <w:insideV w:val="single" w:sz="8" w:space="0" w:color="F3F3F3" w:themeColor="text1" w:themeTint="BF"/>
      </w:tblBorders>
    </w:tblPr>
    <w:tcPr>
      <w:shd w:val="clear" w:color="auto" w:fill="FBFBFB" w:themeFill="text1" w:themeFillTint="3F"/>
    </w:tcPr>
    <w:tblStylePr w:type="firstRow">
      <w:rPr>
        <w:b/>
        <w:bCs/>
      </w:rPr>
    </w:tblStylePr>
    <w:tblStylePr w:type="lastRow">
      <w:rPr>
        <w:b/>
        <w:bCs/>
      </w:rPr>
      <w:tblPr/>
      <w:tcPr>
        <w:tcBorders>
          <w:top w:val="single" w:sz="18" w:space="0" w:color="F3F3F3" w:themeColor="text1" w:themeTint="BF"/>
        </w:tcBorders>
      </w:tcPr>
    </w:tblStylePr>
    <w:tblStylePr w:type="firstCol">
      <w:rPr>
        <w:b/>
        <w:bCs/>
      </w:rPr>
    </w:tblStylePr>
    <w:tblStylePr w:type="lastCol">
      <w:rPr>
        <w:b/>
        <w:bCs/>
      </w:rPr>
    </w:tblStylePr>
    <w:tblStylePr w:type="band1Vert">
      <w:tblPr/>
      <w:tcPr>
        <w:shd w:val="clear" w:color="auto" w:fill="F7F7F7" w:themeFill="text1" w:themeFillTint="7F"/>
      </w:tcPr>
    </w:tblStylePr>
    <w:tblStylePr w:type="band1Horz">
      <w:tblPr/>
      <w:tcPr>
        <w:shd w:val="clear" w:color="auto" w:fill="F7F7F7"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insideH w:val="single" w:sz="8" w:space="0" w:color="F0F0F0" w:themeColor="text1"/>
        <w:insideV w:val="single" w:sz="8" w:space="0" w:color="F0F0F0" w:themeColor="text1"/>
      </w:tblBorders>
    </w:tblPr>
    <w:tcPr>
      <w:shd w:val="clear" w:color="auto" w:fill="FBFBFB" w:themeFill="text1" w:themeFillTint="3F"/>
    </w:tcPr>
    <w:tblStylePr w:type="firstRow">
      <w:rPr>
        <w:b/>
        <w:bCs/>
        <w:color w:val="F0F0F0" w:themeColor="text1"/>
      </w:rPr>
      <w:tblPr/>
      <w:tcPr>
        <w:shd w:val="clear" w:color="auto" w:fill="FDFDFD" w:themeFill="text1"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CFCFC" w:themeFill="text1" w:themeFillTint="33"/>
      </w:tcPr>
    </w:tblStylePr>
    <w:tblStylePr w:type="band1Vert">
      <w:tblPr/>
      <w:tcPr>
        <w:shd w:val="clear" w:color="auto" w:fill="F7F7F7" w:themeFill="text1" w:themeFillTint="7F"/>
      </w:tcPr>
    </w:tblStylePr>
    <w:tblStylePr w:type="band1Horz">
      <w:tblPr/>
      <w:tcPr>
        <w:tcBorders>
          <w:insideH w:val="single" w:sz="6" w:space="0" w:color="F0F0F0" w:themeColor="text1"/>
          <w:insideV w:val="single" w:sz="6" w:space="0" w:color="F0F0F0" w:themeColor="text1"/>
        </w:tcBorders>
        <w:shd w:val="clear" w:color="auto" w:fill="F7F7F7" w:themeFill="text1" w:themeFillTint="7F"/>
      </w:tcPr>
    </w:tblStylePr>
    <w:tblStylePr w:type="nwCell">
      <w:tblPr/>
      <w:tcPr>
        <w:shd w:val="clear" w:color="auto" w:fill="000000"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F0F0F0" w:themeColor="text1"/>
      </w:rPr>
      <w:tblPr/>
      <w:tcPr>
        <w:shd w:val="clear" w:color="auto" w:fill="EDF2F8" w:themeFill="accent1"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000000"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F0F0F0" w:themeColor="text1"/>
      </w:rPr>
      <w:tblPr/>
      <w:tcPr>
        <w:shd w:val="clear" w:color="auto" w:fill="F8EDED" w:themeFill="accent2"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000000"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F0F0F0" w:themeColor="text1"/>
      </w:rPr>
      <w:tblPr/>
      <w:tcPr>
        <w:shd w:val="clear" w:color="auto" w:fill="F5F8EE" w:themeFill="accent3"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000000"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F0F0F0" w:themeColor="text1"/>
      </w:rPr>
      <w:tblPr/>
      <w:tcPr>
        <w:shd w:val="clear" w:color="auto" w:fill="F2EFF6" w:themeFill="accent4"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000000"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F0F0F0" w:themeColor="text1"/>
      </w:rPr>
      <w:tblPr/>
      <w:tcPr>
        <w:shd w:val="clear" w:color="auto" w:fill="EDF6F9" w:themeFill="accent5"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000000"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F0F0F0" w:themeColor="text1"/>
      </w:rPr>
      <w:tblPr/>
      <w:tcPr>
        <w:shd w:val="clear" w:color="auto" w:fill="FEF4EC" w:themeFill="accent6"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000000"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BFBFB" w:themeFill="tex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0F0F0" w:themeFill="tex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0F0F0" w:themeFill="tex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0F0F0" w:themeFill="tex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0F0F0"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7F7F7" w:themeFill="tex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7F7F7"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3DFEE" w:themeFill="accen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F81BD" w:themeFill="accen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7BFDE" w:themeFill="accen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FD3D2" w:themeFill="accent2"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0504D" w:themeFill="accent2"/>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DFA7A6" w:themeFill="accent2"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6EED5" w:themeFill="accent3"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9BBB59" w:themeFill="accent3"/>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CDDDAC" w:themeFill="accent3"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FD8E8" w:themeFill="accent4"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8064A2" w:themeFill="accent4"/>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BFB1D0" w:themeFill="accent4"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2EAF1" w:themeFill="accent5"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BACC6" w:themeFill="accent5"/>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5D5E2" w:themeFill="accent5"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DE4D0" w:themeFill="accent6"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79646" w:themeFill="accent6"/>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BCAA2" w:themeFill="accent6"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000000" w:themeColor="background1"/>
    </w:rPr>
    <w:tblPr>
      <w:tblStyleRowBandSize w:val="1"/>
      <w:tblStyleColBandSize w:val="1"/>
    </w:tblPr>
    <w:tcPr>
      <w:shd w:val="clear" w:color="auto" w:fill="F0F0F0" w:themeFill="text1"/>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777777"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B3B3B3"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B3B3B3" w:themeFill="text1" w:themeFillShade="BF"/>
      </w:tcPr>
    </w:tblStylePr>
    <w:tblStylePr w:type="band1Vert">
      <w:tblPr/>
      <w:tcPr>
        <w:tcBorders>
          <w:top w:val="nil"/>
          <w:left w:val="nil"/>
          <w:bottom w:val="nil"/>
          <w:right w:val="nil"/>
          <w:insideH w:val="nil"/>
          <w:insideV w:val="nil"/>
        </w:tcBorders>
        <w:shd w:val="clear" w:color="auto" w:fill="B3B3B3" w:themeFill="text1" w:themeFillShade="BF"/>
      </w:tcPr>
    </w:tblStylePr>
    <w:tblStylePr w:type="band1Horz">
      <w:tblPr/>
      <w:tcPr>
        <w:tcBorders>
          <w:top w:val="nil"/>
          <w:left w:val="nil"/>
          <w:bottom w:val="nil"/>
          <w:right w:val="nil"/>
          <w:insideH w:val="nil"/>
          <w:insideV w:val="nil"/>
        </w:tcBorders>
        <w:shd w:val="clear" w:color="auto" w:fill="B3B3B3" w:themeFill="text1" w:themeFillShade="BF"/>
      </w:tcPr>
    </w:tblStylePr>
  </w:style>
  <w:style w:type="table" w:styleId="Listaoscura-nfasis1">
    <w:name w:val="Dark List Accent 1"/>
    <w:basedOn w:val="Tabla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themeColor="background1"/>
          <w:insideH w:val="nil"/>
          <w:insideV w:val="nil"/>
        </w:tcBorders>
        <w:shd w:val="clear" w:color="auto" w:fill="365F91" w:themeFill="accent1" w:themeFillShade="BF"/>
      </w:tcPr>
    </w:tblStylePr>
    <w:tblStylePr w:type="lastCol">
      <w:tblPr/>
      <w:tcPr>
        <w:tcBorders>
          <w:top w:val="nil"/>
          <w:left w:val="single" w:sz="18" w:space="0" w:color="000000"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themeColor="background1"/>
          <w:insideH w:val="nil"/>
          <w:insideV w:val="nil"/>
        </w:tcBorders>
        <w:shd w:val="clear" w:color="auto" w:fill="943634" w:themeFill="accent2" w:themeFillShade="BF"/>
      </w:tcPr>
    </w:tblStylePr>
    <w:tblStylePr w:type="lastCol">
      <w:tblPr/>
      <w:tcPr>
        <w:tcBorders>
          <w:top w:val="nil"/>
          <w:left w:val="single" w:sz="18" w:space="0" w:color="000000"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themeColor="background1"/>
          <w:insideH w:val="nil"/>
          <w:insideV w:val="nil"/>
        </w:tcBorders>
        <w:shd w:val="clear" w:color="auto" w:fill="76923C" w:themeFill="accent3" w:themeFillShade="BF"/>
      </w:tcPr>
    </w:tblStylePr>
    <w:tblStylePr w:type="lastCol">
      <w:tblPr/>
      <w:tcPr>
        <w:tcBorders>
          <w:top w:val="nil"/>
          <w:left w:val="single" w:sz="18" w:space="0" w:color="000000"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themeColor="background1"/>
          <w:insideH w:val="nil"/>
          <w:insideV w:val="nil"/>
        </w:tcBorders>
        <w:shd w:val="clear" w:color="auto" w:fill="5F497A" w:themeFill="accent4" w:themeFillShade="BF"/>
      </w:tcPr>
    </w:tblStylePr>
    <w:tblStylePr w:type="lastCol">
      <w:tblPr/>
      <w:tcPr>
        <w:tcBorders>
          <w:top w:val="nil"/>
          <w:left w:val="single" w:sz="18" w:space="0" w:color="000000"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themeColor="background1"/>
          <w:insideH w:val="nil"/>
          <w:insideV w:val="nil"/>
        </w:tcBorders>
        <w:shd w:val="clear" w:color="auto" w:fill="31849B" w:themeFill="accent5" w:themeFillShade="BF"/>
      </w:tcPr>
    </w:tblStylePr>
    <w:tblStylePr w:type="lastCol">
      <w:tblPr/>
      <w:tcPr>
        <w:tcBorders>
          <w:top w:val="nil"/>
          <w:left w:val="single" w:sz="18" w:space="0" w:color="000000"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themeColor="background1"/>
          <w:insideH w:val="nil"/>
          <w:insideV w:val="nil"/>
        </w:tcBorders>
        <w:shd w:val="clear" w:color="auto" w:fill="E36C0A" w:themeFill="accent6" w:themeFillShade="BF"/>
      </w:tcPr>
    </w:tblStylePr>
    <w:tblStylePr w:type="lastCol">
      <w:tblPr/>
      <w:tcPr>
        <w:tcBorders>
          <w:top w:val="nil"/>
          <w:left w:val="single" w:sz="18" w:space="0" w:color="000000"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F0F0F0" w:themeColor="text1"/>
        <w:bottom w:val="single" w:sz="4" w:space="0" w:color="F0F0F0" w:themeColor="text1"/>
        <w:right w:val="single" w:sz="4" w:space="0" w:color="F0F0F0" w:themeColor="text1"/>
        <w:insideH w:val="single" w:sz="4" w:space="0" w:color="000000" w:themeColor="background1"/>
        <w:insideV w:val="single" w:sz="4" w:space="0" w:color="000000" w:themeColor="background1"/>
      </w:tblBorders>
    </w:tblPr>
    <w:tcPr>
      <w:shd w:val="clear" w:color="auto" w:fill="FDFDFD"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909090" w:themeFill="text1" w:themeFillShade="99"/>
      </w:tcPr>
    </w:tblStylePr>
    <w:tblStylePr w:type="firstCol">
      <w:rPr>
        <w:color w:val="000000" w:themeColor="background1"/>
      </w:rPr>
      <w:tblPr/>
      <w:tcPr>
        <w:tcBorders>
          <w:top w:val="nil"/>
          <w:left w:val="nil"/>
          <w:bottom w:val="nil"/>
          <w:right w:val="nil"/>
          <w:insideH w:val="single" w:sz="4" w:space="0" w:color="909090" w:themeColor="text1" w:themeShade="99"/>
          <w:insideV w:val="nil"/>
        </w:tcBorders>
        <w:shd w:val="clear" w:color="auto" w:fill="909090"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B3B3B3" w:themeFill="text1" w:themeFillShade="BF"/>
      </w:tcPr>
    </w:tblStylePr>
    <w:tblStylePr w:type="band1Vert">
      <w:tblPr/>
      <w:tcPr>
        <w:shd w:val="clear" w:color="auto" w:fill="F9F9F9" w:themeFill="text1" w:themeFillTint="66"/>
      </w:tcPr>
    </w:tblStylePr>
    <w:tblStylePr w:type="band1Horz">
      <w:tblPr/>
      <w:tcPr>
        <w:shd w:val="clear" w:color="auto" w:fill="F7F7F7" w:themeFill="text1" w:themeFillTint="7F"/>
      </w:tcPr>
    </w:tblStylePr>
    <w:tblStylePr w:type="neCell">
      <w:rPr>
        <w:color w:val="F0F0F0" w:themeColor="text1"/>
      </w:rPr>
    </w:tblStylePr>
    <w:tblStylePr w:type="nwCell">
      <w:rPr>
        <w:color w:val="F0F0F0" w:themeColor="text1"/>
      </w:rPr>
    </w:tblStylePr>
  </w:style>
  <w:style w:type="table" w:styleId="Sombreadovistoso-nfasis1">
    <w:name w:val="Colorful Shading Accent 1"/>
    <w:basedOn w:val="Tabla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000000" w:themeColor="background1"/>
        <w:insideV w:val="single" w:sz="4" w:space="0" w:color="000000"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F0F0F0" w:themeColor="text1"/>
      </w:rPr>
    </w:tblStylePr>
    <w:tblStylePr w:type="nwCell">
      <w:rPr>
        <w:color w:val="F0F0F0" w:themeColor="text1"/>
      </w:rPr>
    </w:tblStylePr>
  </w:style>
  <w:style w:type="table" w:styleId="Sombreadovistoso-nfasis2">
    <w:name w:val="Colorful Shading Accent 2"/>
    <w:basedOn w:val="Tabla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000000" w:themeColor="background1"/>
        <w:insideV w:val="single" w:sz="4" w:space="0" w:color="000000"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F0F0F0" w:themeColor="text1"/>
      </w:rPr>
    </w:tblStylePr>
    <w:tblStylePr w:type="nwCell">
      <w:rPr>
        <w:color w:val="F0F0F0" w:themeColor="text1"/>
      </w:rPr>
    </w:tblStylePr>
  </w:style>
  <w:style w:type="table" w:styleId="Sombreadovistoso-nfasis3">
    <w:name w:val="Colorful Shading Accent 3"/>
    <w:basedOn w:val="Tablanormal"/>
    <w:uiPriority w:val="71"/>
    <w:rsid w:val="00CB0664"/>
    <w:pPr>
      <w:spacing w:after="0" w:line="240" w:lineRule="auto"/>
    </w:pPr>
    <w:rPr>
      <w:color w:val="F0F0F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000000" w:themeColor="background1"/>
        <w:insideV w:val="single" w:sz="4" w:space="0" w:color="000000"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F0F0F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000000" w:themeColor="background1"/>
        <w:insideV w:val="single" w:sz="4" w:space="0" w:color="000000"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F0F0F0" w:themeColor="text1"/>
      </w:rPr>
    </w:tblStylePr>
    <w:tblStylePr w:type="nwCell">
      <w:rPr>
        <w:color w:val="F0F0F0" w:themeColor="text1"/>
      </w:rPr>
    </w:tblStylePr>
  </w:style>
  <w:style w:type="table" w:styleId="Sombreadovistoso-nfasis5">
    <w:name w:val="Colorful Shading Accent 5"/>
    <w:basedOn w:val="Tablanormal"/>
    <w:uiPriority w:val="71"/>
    <w:rsid w:val="00CB0664"/>
    <w:pPr>
      <w:spacing w:after="0" w:line="240" w:lineRule="auto"/>
    </w:pPr>
    <w:rPr>
      <w:color w:val="F0F0F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000000" w:themeColor="background1"/>
        <w:insideV w:val="single" w:sz="4" w:space="0" w:color="000000"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F0F0F0" w:themeColor="text1"/>
      </w:rPr>
    </w:tblStylePr>
    <w:tblStylePr w:type="nwCell">
      <w:rPr>
        <w:color w:val="F0F0F0" w:themeColor="text1"/>
      </w:rPr>
    </w:tblStylePr>
  </w:style>
  <w:style w:type="table" w:styleId="Sombreadovistoso-nfasis6">
    <w:name w:val="Colorful Shading Accent 6"/>
    <w:basedOn w:val="Tablanormal"/>
    <w:uiPriority w:val="71"/>
    <w:rsid w:val="00CB0664"/>
    <w:pPr>
      <w:spacing w:after="0" w:line="240" w:lineRule="auto"/>
    </w:pPr>
    <w:rPr>
      <w:color w:val="F0F0F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000000" w:themeColor="background1"/>
        <w:insideV w:val="single" w:sz="4" w:space="0" w:color="000000"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F0F0F0" w:themeColor="text1"/>
      </w:rPr>
    </w:tblStylePr>
    <w:tblStylePr w:type="nwCell">
      <w:rPr>
        <w:color w:val="F0F0F0" w:themeColor="text1"/>
      </w:rPr>
    </w:tblStylePr>
  </w:style>
  <w:style w:type="table" w:styleId="Listavistosa">
    <w:name w:val="Colorful List"/>
    <w:basedOn w:val="Tablanormal"/>
    <w:uiPriority w:val="72"/>
    <w:rsid w:val="00CB0664"/>
    <w:pPr>
      <w:spacing w:after="0" w:line="240" w:lineRule="auto"/>
    </w:pPr>
    <w:rPr>
      <w:color w:val="F0F0F0" w:themeColor="text1"/>
    </w:rPr>
    <w:tblPr>
      <w:tblStyleRowBandSize w:val="1"/>
      <w:tblStyleColBandSize w:val="1"/>
    </w:tblPr>
    <w:tcPr>
      <w:shd w:val="clear" w:color="auto" w:fill="FDFDFD" w:themeFill="tex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BFB" w:themeFill="text1" w:themeFillTint="3F"/>
      </w:tcPr>
    </w:tblStylePr>
    <w:tblStylePr w:type="band1Horz">
      <w:tblPr/>
      <w:tcPr>
        <w:shd w:val="clear" w:color="auto" w:fill="FCFCFC" w:themeFill="text1" w:themeFillTint="33"/>
      </w:tcPr>
    </w:tblStylePr>
  </w:style>
  <w:style w:type="table" w:styleId="Listavistosa-nfasis1">
    <w:name w:val="Colorful List Accent 1"/>
    <w:basedOn w:val="Tablanormal"/>
    <w:uiPriority w:val="72"/>
    <w:rsid w:val="00CB0664"/>
    <w:pPr>
      <w:spacing w:after="0" w:line="240" w:lineRule="auto"/>
    </w:pPr>
    <w:rPr>
      <w:color w:val="F0F0F0"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F0F0F0"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F0F0F0"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sz="12" w:space="0" w:color="000000"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F0F0F0"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sz="12" w:space="0" w:color="000000"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F0F0F0"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sz="12" w:space="0" w:color="000000"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F0F0F0"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sz="12" w:space="0" w:color="000000"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CFCFC" w:themeFill="text1" w:themeFillTint="33"/>
    </w:tcPr>
    <w:tblStylePr w:type="firstRow">
      <w:rPr>
        <w:b/>
        <w:bCs/>
      </w:rPr>
      <w:tblPr/>
      <w:tcPr>
        <w:shd w:val="clear" w:color="auto" w:fill="F9F9F9" w:themeFill="text1" w:themeFillTint="66"/>
      </w:tcPr>
    </w:tblStylePr>
    <w:tblStylePr w:type="lastRow">
      <w:rPr>
        <w:b/>
        <w:bCs/>
        <w:color w:val="F0F0F0" w:themeColor="text1"/>
      </w:rPr>
      <w:tblPr/>
      <w:tcPr>
        <w:shd w:val="clear" w:color="auto" w:fill="F9F9F9" w:themeFill="text1" w:themeFillTint="66"/>
      </w:tcPr>
    </w:tblStylePr>
    <w:tblStylePr w:type="firstCol">
      <w:rPr>
        <w:color w:val="000000" w:themeColor="background1"/>
      </w:rPr>
      <w:tblPr/>
      <w:tcPr>
        <w:shd w:val="clear" w:color="auto" w:fill="B3B3B3" w:themeFill="text1" w:themeFillShade="BF"/>
      </w:tcPr>
    </w:tblStylePr>
    <w:tblStylePr w:type="lastCol">
      <w:rPr>
        <w:color w:val="000000" w:themeColor="background1"/>
      </w:rPr>
      <w:tblPr/>
      <w:tcPr>
        <w:shd w:val="clear" w:color="auto" w:fill="B3B3B3" w:themeFill="text1" w:themeFillShade="BF"/>
      </w:tcPr>
    </w:tblStylePr>
    <w:tblStylePr w:type="band1Vert">
      <w:tblPr/>
      <w:tcPr>
        <w:shd w:val="clear" w:color="auto" w:fill="F7F7F7" w:themeFill="text1" w:themeFillTint="7F"/>
      </w:tcPr>
    </w:tblStylePr>
    <w:tblStylePr w:type="band1Horz">
      <w:tblPr/>
      <w:tcPr>
        <w:shd w:val="clear" w:color="auto" w:fill="F7F7F7" w:themeFill="text1" w:themeFillTint="7F"/>
      </w:tcPr>
    </w:tblStylePr>
  </w:style>
  <w:style w:type="table" w:styleId="Cuadrculavistosa-nfasis1">
    <w:name w:val="Colorful Grid Accent 1"/>
    <w:basedOn w:val="Tabla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F0F0F0"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F0F0F0"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F0F0F0"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F0F0F0"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F0F0F0"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F0F0F0"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6D2083"/>
    <w:rPr>
      <w:color w:val="0000FF" w:themeColor="hyperlink"/>
      <w:u w:val="single"/>
    </w:rPr>
  </w:style>
  <w:style w:type="character" w:styleId="Mencinsinresolver">
    <w:name w:val="Unresolved Mention"/>
    <w:basedOn w:val="Fuentedeprrafopredeter"/>
    <w:uiPriority w:val="99"/>
    <w:semiHidden/>
    <w:unhideWhenUsed/>
    <w:rsid w:val="006D20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FontTable" Type="http://schemas.openxmlformats.org/officeDocument/2006/relationships/fontTable" Target="fontTable.xml"/>
  <Relationship Id="rIdTheme" Type="http://schemas.openxmlformats.org/officeDocument/2006/relationships/theme" Target="theme/theme1.xml"/>
  <Relationship Id="rIdWebSettings" Type="http://schemas.openxmlformats.org/officeDocument/2006/relationships/webSettings" Target="webSettings.xml"/>
  <Relationship Id="rIdLogo1" Type="http://schemas.openxmlformats.org/officeDocument/2006/relationships/image" Target="media/logo1.png"/>
  <Relationship Id="rIdLogo2" Type="http://schemas.openxmlformats.org/officeDocument/2006/relationships/image" Target="media/logo2.png"/>
</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1</Pages>
  <Words>1154</Words>
  <Characters>6347</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S05 LP2 SITRA ORO</vt:lpstr>
      <vt:lpstr/>
    </vt:vector>
  </TitlesOfParts>
  <Manager/>
  <Company/>
  <LinksUpToDate>false</LinksUpToDate>
  <CharactersWithSpaces>7487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S05 LP2 SITRA ORO</dc:title>
  <dc:subject/>
  <dc:creator>Faijo Calisaya Helio Paul</dc:creator>
  <cp:keywords/>
  <dc:description>generated by python-docx</dc:description>
  <cp:lastModifiedBy>HELIO PAUL FAIJO CALISAYA</cp:lastModifiedBy>
  <cp:revision>3</cp:revision>
  <cp:lastPrinted>2026-09-13T14:53:00Z</cp:lastPrinted>
  <dcterms:created xsi:type="dcterms:W3CDTF">2013-12-23T23:15:00Z</dcterms:created>
  <dcterms:modified xsi:type="dcterms:W3CDTF">2026-09-13T15:03:00Z</dcterms:modified>
  <cp:category/>
</cp:coreProperties>
</file>