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pPr>
      <w:r>
        <w:rPr>
          <w:rFonts w:ascii="Aptos" w:hAnsi="Aptos"/>
          <w:b/>
          <w:color w:val="B58532"/>
          <w:sz w:val="18"/>
        </w:rPr>
        <w:t>CUSTOMER ENABLEMENT PACK</w:t>
      </w:r>
    </w:p>
    <w:p>
      <w:pPr>
        <w:spacing w:before="0" w:after="100"/>
      </w:pPr>
      <w:r>
        <w:rPr>
          <w:rFonts w:ascii="Aptos Display" w:hAnsi="Aptos Display"/>
          <w:b/>
          <w:color w:val="17365D"/>
          <w:sz w:val="50"/>
        </w:rPr>
        <w:t>HRMS client onboarding checklist</w:t>
      </w:r>
    </w:p>
    <w:p>
      <w:pPr>
        <w:spacing w:before="0" w:after="280"/>
      </w:pPr>
      <w:r>
        <w:rPr>
          <w:rFonts w:ascii="Aptos" w:hAnsi="Aptos"/>
          <w:color w:val="5B6573"/>
          <w:sz w:val="23"/>
        </w:rPr>
        <w:t>A reusable intake and configuration checklist for setting up a new client organization.</w:t>
      </w:r>
    </w:p>
    <w:tbl>
      <w:tblPr>
        <w:tblStyle w:val="TableGrid"/>
        <w:tblW w:type="dxa" w:w="9360"/>
        <w:tblLayout w:type="fixed"/>
        <w:tblLook w:firstColumn="1" w:firstRow="1" w:lastColumn="0" w:lastRow="0" w:noHBand="0" w:noVBand="1" w:val="04A0"/>
        <w:tblInd w:w="120" w:type="dxa"/>
      </w:tblPr>
      <w:tblGrid>
        <w:gridCol w:w="1720"/>
        <w:gridCol w:w="7640"/>
      </w:tblGrid>
      <w:tr>
        <w:tc>
          <w:tcPr>
            <w:tcW w:type="dxa" w:w="172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7"/>
              </w:rPr>
              <w:t>Client organization</w:t>
            </w:r>
          </w:p>
        </w:tc>
        <w:tc>
          <w:tcPr>
            <w:tcW w:type="dxa" w:w="764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color w:val="1F2933"/>
                <w:sz w:val="17"/>
              </w:rPr>
              <w:t>____________________________________________</w:t>
            </w:r>
          </w:p>
        </w:tc>
      </w:tr>
      <w:tr>
        <w:tc>
          <w:tcPr>
            <w:tcW w:type="dxa" w:w="172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7"/>
              </w:rPr>
              <w:t>Implementation owner</w:t>
            </w:r>
          </w:p>
        </w:tc>
        <w:tc>
          <w:tcPr>
            <w:tcW w:type="dxa" w:w="764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color w:val="1F2933"/>
                <w:sz w:val="17"/>
              </w:rPr>
              <w:t>____________________________________________</w:t>
            </w:r>
          </w:p>
        </w:tc>
      </w:tr>
      <w:tr>
        <w:tc>
          <w:tcPr>
            <w:tcW w:type="dxa" w:w="172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7"/>
              </w:rPr>
              <w:t>Target go-live date</w:t>
            </w:r>
          </w:p>
        </w:tc>
        <w:tc>
          <w:tcPr>
            <w:tcW w:type="dxa" w:w="764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color w:val="1F2933"/>
                <w:sz w:val="17"/>
              </w:rPr>
              <w:t>____________________________________________</w:t>
            </w:r>
          </w:p>
        </w:tc>
      </w:tr>
      <w:tr>
        <w:tc>
          <w:tcPr>
            <w:tcW w:type="dxa" w:w="172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7"/>
              </w:rPr>
              <w:t>Document version</w:t>
            </w:r>
          </w:p>
        </w:tc>
        <w:tc>
          <w:tcPr>
            <w:tcW w:type="dxa" w:w="764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color w:val="1F2933"/>
                <w:sz w:val="17"/>
              </w:rPr>
              <w:t>1.0 | Prepared 04 September 2026</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shd w:fill="FBF4E7"/>
            <w:tcMar>
              <w:top w:w="80" w:type="dxa"/>
              <w:start w:w="110" w:type="dxa"/>
              <w:bottom w:w="80" w:type="dxa"/>
              <w:end w:w="110" w:type="dxa"/>
            </w:tcMar>
            <w:tcBorders>
              <w:top w:val="single" w:sz="6" w:space="0" w:color="E5D2A7"/>
              <w:left w:val="single" w:sz="6" w:space="0" w:color="E5D2A7"/>
              <w:bottom w:val="single" w:sz="6" w:space="0" w:color="E5D2A7"/>
              <w:right w:val="single" w:sz="6" w:space="0" w:color="E5D2A7"/>
            </w:tcBorders>
            <w:vAlign w:val="center"/>
          </w:tcPr>
          <w:p>
            <w:pPr>
              <w:spacing w:after="0"/>
            </w:pPr>
            <w:r>
              <w:rPr>
                <w:rFonts w:ascii="Aptos" w:hAnsi="Aptos"/>
                <w:b/>
                <w:color w:val="17365D"/>
                <w:sz w:val="18"/>
              </w:rPr>
              <w:t xml:space="preserve">How to use this checklist: </w:t>
            </w:r>
            <w:r>
              <w:rPr>
                <w:rFonts w:ascii="Aptos" w:hAnsi="Aptos"/>
                <w:color w:val="1F2933"/>
                <w:sz w:val="18"/>
              </w:rPr>
              <w:t>For every row, record the agreed decision, attach or reference the supporting file, and set the status to Open, In progress, Complete, or Not applicable. Treat payroll, statutory, and bank data as restricted data and exchange it only through the approved secure channel.</w:t>
            </w:r>
          </w:p>
        </w:tc>
      </w:tr>
    </w:tbl>
    <w:p>
      <w:pPr>
        <w:spacing w:after="20"/>
      </w:pPr>
    </w:p>
    <w:p>
      <w:pPr>
        <w:pStyle w:val="Heading1"/>
        <w:keepNext/>
      </w:pPr>
      <w:r>
        <w:t>1. Engagement and organization profile</w:t>
      </w:r>
    </w:p>
    <w:p>
      <w:pPr>
        <w:keepNext/>
        <w:spacing w:before="0" w:after="100"/>
      </w:pPr>
      <w:r>
        <w:rPr>
          <w:rFonts w:ascii="Aptos" w:hAnsi="Aptos"/>
          <w:i/>
          <w:color w:val="5B6573"/>
          <w:sz w:val="18"/>
        </w:rPr>
        <w:t>Establish the client context and a single accountable contact path before configuration begins.</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Primary contacts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Name, role, email/phone, and decision authority for HR, payroll, finance, IT, and the executive sponsor.</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 contact list</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Legal and operating profile</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Legal entity name, registered address, work locations, time zone, financial year, and language requirements.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 incorporation or profile document</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Implementation scope</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Modules in scope now, phased modules, target go-live date, success criteria, and exclusions.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 HRMS / signed scope</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Data migration boundary</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Historic data to migrate, cut-off date, source owner, data format, data quality issues, and retention requirements.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 migration workbook</w:t>
            </w:r>
          </w:p>
        </w:tc>
      </w:tr>
    </w:tbl>
    <w:p>
      <w:pPr>
        <w:spacing w:after="20"/>
      </w:pPr>
    </w:p>
    <w:p>
      <w:pPr>
        <w:pStyle w:val="Heading1"/>
        <w:keepNext/>
      </w:pPr>
      <w:r>
        <w:t>2. Organization structure and access</w:t>
      </w:r>
    </w:p>
    <w:p>
      <w:pPr>
        <w:keepNext/>
        <w:spacing w:before="0" w:after="100"/>
      </w:pPr>
      <w:r>
        <w:rPr>
          <w:rFonts w:ascii="Aptos" w:hAnsi="Aptos"/>
          <w:i/>
          <w:color w:val="5B6573"/>
          <w:sz w:val="18"/>
        </w:rPr>
        <w:t>Configure access from approved responsibilities, not informal job titles.</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Departments and cost centers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Department hierarchy, department codes, cost centers, locations, and effective dates.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approved org chart</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Designations and grades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Designation title, level/grade, department mapping, and effective date for each designation.</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designation master</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Reporting structure</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Reporting manager for each employee; identify matrix managers and any exceptions.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reporting matrix</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Roles and permissions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Named HRMS administrators, HR, managers, payroll, finance, and employee roles; approve the minimum required access.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sponsor / access matrix</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Authentication approach</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Username convention, optional email policy, mobile/unique-name rules, temporary credential owner, and first-login change process.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IT + HR / approved access process</w:t>
            </w:r>
          </w:p>
        </w:tc>
      </w:tr>
    </w:tbl>
    <w:p>
      <w:pPr>
        <w:spacing w:after="20"/>
      </w:pPr>
    </w:p>
    <w:p>
      <w:pPr>
        <w:pStyle w:val="Heading1"/>
        <w:keepNext/>
      </w:pPr>
      <w:r>
        <w:t>3. Employee master data and opening position</w:t>
      </w:r>
    </w:p>
    <w:p>
      <w:pPr>
        <w:keepNext/>
        <w:spacing w:before="0" w:after="100"/>
      </w:pPr>
      <w:r>
        <w:rPr>
          <w:rFonts w:ascii="Aptos" w:hAnsi="Aptos"/>
          <w:i/>
          <w:color w:val="5B6573"/>
          <w:sz w:val="18"/>
        </w:rPr>
        <w:t>Do not calculate or infer remaining leave. Import the client-approved opening balance and record its as-of date.</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Employee master file</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Employee code, name, username, work email if available, mobile, joining date, employment type, location, department, designation, manager, and status.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validated import workbook</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Employment details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Probation, notice period, employment contract type, work location, shift/roster eligibility, and separation status where applicable.</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employee records</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Identity and statutory data</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Only fields required for payroll/statutory processing, with consent, masking rules, and secure transfer method.</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payroll / restricted secure file</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Opening leave balances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For every employee and leave type: current entitlement, used, pending, carried forward, remaining balance, and as-of date.</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signed leave balance report</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Opening attendance exceptions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Existing approved leave, attendance regularizations, comp-offs, and planned absences around go-live.</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cut-over register</w:t>
            </w:r>
          </w:p>
        </w:tc>
      </w:tr>
    </w:tbl>
    <w:p>
      <w:pPr>
        <w:spacing w:after="20"/>
      </w:pPr>
    </w:p>
    <w:p>
      <w:pPr>
        <w:pStyle w:val="Heading1"/>
        <w:keepNext/>
      </w:pPr>
      <w:r>
        <w:t>4. Leave types, holidays, and attendance</w:t>
      </w:r>
    </w:p>
    <w:p>
      <w:pPr>
        <w:keepNext/>
        <w:spacing w:before="0" w:after="100"/>
      </w:pPr>
      <w:r>
        <w:rPr>
          <w:rFonts w:ascii="Aptos" w:hAnsi="Aptos"/>
          <w:i/>
          <w:color w:val="5B6573"/>
          <w:sz w:val="18"/>
        </w:rPr>
        <w:t>These settings affect leave balances, attendance status, payroll inputs, and employee-facing calendars.</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Leave type catalogue</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Leave type name/code, paid or unpaid, eligibility, annual entitlement, accrual method, minimum/maximum request limits, and documentation requirement.</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leave policy</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Leave policies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One approved policy per leave type, including carry-forward, encashment, lapse, probation rules, proration, and approval chain.</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policy approval</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Holiday calendar</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Calendar name, applicable location/team, holiday date, holiday name, holiday type, optional/floating holiday rules, and yearly owner.</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official holiday list</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Work week and weekly offs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Standard working days, weekly-off pattern, location/team exceptions, and effective dates.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attendance policy</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Shift, roster, and punch rules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Shift names/times, grace period, break policy, night-shift treatment, punch source, regularization rules, and attendance lock/cut-off.</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operations / attendance rulebook</w:t>
            </w:r>
          </w:p>
        </w:tc>
      </w:tr>
    </w:tbl>
    <w:p>
      <w:pPr>
        <w:spacing w:after="20"/>
      </w:pPr>
    </w:p>
    <w:p>
      <w:pPr>
        <w:pStyle w:val="Heading1"/>
        <w:keepNext/>
      </w:pPr>
      <w:r>
        <w:t>5. Policies, approvals, and employee experience</w:t>
      </w:r>
    </w:p>
    <w:p>
      <w:pPr>
        <w:keepNext/>
        <w:spacing w:before="0" w:after="100"/>
      </w:pPr>
      <w:r>
        <w:rPr>
          <w:rFonts w:ascii="Aptos" w:hAnsi="Aptos"/>
          <w:i/>
          <w:color w:val="5B6573"/>
          <w:sz w:val="18"/>
        </w:rPr>
        <w:t>Make each workflow explicit before users are enabled; do not rely on shared mailbox or verbal approvals.</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Policy pack</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Approved leave, attendance, conduct, remote work, travel, expense, reimbursement, asset, and grievance policies.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policy documents</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Approval workflows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Approver by request type, fallback approver, escalation path, SLA, and authority limits for leave, attendance, expenses, travel, and claims.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finance / workflow matrix</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Expense and travel rules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Expense categories, limits, receipt requirement, mileage/per diem rules, advance process, reimbursement cycle, and eligible population.</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finance / expense policy</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Benefits and compensation scope</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Benefits offered, eligibility, enrolment rules, compensation bands if used, and whether each item is in scope for this phase.</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payroll / benefits summary</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Employee communications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Welcome message, onboarding tasks, employee handbook acknowledgement, help desk path, and language/branding requirements.</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approved communication</w:t>
            </w:r>
          </w:p>
        </w:tc>
      </w:tr>
    </w:tbl>
    <w:p>
      <w:pPr>
        <w:spacing w:after="20"/>
      </w:pPr>
    </w:p>
    <w:p>
      <w:pPr>
        <w:pStyle w:val="Heading1"/>
        <w:keepNext/>
      </w:pPr>
      <w:r>
        <w:t>6. Assets, documents, payroll, and cut-over</w:t>
      </w:r>
    </w:p>
    <w:p>
      <w:pPr>
        <w:keepNext/>
        <w:spacing w:before="0" w:after="100"/>
      </w:pPr>
      <w:r>
        <w:rPr>
          <w:rFonts w:ascii="Aptos" w:hAnsi="Aptos"/>
          <w:i/>
          <w:color w:val="5B6573"/>
          <w:sz w:val="18"/>
        </w:rPr>
        <w:t>Protect confidential payroll and identity data; collect only what is required for the agreed launch scope.</w:t>
      </w:r>
    </w:p>
    <w:tbl>
      <w:tblPr>
        <w:tblStyle w:val="TableGrid"/>
        <w:tblW w:type="dxa" w:w="9360"/>
        <w:tblLayout w:type="fixed"/>
        <w:tblLook w:firstColumn="1" w:firstRow="1" w:lastColumn="0" w:lastRow="0" w:noHBand="0" w:noVBand="1" w:val="04A0"/>
        <w:tblInd w:w="120" w:type="dxa"/>
      </w:tblPr>
      <w:tblGrid>
        <w:gridCol w:w="1150"/>
        <w:gridCol w:w="2420"/>
        <w:gridCol w:w="4010"/>
        <w:gridCol w:w="1780"/>
      </w:tblGrid>
      <w:tr>
        <w:trPr>
          <w:tblHeader w:val="true"/>
        </w:trPr>
        <w:tc>
          <w:tcPr>
            <w:tcW w:type="dxa" w:w="115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center"/>
            </w:pPr>
            <w:r>
              <w:rPr>
                <w:rFonts w:ascii="Aptos" w:hAnsi="Aptos"/>
                <w:b/>
                <w:color w:val="FFFFFF"/>
                <w:sz w:val="16"/>
              </w:rPr>
              <w:t>Status</w:t>
            </w:r>
          </w:p>
        </w:tc>
        <w:tc>
          <w:tcPr>
            <w:tcW w:type="dxa" w:w="242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Requirement / decision</w:t>
            </w:r>
          </w:p>
        </w:tc>
        <w:tc>
          <w:tcPr>
            <w:tcW w:type="dxa" w:w="401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Client input or HRMS configuration</w:t>
            </w:r>
          </w:p>
        </w:tc>
        <w:tc>
          <w:tcPr>
            <w:tcW w:type="dxa" w:w="1780"/>
            <w:shd w:fill="17365D"/>
            <w:tcMar>
              <w:top w:w="80" w:type="dxa"/>
              <w:start w:w="110" w:type="dxa"/>
              <w:bottom w:w="80" w:type="dxa"/>
              <w:end w:w="110" w:type="dxa"/>
            </w:tcMar>
            <w:tcBorders>
              <w:top w:val="single" w:sz="4" w:space="0" w:color="17365D"/>
              <w:left w:val="single" w:sz="4" w:space="0" w:color="17365D"/>
              <w:bottom w:val="single" w:sz="4" w:space="0" w:color="17365D"/>
              <w:right w:val="single" w:sz="4" w:space="0" w:color="17365D"/>
            </w:tcBorders>
            <w:vAlign w:val="center"/>
          </w:tcPr>
          <w:p>
            <w:pPr>
              <w:spacing w:after="0"/>
              <w:jc w:val="left"/>
            </w:pPr>
            <w:r>
              <w:rPr>
                <w:rFonts w:ascii="Aptos" w:hAnsi="Aptos"/>
                <w:b/>
                <w:color w:val="FFFFFF"/>
                <w:sz w:val="16"/>
              </w:rPr>
              <w:t>Owner and evidence</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Asset type catalogue</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Asset type, category, serial/asset-tag format, ownership, depreciation/warranty fields if used, and return/repair workflow.</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IT/admin / asset register</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Opening asset allocations</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Employee, asset type, asset tag/serial, issued date, condition, custodian, and recovery/return status.</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IT/admin / signed asset register</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Employee document requirements</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Mandatory documents by employee type, file ownership, expiry reminders, access restrictions, and retention policy.</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HR + legal / document matrix</w:t>
            </w:r>
          </w:p>
        </w:tc>
      </w:tr>
      <w:tr>
        <w:tc>
          <w:tcPr>
            <w:tcW w:type="dxa" w:w="115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Payroll and statutory setup</w:t>
            </w:r>
          </w:p>
        </w:tc>
        <w:tc>
          <w:tcPr>
            <w:tcW w:type="dxa" w:w="401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Pay cycle, pay period, earning/deduction components, bank file owner, tax/PF/ESIC or local statutory scope, and payroll cut-off.</w:t>
            </w:r>
          </w:p>
        </w:tc>
        <w:tc>
          <w:tcPr>
            <w:tcW w:type="dxa" w:w="1780"/>
            <w:shd w:fill="F4F6F8"/>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payroll / restricted setup pack</w:t>
            </w:r>
          </w:p>
        </w:tc>
      </w:tr>
      <w:tr>
        <w:tc>
          <w:tcPr>
            <w:tcW w:type="dxa" w:w="115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jc w:val="center"/>
            </w:pPr>
            <w:r>
              <w:rPr>
                <w:rFonts w:ascii="Aptos" w:hAnsi="Aptos"/>
                <w:b/>
                <w:color w:val="17365D"/>
                <w:sz w:val="16"/>
              </w:rPr>
              <w:t>Open</w:t>
            </w:r>
          </w:p>
        </w:tc>
        <w:tc>
          <w:tcPr>
            <w:tcW w:type="dxa" w:w="242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UAT and go-live plan</w:t>
            </w:r>
          </w:p>
        </w:tc>
        <w:tc>
          <w:tcPr>
            <w:tcW w:type="dxa" w:w="401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Test users, test scenarios, reconciliations, training date, support owner, launch communications, and rollback/cut-over decision owner.</w:t>
            </w:r>
          </w:p>
        </w:tc>
        <w:tc>
          <w:tcPr>
            <w:tcW w:type="dxa" w:w="1780"/>
            <w:shd w:fill="FFFFFF"/>
            <w:tcBorders>
              <w:top w:val="single" w:sz="4" w:space="0" w:color="D9E1E8"/>
              <w:left w:val="single" w:sz="4" w:space="0" w:color="D9E1E8"/>
              <w:bottom w:val="single" w:sz="4" w:space="0" w:color="D9E1E8"/>
              <w:right w:val="single" w:sz="4" w:space="0" w:color="D9E1E8"/>
            </w:tcBorders>
            <w:tcMar>
              <w:top w:w="80" w:type="dxa"/>
              <w:start w:w="110" w:type="dxa"/>
              <w:bottom w:w="80" w:type="dxa"/>
              <w:end w:w="110" w:type="dxa"/>
            </w:tcMar>
            <w:vAlign w:val="center"/>
          </w:tcPr>
          <w:p>
            <w:pPr>
              <w:spacing w:after="0"/>
            </w:pPr>
            <w:r>
              <w:rPr>
                <w:rFonts w:ascii="Aptos" w:hAnsi="Aptos"/>
                <w:color w:val="1F2933"/>
                <w:sz w:val="17"/>
              </w:rPr>
              <w:t>Client + HRMS / UAT evidence</w:t>
            </w:r>
          </w:p>
        </w:tc>
      </w:tr>
    </w:tbl>
    <w:p>
      <w:pPr>
        <w:spacing w:after="20"/>
      </w:pPr>
    </w:p>
    <w:p>
      <w:pPr>
        <w:pStyle w:val="Heading1"/>
        <w:keepNext/>
      </w:pPr>
      <w:r>
        <w:t>Configuration readiness sign-off</w:t>
      </w:r>
    </w:p>
    <w:tbl>
      <w:tblPr>
        <w:tblW w:type="dxa" w:w="9360"/>
        <w:tblLayout w:type="fixed"/>
        <w:tblLook w:firstColumn="1" w:firstRow="1" w:lastColumn="0" w:lastRow="0" w:noHBand="0" w:noVBand="1" w:val="04A0"/>
        <w:tblInd w:w="120" w:type="dxa"/>
      </w:tblPr>
      <w:tblGrid>
        <w:gridCol w:w="9360"/>
      </w:tblGrid>
      <w:tr>
        <w:tc>
          <w:tcPr>
            <w:tcW w:type="dxa" w:w="9360"/>
            <w:shd w:fill="E7F3F3"/>
            <w:tcMar>
              <w:top w:w="80" w:type="dxa"/>
              <w:start w:w="110" w:type="dxa"/>
              <w:bottom w:w="80" w:type="dxa"/>
              <w:end w:w="110" w:type="dxa"/>
            </w:tcMar>
            <w:tcBorders>
              <w:top w:val="single" w:sz="6" w:space="0" w:color="E5D2A7"/>
              <w:left w:val="single" w:sz="6" w:space="0" w:color="E5D2A7"/>
              <w:bottom w:val="single" w:sz="6" w:space="0" w:color="E5D2A7"/>
              <w:right w:val="single" w:sz="6" w:space="0" w:color="E5D2A7"/>
            </w:tcBorders>
            <w:vAlign w:val="center"/>
          </w:tcPr>
          <w:p>
            <w:pPr>
              <w:spacing w:after="0"/>
            </w:pPr>
            <w:r>
              <w:rPr>
                <w:rFonts w:ascii="Aptos" w:hAnsi="Aptos"/>
                <w:b/>
                <w:color w:val="17365D"/>
                <w:sz w:val="18"/>
              </w:rPr>
              <w:t xml:space="preserve">Release gate: </w:t>
            </w:r>
            <w:r>
              <w:rPr>
                <w:rFonts w:ascii="Aptos" w:hAnsi="Aptos"/>
                <w:color w:val="1F2933"/>
                <w:sz w:val="18"/>
              </w:rPr>
              <w:t>Complete the evidence fields, resolve all required open items, and obtain written approval before enabling employee self-service for the client.</w:t>
            </w:r>
          </w:p>
        </w:tc>
      </w:tr>
    </w:tbl>
    <w:p>
      <w:pPr>
        <w:spacing w:after="20"/>
      </w:pP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8"/>
              </w:rPr>
              <w:t>Client implementation owner</w:t>
            </w:r>
          </w:p>
        </w:tc>
        <w:tc>
          <w:tcPr>
            <w:tcW w:type="dxa" w:w="636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b w:val="0"/>
                <w:color w:val="1F2933"/>
                <w:sz w:val="18"/>
              </w:rPr>
              <w:t>Name: ______________________________  Date: _______________</w:t>
            </w:r>
          </w:p>
        </w:tc>
      </w:tr>
      <w:tr>
        <w:tc>
          <w:tcPr>
            <w:tcW w:type="dxa" w:w="300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8"/>
              </w:rPr>
              <w:t>HRMS implementation owner</w:t>
            </w:r>
          </w:p>
        </w:tc>
        <w:tc>
          <w:tcPr>
            <w:tcW w:type="dxa" w:w="636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b w:val="0"/>
                <w:color w:val="1F2933"/>
                <w:sz w:val="18"/>
              </w:rPr>
              <w:t>Name: ______________________________  Date: _______________</w:t>
            </w:r>
          </w:p>
        </w:tc>
      </w:tr>
      <w:tr>
        <w:tc>
          <w:tcPr>
            <w:tcW w:type="dxa" w:w="300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8"/>
              </w:rPr>
              <w:t>UAT completed</w:t>
            </w:r>
          </w:p>
        </w:tc>
        <w:tc>
          <w:tcPr>
            <w:tcW w:type="dxa" w:w="636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b w:val="0"/>
                <w:color w:val="1F2933"/>
                <w:sz w:val="18"/>
              </w:rPr>
              <w:t>[ ] Yes   [ ] No   Evidence / ticket: _________________________</w:t>
            </w:r>
          </w:p>
        </w:tc>
      </w:tr>
      <w:tr>
        <w:tc>
          <w:tcPr>
            <w:tcW w:type="dxa" w:w="300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shd w:fill="EAF2F8"/>
            <w:vAlign w:val="center"/>
          </w:tcPr>
          <w:p>
            <w:pPr>
              <w:spacing w:after="0"/>
            </w:pPr>
            <w:r>
              <w:rPr>
                <w:rFonts w:ascii="Aptos" w:hAnsi="Aptos"/>
                <w:b/>
                <w:color w:val="17365D"/>
                <w:sz w:val="18"/>
              </w:rPr>
              <w:t>Client go-live approval</w:t>
            </w:r>
          </w:p>
        </w:tc>
        <w:tc>
          <w:tcPr>
            <w:tcW w:type="dxa" w:w="6360"/>
            <w:tcMar>
              <w:top w:w="80" w:type="dxa"/>
              <w:start w:w="110" w:type="dxa"/>
              <w:bottom w:w="80" w:type="dxa"/>
              <w:end w:w="110" w:type="dxa"/>
            </w:tcMar>
            <w:tcBorders>
              <w:top w:val="single" w:sz="4" w:space="0" w:color="D9E1E8"/>
              <w:left w:val="single" w:sz="4" w:space="0" w:color="D9E1E8"/>
              <w:bottom w:val="single" w:sz="4" w:space="0" w:color="D9E1E8"/>
              <w:right w:val="single" w:sz="4" w:space="0" w:color="D9E1E8"/>
            </w:tcBorders>
            <w:vAlign w:val="center"/>
          </w:tcPr>
          <w:p>
            <w:pPr>
              <w:spacing w:after="0"/>
            </w:pPr>
            <w:r>
              <w:rPr>
                <w:rFonts w:ascii="Aptos" w:hAnsi="Aptos"/>
                <w:b w:val="0"/>
                <w:color w:val="1F2933"/>
                <w:sz w:val="18"/>
              </w:rPr>
              <w:t>[ ] Approved   [ ] Deferred   Comments: ______________________</w:t>
            </w:r>
          </w:p>
        </w:tc>
      </w:tr>
    </w:tbl>
    <w:sectPr w:rsidR="00FC693F" w:rsidRPr="0006063C" w:rsidSect="00034616">
      <w:headerReference w:type="default" r:id="rId9"/>
      <w:footerReference w:type="default" r:id="rId10"/>
      <w:pgSz w:w="12240" w:h="15840"/>
      <w:pgMar w:top="1037" w:right="1440" w:bottom="97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5B6573"/>
        <w:sz w:val="16"/>
      </w:rPr>
      <w:t>HRMS client onboarding checklist | Reusable template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ptos" w:hAnsi="Aptos"/>
        <w:b/>
        <w:color w:val="5B6573"/>
        <w:sz w:val="17"/>
      </w:rPr>
      <w:t>HRMS CLIENT ONBOARDING</w:t>
    </w:r>
    <w:r>
      <w:rPr>
        <w:rFonts w:ascii="Aptos" w:hAnsi="Aptos"/>
        <w:color w:val="5B6573"/>
        <w:sz w:val="17"/>
      </w:rPr>
      <w:t xml:space="preserve">  |  Configuration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client onboarding checklist | Reusable template | Version 1.0</dc:title>
  <dc:subject>HRMS client onboarding checklist</dc:subject>
  <dc:creator/>
  <cp:keywords/>
  <dc:description/>
  <cp:lastModifiedBy/>
  <cp:revision>1</cp:revision>
  <dcterms:created xsi:type="dcterms:W3CDTF">2013-12-23T23:15:00Z</dcterms:created>
  <dcterms:modified xsi:type="dcterms:W3CDTF">2013-12-23T23:15:00Z</dcterms:modified>
  <cp:category/>
</cp:coreProperties>
</file>