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Class Act Talent — Website Brand &amp; Typography Spec</w:t>
      </w:r>
    </w:p>
    <w:p>
      <w:pPr/>
      <w:r>
        <w:t xml:space="preserve">Sep 17, 2026</w:t>
      </w:r>
      <w:r>
        <w:t xml:space="preserve"> · </w:t>
      </w:r>
      <w:r>
        <w:t xml:space="preserve">@Someone</w:t>
      </w:r>
    </w:p>
    <w:p>
      <w:pPr/>
      <w:r>
        <w:t xml:space="preserve">Color and type specification for the Class Act Talent website, pulled from the approved logo files.</w:t>
      </w:r>
    </w:p>
    <w:p>
      <w:pPr>
        <w:pStyle w:val="Heading2"/>
      </w:pPr>
      <w:r>
        <w:t xml:space="preserve">Brand colors</w:t>
      </w:r>
    </w:p>
    <w:p>
      <w:pPr/>
      <w:r>
        <w:t xml:space="preserve">Sampled from the approved logo file. Pantone matches are approximate (screen RGB vs. printed spot color) and only relevant if anything gets printed.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Hex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RGB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Closest Pantone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Navy</w:t>
            </w:r>
          </w:p>
        </w:tc>
        <w:tc>
          <w:tcPr>
            <w:tcW w:w="1872" w:type="dxa"/>
          </w:tcPr>
          <w:p>
            <w:pPr/>
            <w:r>
              <w:t xml:space="preserve">#19304D</w:t>
            </w:r>
          </w:p>
        </w:tc>
        <w:tc>
          <w:tcPr>
            <w:tcW w:w="1872" w:type="dxa"/>
          </w:tcPr>
          <w:p>
            <w:pPr/>
            <w:r>
              <w:t xml:space="preserve">25, 48, 77</w:t>
            </w:r>
          </w:p>
        </w:tc>
        <w:tc>
          <w:tcPr>
            <w:tcW w:w="1872" w:type="dxa"/>
          </w:tcPr>
          <w:p>
            <w:pPr/>
            <w:r>
              <w:t xml:space="preserve">PANTONE 533 C</w:t>
            </w:r>
          </w:p>
        </w:tc>
        <w:tc>
          <w:tcPr>
            <w:tcW w:w="1872" w:type="dxa"/>
          </w:tcPr>
          <w:p>
            <w:pPr/>
            <w:r>
              <w:t xml:space="preserve">Primary text, header/footer background, wordmark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Green</w:t>
            </w:r>
          </w:p>
        </w:tc>
        <w:tc>
          <w:tcPr>
            <w:tcW w:w="1872" w:type="dxa"/>
          </w:tcPr>
          <w:p>
            <w:pPr/>
            <w:r>
              <w:t xml:space="preserve">#65B67F</w:t>
            </w:r>
          </w:p>
        </w:tc>
        <w:tc>
          <w:tcPr>
            <w:tcW w:w="1872" w:type="dxa"/>
          </w:tcPr>
          <w:p>
            <w:pPr/>
            <w:r>
              <w:t xml:space="preserve">101, 182, 127</w:t>
            </w:r>
          </w:p>
        </w:tc>
        <w:tc>
          <w:tcPr>
            <w:tcW w:w="1872" w:type="dxa"/>
          </w:tcPr>
          <w:p>
            <w:pPr/>
            <w:r>
              <w:t xml:space="preserve">PANTONE 351 C</w:t>
            </w:r>
          </w:p>
        </w:tc>
        <w:tc>
          <w:tcPr>
            <w:tcW w:w="1872" w:type="dxa"/>
          </w:tcPr>
          <w:p>
            <w:pPr/>
            <w:r>
              <w:t xml:space="preserve">Secondary accent, icons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Gold / Amber</w:t>
            </w:r>
          </w:p>
        </w:tc>
        <w:tc>
          <w:tcPr>
            <w:tcW w:w="1872" w:type="dxa"/>
          </w:tcPr>
          <w:p>
            <w:pPr/>
            <w:r>
              <w:t xml:space="preserve">#F1BB4C</w:t>
            </w:r>
          </w:p>
        </w:tc>
        <w:tc>
          <w:tcPr>
            <w:tcW w:w="1872" w:type="dxa"/>
          </w:tcPr>
          <w:p>
            <w:pPr/>
            <w:r>
              <w:t xml:space="preserve">241, 187, 76</w:t>
            </w:r>
          </w:p>
        </w:tc>
        <w:tc>
          <w:tcPr>
            <w:tcW w:w="1872" w:type="dxa"/>
          </w:tcPr>
          <w:p>
            <w:pPr/>
            <w:r>
              <w:t xml:space="preserve">PANTONE 1235 C (or softer: 143 C)</w:t>
            </w:r>
          </w:p>
        </w:tc>
        <w:tc>
          <w:tcPr>
            <w:tcW w:w="1872" w:type="dxa"/>
          </w:tcPr>
          <w:p>
            <w:pPr/>
            <w:r>
              <w:t xml:space="preserve">Primary CTA buttons, highlights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Light Teal</w:t>
            </w:r>
          </w:p>
        </w:tc>
        <w:tc>
          <w:tcPr>
            <w:tcW w:w="1872" w:type="dxa"/>
          </w:tcPr>
          <w:p>
            <w:pPr/>
            <w:r>
              <w:t xml:space="preserve">#81C4CF</w:t>
            </w:r>
          </w:p>
        </w:tc>
        <w:tc>
          <w:tcPr>
            <w:tcW w:w="1872" w:type="dxa"/>
          </w:tcPr>
          <w:p>
            <w:pPr/>
            <w:r>
              <w:t xml:space="preserve">129, 196, 207</w:t>
            </w:r>
          </w:p>
        </w:tc>
        <w:tc>
          <w:tcPr>
            <w:tcW w:w="1872" w:type="dxa"/>
          </w:tcPr>
          <w:p>
            <w:pPr/>
            <w:r>
              <w:t xml:space="preserve">PANTONE 631 C</w:t>
            </w:r>
          </w:p>
        </w:tc>
        <w:tc>
          <w:tcPr>
            <w:tcW w:w="1872" w:type="dxa"/>
          </w:tcPr>
          <w:p>
            <w:pPr/>
            <w:r>
              <w:t xml:space="preserve">"TALENT" wordmark accent, secondary UI accents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Background (warm off-white)</w:t>
            </w:r>
          </w:p>
        </w:tc>
        <w:tc>
          <w:tcPr>
            <w:tcW w:w="1872" w:type="dxa"/>
          </w:tcPr>
          <w:p>
            <w:pPr/>
            <w:r>
              <w:t xml:space="preserve">#FAF8F3</w:t>
            </w:r>
          </w:p>
        </w:tc>
        <w:tc>
          <w:tcPr>
            <w:tcW w:w="1872" w:type="dxa"/>
          </w:tcPr>
          <w:p>
            <w:pPr/>
            <w:r>
              <w:t xml:space="preserve">250, 248, 243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Page background, replaces pure white</w:t>
            </w:r>
          </w:p>
        </w:tc>
      </w:tr>
    </w:tbl>
    <w:p>
      <w:pPr/>
      <w:r>
        <w:rPr>
          <w:b/>
        </w:rPr>
        <w:t xml:space="preserve">Usage notes:</w:t>
      </w:r>
    </w:p>
    <w:p>
      <w:pPr>
        <w:pStyle w:val="ListParagraph"/>
        <w:numPr>
          <w:ilvl w:val="0"/>
          <w:numId w:val="2"/>
        </w:numPr>
      </w:pPr>
      <w:r>
        <w:t xml:space="preserve">Navy carries most body text and structural elements (header, footer, headlines). It is the dominant color, not an accent.</w:t>
      </w:r>
    </w:p>
    <w:p>
      <w:pPr>
        <w:pStyle w:val="ListParagraph"/>
        <w:numPr>
          <w:ilvl w:val="0"/>
          <w:numId w:val="2"/>
        </w:numPr>
      </w:pPr>
      <w:r>
        <w:t xml:space="preserve">Gold is reserved for primary calls to action so it stays high-signal; avoid using it for large background fills.</w:t>
      </w:r>
    </w:p>
    <w:p>
      <w:pPr>
        <w:pStyle w:val="ListParagraph"/>
        <w:numPr>
          <w:ilvl w:val="0"/>
          <w:numId w:val="2"/>
        </w:numPr>
      </w:pPr>
      <w:r>
        <w:t xml:space="preserve">Green and teal are secondary accents (icons, badges, small UI details) and should not compete with gold for attention.</w:t>
      </w:r>
    </w:p>
    <w:p>
      <w:pPr>
        <w:pStyle w:val="ListParagraph"/>
        <w:numPr>
          <w:ilvl w:val="0"/>
          <w:numId w:val="2"/>
        </w:numPr>
      </w:pPr>
      <w:r>
        <w:t xml:space="preserve">Background should be the warm off-white (#FAF8F3), not pure white (#FFFFFF), to keep the site feeling warm rather than clinical.</w:t>
      </w:r>
    </w:p>
    <w:p>
      <w:pPr>
        <w:pStyle w:val="Heading2"/>
      </w:pPr>
      <w:r>
        <w:t xml:space="preserve">Typography</w:t>
      </w:r>
    </w:p>
    <w:p>
      <w:pPr/>
      <w:r>
        <w:t xml:space="preserve">Chosen direction: </w:t>
      </w:r>
      <w:r>
        <w:rPr>
          <w:b/>
        </w:rPr>
        <w:t xml:space="preserve">Editorial Trust</w:t>
      </w:r>
      <w:r>
        <w:t xml:space="preserve">, a serif/sans pairing that continues the contrast already in the logo (serif "CLASS ACT" + light-tracked sans "TALENT").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Weights used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Headlines, section titles, wordmark</w:t>
            </w:r>
          </w:p>
        </w:tc>
        <w:tc>
          <w:tcPr>
            <w:tcW w:w="2340" w:type="dxa"/>
          </w:tcPr>
          <w:p>
            <w:pPr/>
            <w:r>
              <w:t xml:space="preserve">Lora (serif)</w:t>
            </w:r>
          </w:p>
        </w:tc>
        <w:tc>
          <w:tcPr>
            <w:tcW w:w="2340" w:type="dxa"/>
          </w:tcPr>
          <w:p>
            <w:pPr/>
            <w:r>
              <w:t xml:space="preserve">Google Fonts</w:t>
            </w:r>
          </w:p>
        </w:tc>
        <w:tc>
          <w:tcPr>
            <w:tcW w:w="2340" w:type="dxa"/>
          </w:tcPr>
          <w:p>
            <w:pPr/>
            <w:r>
              <w:t xml:space="preserve">500, 600, 700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Body copy, nav, buttons, labels</w:t>
            </w:r>
          </w:p>
        </w:tc>
        <w:tc>
          <w:tcPr>
            <w:tcW w:w="2340" w:type="dxa"/>
          </w:tcPr>
          <w:p>
            <w:pPr/>
            <w:r>
              <w:t xml:space="preserve">Karla (sans-serif)</w:t>
            </w:r>
          </w:p>
        </w:tc>
        <w:tc>
          <w:tcPr>
            <w:tcW w:w="2340" w:type="dxa"/>
          </w:tcPr>
          <w:p>
            <w:pPr/>
            <w:r>
              <w:t xml:space="preserve">Google Fonts</w:t>
            </w:r>
          </w:p>
        </w:tc>
        <w:tc>
          <w:tcPr>
            <w:tcW w:w="2340" w:type="dxa"/>
          </w:tcPr>
          <w:p>
            <w:pPr/>
            <w:r>
              <w:t xml:space="preserve">400, 500, 600, 700</w:t>
            </w:r>
          </w:p>
        </w:tc>
      </w:tr>
    </w:tbl>
    <w:p>
      <w:pPr/>
      <w:r>
        <w:rPr>
          <w:b/>
        </w:rPr>
        <w:t xml:space="preserve">Import (Google Fonts):</w:t>
      </w:r>
    </w:p>
    <w:p>
      <w:pPr>
        <w:pStyle w:val="Code"/>
      </w:pPr>
      <w:r>
        <w:t xml:space="preserve">https://fonts.googleapis.com/css2?family=Lora:wght@500;600;700&amp;family=Karla:wght@400;500;600;700&amp;display=swap</w:t>
      </w:r>
    </w:p>
    <w:p>
      <w:pPr/>
      <w:r>
        <w:rPr>
          <w:b/>
        </w:rPr>
        <w:t xml:space="preserve">Usage notes:</w:t>
      </w:r>
    </w:p>
    <w:p>
      <w:pPr>
        <w:pStyle w:val="ListParagraph"/>
        <w:numPr>
          <w:ilvl w:val="0"/>
          <w:numId w:val="3"/>
        </w:numPr>
      </w:pPr>
      <w:r>
        <w:t xml:space="preserve">Lora is reserved for h1/h2/h3-level headings and the wordmark. Do not use it for paragraph body text or long UI labels; it slows reading at small sizes.</w:t>
      </w:r>
    </w:p>
    <w:p>
      <w:pPr>
        <w:pStyle w:val="ListParagraph"/>
        <w:numPr>
          <w:ilvl w:val="0"/>
          <w:numId w:val="3"/>
        </w:numPr>
      </w:pPr>
      <w:r>
        <w:t xml:space="preserve">Karla handles everything else: paragraphs, navigation, buttons, form labels, captions.</w:t>
      </w:r>
    </w:p>
    <w:p>
      <w:pPr>
        <w:pStyle w:val="ListParagraph"/>
        <w:numPr>
          <w:ilvl w:val="0"/>
          <w:numId w:val="3"/>
        </w:numPr>
      </w:pPr>
      <w:r>
        <w:t xml:space="preserve">Small caps / letter-spaced Karla (uppercase, ~2–3px letter-spacing) is used for eyebrow labels and the "TALENT" wordmark treatment, echoing the logo.</w:t>
      </w:r>
    </w:p>
    <w:p>
      <w:pPr>
        <w:pStyle w:val="ListParagraph"/>
        <w:numPr>
          <w:ilvl w:val="0"/>
          <w:numId w:val="3"/>
        </w:numPr>
      </w:pPr>
      <w:r>
        <w:t xml:space="preserve">Avoid Inter, Roboto, and Arial as substitutes; they flatten the warmth the pairing is chosen for.</w:t>
      </w:r>
    </w:p>
    <w:p>
      <w:pPr>
        <w:pStyle w:val="ListParagraph"/>
        <w:numPr>
          <w:ilvl w:val="0"/>
          <w:numId w:val="3"/>
        </w:numPr>
      </w:pPr>
      <w:r>
        <w:t xml:space="preserve">Both fonts are free, self-hostable if preferred over the Google Fonts CDN for performance.</w:t>
      </w:r>
    </w:p>
    <w:p>
      <w:pPr>
        <w:pStyle w:val="Heading2"/>
      </w:pPr>
      <w:r>
        <w:t xml:space="preserve">Homepage mockup reference</w:t>
      </w:r>
    </w:p>
    <w:p>
      <w:pPr/>
      <w:r>
        <w:t xml:space="preserve">A working visual reference applying the colors and fonts above is here: </w:t>
      </w:r>
      <w:hyperlink r:id="rId3" w:history="1">
        <w:r>
          <w:rPr>
            <w:rStyle w:val="Hyperlink"/>
          </w:rPr>
          <w:t xml:space="preserve">Class Act Talent — Homepage Mockup</w:t>
        </w:r>
      </w:hyperlink>
    </w:p>
    <w:p>
      <w:pPr/>
      <w:r>
        <w:t xml:space="preserve">It shows the intended feel for:</w:t>
      </w:r>
    </w:p>
    <w:p>
      <w:pPr>
        <w:pStyle w:val="ListParagraph"/>
        <w:numPr>
          <w:ilvl w:val="0"/>
          <w:numId w:val="4"/>
        </w:numPr>
      </w:pPr>
      <w:r>
        <w:t xml:space="preserve">Header and wordmark treatment</w:t>
      </w:r>
    </w:p>
    <w:p>
      <w:pPr>
        <w:pStyle w:val="ListParagraph"/>
        <w:numPr>
          <w:ilvl w:val="0"/>
          <w:numId w:val="4"/>
        </w:numPr>
      </w:pPr>
      <w:r>
        <w:t xml:space="preserve">Hero section (headline, subhead, CTA hierarchy, and a sample "match card" UI element)</w:t>
      </w:r>
    </w:p>
    <w:p>
      <w:pPr>
        <w:pStyle w:val="ListParagraph"/>
        <w:numPr>
          <w:ilvl w:val="0"/>
          <w:numId w:val="4"/>
        </w:numPr>
      </w:pPr>
      <w:r>
        <w:t xml:space="preserve">Feature section (icon color usage, card layout)</w:t>
      </w:r>
    </w:p>
    <w:p>
      <w:pPr>
        <w:pStyle w:val="ListParagraph"/>
        <w:numPr>
          <w:ilvl w:val="0"/>
          <w:numId w:val="4"/>
        </w:numPr>
      </w:pPr>
      <w:r>
        <w:t xml:space="preserve">Footer</w:t>
      </w:r>
    </w:p>
    <w:p>
      <w:pPr/>
      <w:r>
        <w:t xml:space="preserve">All numeric stats and dates in the mockup (partner school count, countries, year) are placeholders, marked in brackets, and need real figures before launch.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JMZD4ScVcrFsgvMjU5P46v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Class Act Talent — Website Brand &amp; Typography Spec</dc:title>
  <dc:description>Claude Docs node/6cd42563-927a@4 docx-w5</dc:description>
  <cp:revision>4</cp:revision>
</cp:coreProperties>
</file>