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91661125"/>
        <w:docPartObj>
          <w:docPartGallery w:val="Cover Pages"/>
          <w:docPartUnique/>
        </w:docPartObj>
      </w:sdtPr>
      <w:sdtEndPr>
        <w:rPr>
          <w:b/>
          <w:bCs/>
        </w:rPr>
      </w:sdtEndPr>
      <w:sdtContent>
        <w:p w14:paraId="49FA961B" w14:textId="77777777" w:rsidR="00EB6A83" w:rsidRDefault="00EB6A83" w:rsidP="000B73EE">
          <w:pPr>
            <w:spacing w:line="276" w:lineRule="auto"/>
            <w:jc w:val="both"/>
          </w:pPr>
          <w:r>
            <w:rPr>
              <w:rFonts w:ascii="Calibri" w:eastAsia="Calibri" w:hAnsi="Calibri" w:cs="Times New Roman"/>
              <w:bCs/>
              <w:noProof/>
              <w:color w:val="000000" w:themeColor="text1"/>
              <w:sz w:val="22"/>
              <w:lang w:eastAsia="tr-TR"/>
            </w:rPr>
            <w:drawing>
              <wp:anchor distT="0" distB="0" distL="114300" distR="114300" simplePos="0" relativeHeight="251662336" behindDoc="0" locked="0" layoutInCell="1" allowOverlap="1" wp14:anchorId="2BBA5D4F" wp14:editId="279A65AF">
                <wp:simplePos x="0" y="0"/>
                <wp:positionH relativeFrom="column">
                  <wp:posOffset>3951605</wp:posOffset>
                </wp:positionH>
                <wp:positionV relativeFrom="paragraph">
                  <wp:posOffset>0</wp:posOffset>
                </wp:positionV>
                <wp:extent cx="1950573" cy="1098801"/>
                <wp:effectExtent l="0" t="0" r="5715" b="0"/>
                <wp:wrapSquare wrapText="bothSides"/>
                <wp:docPr id="7" name="Resim 7" descr="../../../../../../../Documents/MASAUSTU_DOKUMANLAR/MASAUSTU_KASIM16/ITU_LOGO/DIJITAL/ITU_LOGO_P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cuments/MASAUSTU_DOKUMANLAR/MASAUSTU_KASIM16/ITU_LOGO/DIJITAL/ITU_LOGO_PT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50573" cy="10988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5D6BF7" w14:textId="22B1449A" w:rsidR="00EB6A83" w:rsidRDefault="009C7DD8" w:rsidP="000B73EE">
          <w:pPr>
            <w:spacing w:line="276" w:lineRule="auto"/>
            <w:jc w:val="both"/>
          </w:pPr>
          <w:r>
            <w:rPr>
              <w:b/>
              <w:bCs/>
              <w:noProof/>
            </w:rPr>
            <mc:AlternateContent>
              <mc:Choice Requires="wps">
                <w:drawing>
                  <wp:anchor distT="0" distB="0" distL="114300" distR="114300" simplePos="0" relativeHeight="251667456" behindDoc="0" locked="0" layoutInCell="1" allowOverlap="1" wp14:anchorId="56576D22" wp14:editId="5EC1EB03">
                    <wp:simplePos x="0" y="0"/>
                    <wp:positionH relativeFrom="column">
                      <wp:posOffset>-103090</wp:posOffset>
                    </wp:positionH>
                    <wp:positionV relativeFrom="paragraph">
                      <wp:posOffset>2770926</wp:posOffset>
                    </wp:positionV>
                    <wp:extent cx="5904230" cy="1204111"/>
                    <wp:effectExtent l="0" t="0" r="1270" b="2540"/>
                    <wp:wrapNone/>
                    <wp:docPr id="2" name="Metin Kutusu 2"/>
                    <wp:cNvGraphicFramePr/>
                    <a:graphic xmlns:a="http://schemas.openxmlformats.org/drawingml/2006/main">
                      <a:graphicData uri="http://schemas.microsoft.com/office/word/2010/wordprocessingShape">
                        <wps:wsp>
                          <wps:cNvSpPr txBox="1"/>
                          <wps:spPr>
                            <a:xfrm>
                              <a:off x="0" y="0"/>
                              <a:ext cx="5904230" cy="1204111"/>
                            </a:xfrm>
                            <a:prstGeom prst="rect">
                              <a:avLst/>
                            </a:prstGeom>
                            <a:solidFill>
                              <a:schemeClr val="lt1"/>
                            </a:solidFill>
                            <a:ln w="6350">
                              <a:noFill/>
                            </a:ln>
                          </wps:spPr>
                          <wps:txbx>
                            <w:txbxContent>
                              <w:p w14:paraId="3D4A5839" w14:textId="046406F9" w:rsidR="00DD4EE4" w:rsidRPr="00DD4EE4" w:rsidRDefault="004537A4" w:rsidP="009C7DD8">
                                <w:pPr>
                                  <w:jc w:val="center"/>
                                  <w:rPr>
                                    <w:rFonts w:ascii="Calibri" w:hAnsi="Calibri" w:cs="Calibri"/>
                                    <w:sz w:val="48"/>
                                    <w:szCs w:val="48"/>
                                  </w:rPr>
                                </w:pPr>
                                <w:r>
                                  <w:rPr>
                                    <w:rFonts w:ascii="Calibri" w:hAnsi="Calibri" w:cs="Calibri"/>
                                    <w:sz w:val="48"/>
                                    <w:szCs w:val="48"/>
                                  </w:rPr>
                                  <w:t>MATHEMATICAL MODELING &amp; CONTROL STRATEGIES FOR HYBRID HYDROGEN SYSTEMS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576D22" id="_x0000_t202" coordsize="21600,21600" o:spt="202" path="m,l,21600r21600,l21600,xe">
                    <v:stroke joinstyle="miter"/>
                    <v:path gradientshapeok="t" o:connecttype="rect"/>
                  </v:shapetype>
                  <v:shape id="Metin Kutusu 2" o:spid="_x0000_s1026" type="#_x0000_t202" style="position:absolute;left:0;text-align:left;margin-left:-8.1pt;margin-top:218.2pt;width:464.9pt;height:94.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I3oVLAIAAFUEAAAOAAAAZHJzL2Uyb0RvYy54bWysVE1v2zAMvQ/YfxB0X2ynSdcacYosRYYB QVsgHXpWZCk2IIuapMTOfv0o2flYt9Owi0yK1KP4HuXZQ9cochDW1aALmo1SSoTmUNZ6V9Dvr6tP d5Q4z3TJFGhR0KNw9GH+8cOsNbkYQwWqFJYgiHZ5awpaeW/yJHG8Eg1zIzBCY1CCbZhH1+6S0rIW 0RuVjNP0NmnBlsYCF87h7mMfpPOIL6Xg/llKJzxRBcW7+bjauG7DmsxnLN9ZZqqaD9dg/3CLhtUa i56hHplnZG/rP6CamltwIP2IQ5OAlDUXsQfsJkvfdbOpmBGxFyTHmTNN7v/B8qfDxrxY4rsv0KGA gZDWuNzhZuink7YJX7wpwThSeDzTJjpPOG5O79PJ+AZDHGPZOJ1kWcRJLseNdf6rgIYEo6AWdYl0 scPaeSyJqaeUUM2BqstVrVR0wiyIpbLkwFBF5U/gv2UpTdqC3t5M0wisIRzvkZXGApemguW7bTd0 uoXyiARY6GfDGb6q8ZJr5vwLszgM2BgOuH/GRSrAIjBYlFRgf/5tP+SjRhilpMXhKqj7sWdWUKK+ aVTvPptMwjRGZzL9PEbHXke21xG9b5aAnWf4lAyPZsj36mRKC80bvoNFqIohpjnWLqg/mUvfjzy+ Iy4Wi5iE82eYX+uN4QE6MB0keO3emDWDTh4lfoLTGLL8nVx9bjipYbH3IOuoZSC4Z3XgHWc3Sjy8 s/A4rv2YdfkbzH8BAAD//wMAUEsDBBQABgAIAAAAIQASzWyR5AAAABABAAAPAAAAZHJzL2Rvd25y ZXYueG1sTE/JTsMwEL0j8Q/WIHFBrbMUF9I4FWKVuNEUEDc3HpKI2I5iNwl/z3CCy0hP89Z8O5uO jTj41lkJ8TIChrZyurW1hH35sLgC5oOyWnXOooRv9LAtTk9ylWk32Rccd6FmZGJ9piQ0IfQZ575q 0Ci/dD1a+n26wahAcKi5HtRE5qbjSRQJblRrKaFRPd42WH3tjkbCx0X9/uznx9cpvUz7+6exXL/p Usrzs/luQ+dmAyzgHP4U8LuB+kNBxQ7uaLVnnYRFLBKiSlilYgWMGNdxKoAdJIhERMCLnP8fUvwA AAD//wMAUEsBAi0AFAAGAAgAAAAhALaDOJL+AAAA4QEAABMAAAAAAAAAAAAAAAAAAAAAAFtDb250 ZW50X1R5cGVzXS54bWxQSwECLQAUAAYACAAAACEAOP0h/9YAAACUAQAACwAAAAAAAAAAAAAAAAAv AQAAX3JlbHMvLnJlbHNQSwECLQAUAAYACAAAACEAFCN6FSwCAABVBAAADgAAAAAAAAAAAAAAAAAu AgAAZHJzL2Uyb0RvYy54bWxQSwECLQAUAAYACAAAACEAEs1skeQAAAAQAQAADwAAAAAAAAAAAAAA AACGBAAAZHJzL2Rvd25yZXYueG1sUEsFBgAAAAAEAAQA8wAAAJcFAAAAAA== " fillcolor="white [3201]" stroked="f" strokeweight=".5pt">
                    <v:textbox>
                      <w:txbxContent>
                        <w:p w14:paraId="3D4A5839" w14:textId="046406F9" w:rsidR="00DD4EE4" w:rsidRPr="00DD4EE4" w:rsidRDefault="004537A4" w:rsidP="009C7DD8">
                          <w:pPr>
                            <w:jc w:val="center"/>
                            <w:rPr>
                              <w:rFonts w:ascii="Calibri" w:hAnsi="Calibri" w:cs="Calibri"/>
                              <w:sz w:val="48"/>
                              <w:szCs w:val="48"/>
                            </w:rPr>
                          </w:pPr>
                          <w:r>
                            <w:rPr>
                              <w:rFonts w:ascii="Calibri" w:hAnsi="Calibri" w:cs="Calibri"/>
                              <w:sz w:val="48"/>
                              <w:szCs w:val="48"/>
                            </w:rPr>
                            <w:t>MATHEMATICAL MODELING &amp; CONTROL STRATEGIES FOR HYBRID HYDROGEN SYSTEMS</w:t>
                          </w:r>
                        </w:p>
                      </w:txbxContent>
                    </v:textbox>
                  </v:shape>
                </w:pict>
              </mc:Fallback>
            </mc:AlternateContent>
            <mc:AlternateContent>
              <mc:Choice Requires="wps">
                <w:drawing>
                  <wp:anchor distT="0" distB="0" distL="114300" distR="114300" simplePos="0" relativeHeight="251671552" behindDoc="0" locked="0" layoutInCell="1" allowOverlap="1" wp14:anchorId="2C0B1908" wp14:editId="40CC0AE4">
                    <wp:simplePos x="0" y="0"/>
                    <wp:positionH relativeFrom="column">
                      <wp:posOffset>2067141</wp:posOffset>
                    </wp:positionH>
                    <wp:positionV relativeFrom="paragraph">
                      <wp:posOffset>5947248</wp:posOffset>
                    </wp:positionV>
                    <wp:extent cx="3734962" cy="2033081"/>
                    <wp:effectExtent l="0" t="0" r="0" b="0"/>
                    <wp:wrapNone/>
                    <wp:docPr id="5" name="Metin Kutusu 5"/>
                    <wp:cNvGraphicFramePr/>
                    <a:graphic xmlns:a="http://schemas.openxmlformats.org/drawingml/2006/main">
                      <a:graphicData uri="http://schemas.microsoft.com/office/word/2010/wordprocessingShape">
                        <wps:wsp>
                          <wps:cNvSpPr txBox="1"/>
                          <wps:spPr>
                            <a:xfrm>
                              <a:off x="0" y="0"/>
                              <a:ext cx="3734962" cy="2033081"/>
                            </a:xfrm>
                            <a:prstGeom prst="rect">
                              <a:avLst/>
                            </a:prstGeom>
                            <a:solidFill>
                              <a:schemeClr val="lt1"/>
                            </a:solidFill>
                            <a:ln w="6350">
                              <a:noFill/>
                            </a:ln>
                          </wps:spPr>
                          <wps:txbx>
                            <w:txbxContent>
                              <w:p w14:paraId="4D40BA8C" w14:textId="281AF3C8" w:rsidR="00DD4EE4" w:rsidRDefault="00D863EA" w:rsidP="00DD4EE4">
                                <w:pPr>
                                  <w:rPr>
                                    <w:rFonts w:ascii="Calibri" w:hAnsi="Calibri" w:cs="Calibri"/>
                                    <w:b/>
                                    <w:bCs/>
                                    <w:sz w:val="40"/>
                                    <w:szCs w:val="40"/>
                                  </w:rPr>
                                </w:pPr>
                                <w:r>
                                  <w:rPr>
                                    <w:rFonts w:ascii="Calibri" w:hAnsi="Calibri" w:cs="Calibri"/>
                                    <w:b/>
                                    <w:bCs/>
                                    <w:sz w:val="40"/>
                                    <w:szCs w:val="40"/>
                                  </w:rPr>
                                  <w:t>AHMET YEŞİL</w:t>
                                </w:r>
                              </w:p>
                              <w:p w14:paraId="47417E60" w14:textId="55ED9F9F" w:rsidR="00DD4EE4" w:rsidRDefault="00DD4EE4" w:rsidP="00DD4EE4">
                                <w:pPr>
                                  <w:rPr>
                                    <w:rFonts w:ascii="Calibri" w:hAnsi="Calibri" w:cs="Calibri"/>
                                    <w:b/>
                                    <w:bCs/>
                                    <w:sz w:val="40"/>
                                    <w:szCs w:val="40"/>
                                  </w:rPr>
                                </w:pPr>
                                <w:r>
                                  <w:rPr>
                                    <w:rFonts w:ascii="Calibri" w:hAnsi="Calibri" w:cs="Calibri"/>
                                    <w:b/>
                                    <w:bCs/>
                                    <w:sz w:val="40"/>
                                    <w:szCs w:val="40"/>
                                  </w:rPr>
                                  <w:t>090220359</w:t>
                                </w:r>
                              </w:p>
                              <w:p w14:paraId="369A09D5" w14:textId="76B8E53F" w:rsidR="00DD4EE4" w:rsidRDefault="00B64C72" w:rsidP="00DD4EE4">
                                <w:pPr>
                                  <w:rPr>
                                    <w:rFonts w:ascii="Calibri" w:hAnsi="Calibri" w:cs="Calibri"/>
                                    <w:b/>
                                    <w:bCs/>
                                    <w:sz w:val="40"/>
                                    <w:szCs w:val="40"/>
                                  </w:rPr>
                                </w:pPr>
                                <w:r>
                                  <w:rPr>
                                    <w:rFonts w:ascii="Calibri" w:hAnsi="Calibri" w:cs="Calibri"/>
                                    <w:b/>
                                    <w:bCs/>
                                    <w:sz w:val="40"/>
                                    <w:szCs w:val="40"/>
                                  </w:rPr>
                                  <w:t>June 14, 2026</w:t>
                                </w:r>
                              </w:p>
                              <w:p w14:paraId="6E6C152B" w14:textId="77777777" w:rsidR="00DD4EE4" w:rsidRDefault="00DD4EE4" w:rsidP="00DD4EE4">
                                <w:pPr>
                                  <w:rPr>
                                    <w:rFonts w:ascii="Calibri" w:hAnsi="Calibri" w:cs="Calibri"/>
                                    <w:b/>
                                    <w:bCs/>
                                    <w:sz w:val="40"/>
                                    <w:szCs w:val="40"/>
                                  </w:rPr>
                                </w:pPr>
                                <w:r>
                                  <w:rPr>
                                    <w:rFonts w:ascii="Calibri" w:hAnsi="Calibri" w:cs="Calibri"/>
                                    <w:b/>
                                    <w:bCs/>
                                    <w:sz w:val="40"/>
                                    <w:szCs w:val="40"/>
                                  </w:rPr>
                                  <w:t>MAT 4901E</w:t>
                                </w:r>
                              </w:p>
                              <w:p w14:paraId="43750470" w14:textId="609C2376" w:rsidR="00DD4EE4" w:rsidRPr="00DD4EE4" w:rsidRDefault="00B64C72" w:rsidP="00DD4EE4">
                                <w:pPr>
                                  <w:rPr>
                                    <w:rFonts w:ascii="Calibri" w:hAnsi="Calibri" w:cs="Calibri"/>
                                    <w:b/>
                                    <w:bCs/>
                                    <w:sz w:val="40"/>
                                    <w:szCs w:val="40"/>
                                  </w:rPr>
                                </w:pPr>
                                <w:r>
                                  <w:rPr>
                                    <w:rFonts w:ascii="Calibri" w:hAnsi="Calibri" w:cs="Calibri"/>
                                    <w:b/>
                                    <w:bCs/>
                                    <w:sz w:val="40"/>
                                    <w:szCs w:val="40"/>
                                  </w:rPr>
                                  <w:t xml:space="preserve">PROF. DR. SEMRA AHMETOLAN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0B1908" id="Metin Kutusu 5" o:spid="_x0000_s1027" type="#_x0000_t202" style="position:absolute;left:0;text-align:left;margin-left:162.75pt;margin-top:468.3pt;width:294.1pt;height:160.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xzS5LwIAAFwEAAAOAAAAZHJzL2Uyb0RvYy54bWysVE1v2zAMvQ/YfxB0X+x8NG2NOEWWIsOA oC2QDj0rspQIkEVNUmJnv36UnK92Ow27yKRIPYrvUZ48tLUme+G8AlPSfi+nRBgOlTKbkv54XXy5 o8QHZiqmwYiSHoSnD9PPnyaNLcQAtqAr4QiCGF80tqTbEGyRZZ5vRc18D6wwGJTgahbQdZuscqxB 9FpngzwfZw24yjrgwnvcfeyCdJrwpRQ8PEvpRSC6pHi3kFaX1nVcs+mEFRvH7Fbx4zXYP9yiZspg 0TPUIwuM7Jz6A6pW3IEHGXoc6gykVFykHrCbfv6hm9WWWZF6QXK8PdPk/x8sf9qv7Isjof0KLQoY CWmsLzxuxn5a6er4xZsSjCOFhzNtog2E4+bwdji6Hw8o4Rgb5MNhfpdwsstx63z4JqAm0SipQ10S XWy/9AFLYuopJVbzoFW1UFonJ86CmGtH9gxV1OEE/i5LG9KUdDy8yROwgXi8Q9YGC1yailZo1y1R 1VXDa6gOyIODbkS85QuFd10yH16Yw5nA1nHOwzMuUgPWgqNFyRbcr7/tx3yUCqOUNDhjJfU/d8wJ SvR3gyLe90ejOJTJGd3cDtBx15H1dcTs6jkgAX18UZYnM+YHfTKlg/oNn8MsVsUQMxxrlzSczHno Jh+fExezWUrCMbQsLM3K8ggdCY9KvLZvzNmjXAGVfoLTNLLig2pdbjxpYLYLIFWSNPLcsXqkH0c4 KX18bvGNXPsp6/JTmP4GAAD//wMAUEsDBBQABgAIAAAAIQCNV3Wo6AAAABEBAAAPAAAAZHJzL2Rv d25yZXYueG1sTI9LT8MwEITvSPwHa5G4IOo0VtI2jVMhXpW40fAQNzc2SUS8jmI3Cf+e5QSXlVb7 zexMvpttx0Yz+NahhOUiAmawcrrFWsJL+XC9BuaDQq06h0bCt/GwK87PcpVpN+GzGQ+hZmSCPlMS mhD6jHNfNcYqv3C9Qbp9usGqQOtQcz2oicxtx+MoSrlVLdKHRvXmtjHV1+FkJXxc1e9Pfn58nUQi +vv9WK7edCnl5cV8t6VxswUWzBz+FPDbgfJDQcGO7oTas06CiJOEUAkbkabAiNgsxQrYkdA4SdfA i5z/b1L8AAAA//8DAFBLAQItABQABgAIAAAAIQC2gziS/gAAAOEBAAATAAAAAAAAAAAAAAAAAAAA AABbQ29udGVudF9UeXBlc10ueG1sUEsBAi0AFAAGAAgAAAAhADj9If/WAAAAlAEAAAsAAAAAAAAA AAAAAAAALwEAAF9yZWxzLy5yZWxzUEsBAi0AFAAGAAgAAAAhAF7HNLkvAgAAXAQAAA4AAAAAAAAA AAAAAAAALgIAAGRycy9lMm9Eb2MueG1sUEsBAi0AFAAGAAgAAAAhAI1XdajoAAAAEQEAAA8AAAAA AAAAAAAAAAAAiQQAAGRycy9kb3ducmV2LnhtbFBLBQYAAAAABAAEAPMAAACeBQAAAAA= " fillcolor="white [3201]" stroked="f" strokeweight=".5pt">
                    <v:textbox>
                      <w:txbxContent>
                        <w:p w14:paraId="4D40BA8C" w14:textId="281AF3C8" w:rsidR="00DD4EE4" w:rsidRDefault="00D863EA" w:rsidP="00DD4EE4">
                          <w:pPr>
                            <w:rPr>
                              <w:rFonts w:ascii="Calibri" w:hAnsi="Calibri" w:cs="Calibri"/>
                              <w:b/>
                              <w:bCs/>
                              <w:sz w:val="40"/>
                              <w:szCs w:val="40"/>
                            </w:rPr>
                          </w:pPr>
                          <w:r>
                            <w:rPr>
                              <w:rFonts w:ascii="Calibri" w:hAnsi="Calibri" w:cs="Calibri"/>
                              <w:b/>
                              <w:bCs/>
                              <w:sz w:val="40"/>
                              <w:szCs w:val="40"/>
                            </w:rPr>
                            <w:t>AHMET YEŞİL</w:t>
                          </w:r>
                        </w:p>
                        <w:p w14:paraId="47417E60" w14:textId="55ED9F9F" w:rsidR="00DD4EE4" w:rsidRDefault="00DD4EE4" w:rsidP="00DD4EE4">
                          <w:pPr>
                            <w:rPr>
                              <w:rFonts w:ascii="Calibri" w:hAnsi="Calibri" w:cs="Calibri"/>
                              <w:b/>
                              <w:bCs/>
                              <w:sz w:val="40"/>
                              <w:szCs w:val="40"/>
                            </w:rPr>
                          </w:pPr>
                          <w:r>
                            <w:rPr>
                              <w:rFonts w:ascii="Calibri" w:hAnsi="Calibri" w:cs="Calibri"/>
                              <w:b/>
                              <w:bCs/>
                              <w:sz w:val="40"/>
                              <w:szCs w:val="40"/>
                            </w:rPr>
                            <w:t>090220359</w:t>
                          </w:r>
                        </w:p>
                        <w:p w14:paraId="369A09D5" w14:textId="76B8E53F" w:rsidR="00DD4EE4" w:rsidRDefault="00B64C72" w:rsidP="00DD4EE4">
                          <w:pPr>
                            <w:rPr>
                              <w:rFonts w:ascii="Calibri" w:hAnsi="Calibri" w:cs="Calibri"/>
                              <w:b/>
                              <w:bCs/>
                              <w:sz w:val="40"/>
                              <w:szCs w:val="40"/>
                            </w:rPr>
                          </w:pPr>
                          <w:r>
                            <w:rPr>
                              <w:rFonts w:ascii="Calibri" w:hAnsi="Calibri" w:cs="Calibri"/>
                              <w:b/>
                              <w:bCs/>
                              <w:sz w:val="40"/>
                              <w:szCs w:val="40"/>
                            </w:rPr>
                            <w:t>June 14, 2026</w:t>
                          </w:r>
                        </w:p>
                        <w:p w14:paraId="6E6C152B" w14:textId="77777777" w:rsidR="00DD4EE4" w:rsidRDefault="00DD4EE4" w:rsidP="00DD4EE4">
                          <w:pPr>
                            <w:rPr>
                              <w:rFonts w:ascii="Calibri" w:hAnsi="Calibri" w:cs="Calibri"/>
                              <w:b/>
                              <w:bCs/>
                              <w:sz w:val="40"/>
                              <w:szCs w:val="40"/>
                            </w:rPr>
                          </w:pPr>
                          <w:r>
                            <w:rPr>
                              <w:rFonts w:ascii="Calibri" w:hAnsi="Calibri" w:cs="Calibri"/>
                              <w:b/>
                              <w:bCs/>
                              <w:sz w:val="40"/>
                              <w:szCs w:val="40"/>
                            </w:rPr>
                            <w:t>MAT 4901E</w:t>
                          </w:r>
                        </w:p>
                        <w:p w14:paraId="43750470" w14:textId="609C2376" w:rsidR="00DD4EE4" w:rsidRPr="00DD4EE4" w:rsidRDefault="00B64C72" w:rsidP="00DD4EE4">
                          <w:pPr>
                            <w:rPr>
                              <w:rFonts w:ascii="Calibri" w:hAnsi="Calibri" w:cs="Calibri"/>
                              <w:b/>
                              <w:bCs/>
                              <w:sz w:val="40"/>
                              <w:szCs w:val="40"/>
                            </w:rPr>
                          </w:pPr>
                          <w:r>
                            <w:rPr>
                              <w:rFonts w:ascii="Calibri" w:hAnsi="Calibri" w:cs="Calibri"/>
                              <w:b/>
                              <w:bCs/>
                              <w:sz w:val="40"/>
                              <w:szCs w:val="40"/>
                            </w:rPr>
                            <w:t xml:space="preserve">PROF. DR. SEMRA AHMETOLAN </w:t>
                          </w:r>
                        </w:p>
                      </w:txbxContent>
                    </v:textbox>
                  </v:shape>
                </w:pict>
              </mc:Fallback>
            </mc:AlternateContent>
            <mc:AlternateContent>
              <mc:Choice Requires="wps">
                <w:drawing>
                  <wp:anchor distT="0" distB="0" distL="114300" distR="114300" simplePos="0" relativeHeight="251669504" behindDoc="0" locked="0" layoutInCell="1" allowOverlap="1" wp14:anchorId="1AE198DD" wp14:editId="3804AD61">
                    <wp:simplePos x="0" y="0"/>
                    <wp:positionH relativeFrom="column">
                      <wp:posOffset>-4324</wp:posOffset>
                    </wp:positionH>
                    <wp:positionV relativeFrom="paragraph">
                      <wp:posOffset>5946181</wp:posOffset>
                    </wp:positionV>
                    <wp:extent cx="2071992" cy="2033081"/>
                    <wp:effectExtent l="0" t="0" r="0" b="0"/>
                    <wp:wrapNone/>
                    <wp:docPr id="4" name="Metin Kutusu 4"/>
                    <wp:cNvGraphicFramePr/>
                    <a:graphic xmlns:a="http://schemas.openxmlformats.org/drawingml/2006/main">
                      <a:graphicData uri="http://schemas.microsoft.com/office/word/2010/wordprocessingShape">
                        <wps:wsp>
                          <wps:cNvSpPr txBox="1"/>
                          <wps:spPr>
                            <a:xfrm>
                              <a:off x="0" y="0"/>
                              <a:ext cx="2071992" cy="2033081"/>
                            </a:xfrm>
                            <a:prstGeom prst="rect">
                              <a:avLst/>
                            </a:prstGeom>
                            <a:solidFill>
                              <a:schemeClr val="lt1"/>
                            </a:solidFill>
                            <a:ln w="6350">
                              <a:noFill/>
                            </a:ln>
                          </wps:spPr>
                          <wps:txbx>
                            <w:txbxContent>
                              <w:p w14:paraId="31469068" w14:textId="77777777" w:rsidR="00DD4EE4" w:rsidRPr="00DD4EE4" w:rsidRDefault="00B64C72" w:rsidP="00DD4EE4">
                                <w:pPr>
                                  <w:rPr>
                                    <w:rFonts w:ascii="Calibri" w:hAnsi="Calibri" w:cs="Calibri"/>
                                    <w:sz w:val="40"/>
                                    <w:szCs w:val="40"/>
                                  </w:rPr>
                                </w:pPr>
                                <w:r>
                                  <w:rPr>
                                    <w:rFonts w:ascii="Calibri" w:hAnsi="Calibri" w:cs="Calibri"/>
                                    <w:sz w:val="40"/>
                                    <w:szCs w:val="40"/>
                                  </w:rPr>
                                  <w:t>Prepared by</w:t>
                                  <w:tab/>
                                  <w:tab/>
                                  <w:t>:</w:t>
                                </w:r>
                              </w:p>
                              <w:p w14:paraId="7B1EB4AD" w14:textId="77777777" w:rsidR="00DD4EE4" w:rsidRPr="00DD4EE4" w:rsidRDefault="00B64C72" w:rsidP="00DD4EE4">
                                <w:pPr>
                                  <w:rPr>
                                    <w:rFonts w:ascii="Calibri" w:hAnsi="Calibri" w:cs="Calibri"/>
                                    <w:sz w:val="40"/>
                                    <w:szCs w:val="40"/>
                                  </w:rPr>
                                </w:pPr>
                                <w:r>
                                  <w:rPr>
                                    <w:rFonts w:ascii="Calibri" w:hAnsi="Calibri" w:cs="Calibri"/>
                                    <w:sz w:val="40"/>
                                    <w:szCs w:val="40"/>
                                  </w:rPr>
                                  <w:t>Student No</w:t>
                                  <w:tab/>
                                  <w:tab/>
                                  <w:t>:</w:t>
                                </w:r>
                              </w:p>
                              <w:p w14:paraId="64065B50" w14:textId="77777777" w:rsidR="00DD4EE4" w:rsidRPr="00DD4EE4" w:rsidRDefault="00B64C72" w:rsidP="00DD4EE4">
                                <w:pPr>
                                  <w:rPr>
                                    <w:rFonts w:ascii="Calibri" w:hAnsi="Calibri" w:cs="Calibri"/>
                                    <w:sz w:val="40"/>
                                    <w:szCs w:val="40"/>
                                  </w:rPr>
                                </w:pPr>
                                <w:r>
                                  <w:rPr>
                                    <w:rFonts w:ascii="Calibri" w:hAnsi="Calibri" w:cs="Calibri"/>
                                    <w:sz w:val="40"/>
                                    <w:szCs w:val="40"/>
                                  </w:rPr>
                                  <w:t>Submission Date</w:t>
                                  <w:tab/>
                                  <w:t>:</w:t>
                                </w:r>
                              </w:p>
                              <w:p w14:paraId="4602741A" w14:textId="77777777" w:rsidR="00DD4EE4" w:rsidRPr="00DD4EE4" w:rsidRDefault="00B64C72" w:rsidP="00DD4EE4">
                                <w:pPr>
                                  <w:rPr>
                                    <w:rFonts w:ascii="Calibri" w:hAnsi="Calibri" w:cs="Calibri"/>
                                    <w:sz w:val="40"/>
                                    <w:szCs w:val="40"/>
                                  </w:rPr>
                                </w:pPr>
                                <w:r>
                                  <w:rPr>
                                    <w:rFonts w:ascii="Calibri" w:hAnsi="Calibri" w:cs="Calibri"/>
                                    <w:sz w:val="40"/>
                                    <w:szCs w:val="40"/>
                                  </w:rPr>
                                  <w:t>Course</w:t>
                                  <w:tab/>
                                  <w:tab/>
                                  <w:tab/>
                                  <w:t>:</w:t>
                                </w:r>
                              </w:p>
                              <w:p w14:paraId="672CE4A2" w14:textId="77777777" w:rsidR="00DD4EE4" w:rsidRPr="00DD4EE4" w:rsidRDefault="00B64C72" w:rsidP="00DD4EE4">
                                <w:pPr>
                                  <w:rPr>
                                    <w:rFonts w:ascii="Calibri" w:hAnsi="Calibri" w:cs="Calibri"/>
                                    <w:sz w:val="40"/>
                                    <w:szCs w:val="40"/>
                                  </w:rPr>
                                </w:pPr>
                                <w:r>
                                  <w:rPr>
                                    <w:rFonts w:ascii="Calibri" w:hAnsi="Calibri" w:cs="Calibri"/>
                                    <w:sz w:val="40"/>
                                    <w:szCs w:val="40"/>
                                  </w:rPr>
                                  <w:t xml:space="preserve">Supervisor </w:t>
                                  <w:tab/>
                                  <w:tab/>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198DD" id="Metin Kutusu 4" o:spid="_x0000_s1028" type="#_x0000_t202" style="position:absolute;left:0;text-align:left;margin-left:-.35pt;margin-top:468.2pt;width:163.15pt;height:160.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1PduAMQIAAFwEAAAOAAAAZHJzL2Uyb0RvYy54bWysVE1v2zAMvQ/YfxB0X+w46UeMOEWWIsOA oC2QDj0rshQbkEVNUmJnv36UnK92Ow27yJRIPZLvUZ4+dI0ie2FdDbqgw0FKidAcylpvC/rjdfnl nhLnmS6ZAi0KehCOPsw+f5q2JhcZVKBKYQmCaJe3pqCV9yZPEscr0TA3ACM0OiXYhnnc2m1SWtYi eqOSLE1vkxZsaSxw4RyePvZOOov4Ugrun6V0whNVUKzNx9XGdRPWZDZl+dYyU9X8WAb7hyoaVmtM eoZ6ZJ6Rna3/gGpqbsGB9AMOTQJS1lzEHrCbYfqhm3XFjIi9IDnOnGly/w+WP+3X5sUS332FDgUM hLTG5Q4PQz+dtE34YqUE/Ujh4Uyb6DzheJild8PJJKOEoy9LR6P0PuIkl+vGOv9NQEOCUVCLukS6 2H7lPKbE0FNIyOZA1eWyVipuwiyIhbJkz1BF5U/g76KUJm1Bb0c3aQTWEK73yEpjgktTwfLdpiN1 ieWeGt5AeUAeLPQj4gxf1ljrijn/wizOBLaOc+6fcZEKMBccLUoqsL/+dh7iUSr0UtLijBXU/dwx KyhR3zWKOBmOx2Eo42Z8c5fhxl57NtcevWsWgAQM8UUZHs0Q79XJlBaaN3wO85AVXUxzzF1QfzIX vp98fE5czOcxCMfQML/Sa8MDdCA8KPHavTFrjnJ5VPoJTtPI8g+q9bHhpob5zoOso6SB557VI/04 wlHp43MLb+R6H6MuP4XZbwAAAP//AwBQSwMEFAAGAAgAAAAhAORtprrjAAAADwEAAA8AAABkcnMv ZG93bnJldi54bWxMT01PwzAMvSPxHyIjcUFbyso66JpOiE+JG+sG4pY1pq1onKrJ2vLvMSe4WLbe 8/vINpNtxYC9bxwpuJxHIJBKZxqqFOyKx9k1CB80Gd06QgXf6GGTn55kOjVupFcctqESLEI+1Qrq ELpUSl/WaLWfuw6JsU/XWx347Ctpej2yuG3lIooSaXVD7FDrDu9qLL+2R6vg46J6f/HT036Ml3H3 8DwUqzdTKHV+Nt2vedyuQQScwt8H/Hbg/JBzsIM7kvGiVTBbMVHBTZxcgWA8XiwTEAcm8pKAzDP5 v0f+AwAA//8DAFBLAQItABQABgAIAAAAIQC2gziS/gAAAOEBAAATAAAAAAAAAAAAAAAAAAAAAABb Q29udGVudF9UeXBlc10ueG1sUEsBAi0AFAAGAAgAAAAhADj9If/WAAAAlAEAAAsAAAAAAAAAAAAA AAAALwEAAF9yZWxzLy5yZWxzUEsBAi0AFAAGAAgAAAAhAPU924AxAgAAXAQAAA4AAAAAAAAAAAAA AAAALgIAAGRycy9lMm9Eb2MueG1sUEsBAi0AFAAGAAgAAAAhAORtprrjAAAADwEAAA8AAAAAAAAA AAAAAAAAiwQAAGRycy9kb3ducmV2LnhtbFBLBQYAAAAABAAEAPMAAACbBQAAAAA= " fillcolor="white [3201]" stroked="f" strokeweight=".5pt">
                    <v:textbox>
                      <w:txbxContent>
                        <w:p w14:paraId="31469068" w14:textId="77777777" w:rsidR="00DD4EE4" w:rsidRPr="00DD4EE4" w:rsidRDefault="00B64C72" w:rsidP="00DD4EE4">
                          <w:pPr>
                            <w:rPr>
                              <w:rFonts w:ascii="Calibri" w:hAnsi="Calibri" w:cs="Calibri"/>
                              <w:sz w:val="40"/>
                              <w:szCs w:val="40"/>
                            </w:rPr>
                          </w:pPr>
                          <w:r>
                            <w:rPr>
                              <w:rFonts w:ascii="Calibri" w:hAnsi="Calibri" w:cs="Calibri"/>
                              <w:sz w:val="40"/>
                              <w:szCs w:val="40"/>
                            </w:rPr>
                            <w:t>Prepared by</w:t>
                            <w:tab/>
                            <w:tab/>
                            <w:t>:</w:t>
                          </w:r>
                        </w:p>
                        <w:p w14:paraId="7B1EB4AD" w14:textId="77777777" w:rsidR="00DD4EE4" w:rsidRPr="00DD4EE4" w:rsidRDefault="00B64C72" w:rsidP="00DD4EE4">
                          <w:pPr>
                            <w:rPr>
                              <w:rFonts w:ascii="Calibri" w:hAnsi="Calibri" w:cs="Calibri"/>
                              <w:sz w:val="40"/>
                              <w:szCs w:val="40"/>
                            </w:rPr>
                          </w:pPr>
                          <w:r>
                            <w:rPr>
                              <w:rFonts w:ascii="Calibri" w:hAnsi="Calibri" w:cs="Calibri"/>
                              <w:sz w:val="40"/>
                              <w:szCs w:val="40"/>
                            </w:rPr>
                            <w:t>Student No</w:t>
                            <w:tab/>
                            <w:tab/>
                            <w:t>:</w:t>
                          </w:r>
                        </w:p>
                        <w:p w14:paraId="64065B50" w14:textId="77777777" w:rsidR="00DD4EE4" w:rsidRPr="00DD4EE4" w:rsidRDefault="00B64C72" w:rsidP="00DD4EE4">
                          <w:pPr>
                            <w:rPr>
                              <w:rFonts w:ascii="Calibri" w:hAnsi="Calibri" w:cs="Calibri"/>
                              <w:sz w:val="40"/>
                              <w:szCs w:val="40"/>
                            </w:rPr>
                          </w:pPr>
                          <w:r>
                            <w:rPr>
                              <w:rFonts w:ascii="Calibri" w:hAnsi="Calibri" w:cs="Calibri"/>
                              <w:sz w:val="40"/>
                              <w:szCs w:val="40"/>
                            </w:rPr>
                            <w:t>Submission Date</w:t>
                            <w:tab/>
                            <w:t>:</w:t>
                          </w:r>
                        </w:p>
                        <w:p w14:paraId="4602741A" w14:textId="77777777" w:rsidR="00DD4EE4" w:rsidRPr="00DD4EE4" w:rsidRDefault="00B64C72" w:rsidP="00DD4EE4">
                          <w:pPr>
                            <w:rPr>
                              <w:rFonts w:ascii="Calibri" w:hAnsi="Calibri" w:cs="Calibri"/>
                              <w:sz w:val="40"/>
                              <w:szCs w:val="40"/>
                            </w:rPr>
                          </w:pPr>
                          <w:r>
                            <w:rPr>
                              <w:rFonts w:ascii="Calibri" w:hAnsi="Calibri" w:cs="Calibri"/>
                              <w:sz w:val="40"/>
                              <w:szCs w:val="40"/>
                            </w:rPr>
                            <w:t>Course</w:t>
                            <w:tab/>
                            <w:tab/>
                            <w:tab/>
                            <w:t>:</w:t>
                          </w:r>
                        </w:p>
                        <w:p w14:paraId="672CE4A2" w14:textId="77777777" w:rsidR="00DD4EE4" w:rsidRPr="00DD4EE4" w:rsidRDefault="00B64C72" w:rsidP="00DD4EE4">
                          <w:pPr>
                            <w:rPr>
                              <w:rFonts w:ascii="Calibri" w:hAnsi="Calibri" w:cs="Calibri"/>
                              <w:sz w:val="40"/>
                              <w:szCs w:val="40"/>
                            </w:rPr>
                          </w:pPr>
                          <w:r>
                            <w:rPr>
                              <w:rFonts w:ascii="Calibri" w:hAnsi="Calibri" w:cs="Calibri"/>
                              <w:sz w:val="40"/>
                              <w:szCs w:val="40"/>
                            </w:rPr>
                            <w:t xml:space="preserve">Supervisor </w:t>
                            <w:tab/>
                            <w:tab/>
                            <w:t>:</w:t>
                          </w:r>
                        </w:p>
                      </w:txbxContent>
                    </v:textbox>
                  </v:shape>
                </w:pict>
              </mc:Fallback>
            </mc:AlternateContent>
          </w:r>
          <w:r>
            <w:rPr>
              <w:b/>
              <w:bCs/>
            </w:rPr>
            <w:br w:type="page"/>
          </w:r>
          <w:r>
            <w:rPr>
              <w:noProof/>
              <w:color w:val="000000" w:themeColor="text1"/>
              <w:lang w:eastAsia="tr-TR"/>
            </w:rPr>
            <mc:AlternateContent>
              <mc:Choice Requires="wps">
                <w:drawing>
                  <wp:anchor distT="0" distB="0" distL="114300" distR="114300" simplePos="0" relativeHeight="251666432" behindDoc="1" locked="0" layoutInCell="1" allowOverlap="1" wp14:anchorId="2E09A9F0" wp14:editId="43C9205F">
                    <wp:simplePos x="0" y="0"/>
                    <wp:positionH relativeFrom="column">
                      <wp:posOffset>-960755</wp:posOffset>
                    </wp:positionH>
                    <wp:positionV relativeFrom="paragraph">
                      <wp:posOffset>2896235</wp:posOffset>
                    </wp:positionV>
                    <wp:extent cx="570181" cy="222348"/>
                    <wp:effectExtent l="0" t="0" r="0" b="6350"/>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181" cy="222348"/>
                            </a:xfrm>
                            <a:prstGeom prst="rect">
                              <a:avLst/>
                            </a:prstGeom>
                            <a:solidFill>
                              <a:srgbClr val="01437A"/>
                            </a:solidFill>
                            <a:ln>
                              <a:noFill/>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6041C91" id="Rectangle 6" o:spid="_x0000_s1026" style="position:absolute;margin-left:-75.65pt;margin-top:228.05pt;width:44.9pt;height:17.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Gn0l/gEAANwDAAAOAAAAZHJzL2Uyb0RvYy54bWysU8GO0zAQvSPxD5bvNE3a3Zao6arqahHS AisWPsB1nMTC8Zix27R8PWOnWwrcEBfL45l5fu95vLo79oYdFHoNtuL5ZMqZshJqbduKf/3y8GbJ mQ/C1sKAVRU/Kc/v1q9frQZXqgI6MLVCRiDWl4OreBeCK7PMy071wk/AKUvJBrAXgUJssxrFQOi9 yYrp9DYbAGuHIJX3dHo/Jvk64TeNkuFT03gVmKk4cQtpxbTu4pqtV6JsUbhOyzMN8Q8seqEtXXqB uhdBsD3qv6B6LRE8NGEioc+gabRUSQOpyad/qHnuhFNJC5nj3cUm//9g5cfDEzJdV3zGmRU9PdFn Mk3Y1ih2G+0ZnC+p6tk9YRTo3SPIb55Z2HZUpTaIMHRK1EQqj/XZbw0x8NTKdsMHqAld7AMkp44N 9hGQPGDH9CCny4OoY2CSDm8W03yZcyYpVRTFbL5MN4jypdmhD+8U9CxuKo5EPYGLw6MPkYwoX0oS eTC6ftDGpADb3dYgO4g4G/l8ttic0f11mbGx2EJsGxHjSVIZhY0G7aA+kUiEccDoQ9CmA/zB2UDD VXH/fS9QcWbeWzLqbT6fx2lMwfxmUVCA15nddUZYSVAVlwE5G4NtGGd471C3Hd2VJ9kWNmRvo5P0 aP3I60yXRig5ch73OKPXcar69SnXPwEAAP//AwBQSwMEFAAGAAgAAAAhAMiuMA7mAAAAEQEAAA8A AABkcnMvZG93bnJldi54bWxMT8lOwzAQvSPxD9YgcUsdA4lKGqdCLAeQkCCgBm5uPCQBL1HstuHv GU5wGWnmvXlLuZ6tYXucwuCdBLFIgaFrvR5cJ+H15S5ZAgtROa2MdyjhGwOsq+OjUhXaH9wz7uvY MRJxoVAS+hjHgvPQ9mhVWPgRHWEffrIq0jp1XE/qQOLW8LM0zblVgyOHXo143WP7Ve+shLjMffO2 ea8bc8sfHjefjXm6b6Q8PZlvVjSuVsAizvHvA347UH6oKNjW75wOzEhIRCbOiSvhIssFMKIkuciA belyKQTwquT/m1Q/AAAA//8DAFBLAQItABQABgAIAAAAIQC2gziS/gAAAOEBAAATAAAAAAAAAAAA AAAAAAAAAABbQ29udGVudF9UeXBlc10ueG1sUEsBAi0AFAAGAAgAAAAhADj9If/WAAAAlAEAAAsA AAAAAAAAAAAAAAAALwEAAF9yZWxzLy5yZWxzUEsBAi0AFAAGAAgAAAAhAIYafSX+AQAA3AMAAA4A AAAAAAAAAAAAAAAALgIAAGRycy9lMm9Eb2MueG1sUEsBAi0AFAAGAAgAAAAhAMiuMA7mAAAAEQEA AA8AAAAAAAAAAAAAAAAAWAQAAGRycy9kb3ducmV2LnhtbFBLBQYAAAAABAAEAPMAAABrBQAAAAA= " fillcolor="#01437a" stroked="f"/>
                </w:pict>
              </mc:Fallback>
            </mc:AlternateContent>
          </w:r>
          <w:r>
            <w:rPr>
              <w:noProof/>
              <w:lang w:eastAsia="tr-TR"/>
            </w:rPr>
            <mc:AlternateContent>
              <mc:Choice Requires="wps">
                <w:drawing>
                  <wp:anchor distT="0" distB="0" distL="114300" distR="114300" simplePos="0" relativeHeight="251664384" behindDoc="0" locked="0" layoutInCell="1" allowOverlap="1" wp14:anchorId="060FDB57" wp14:editId="295E4198">
                    <wp:simplePos x="0" y="0"/>
                    <wp:positionH relativeFrom="column">
                      <wp:posOffset>-186690</wp:posOffset>
                    </wp:positionH>
                    <wp:positionV relativeFrom="paragraph">
                      <wp:posOffset>-1085850</wp:posOffset>
                    </wp:positionV>
                    <wp:extent cx="3115310" cy="203835"/>
                    <wp:effectExtent l="0" t="0" r="8890" b="0"/>
                    <wp:wrapNone/>
                    <wp:docPr id="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5310" cy="203835"/>
                            </a:xfrm>
                            <a:prstGeom prst="rect">
                              <a:avLst/>
                            </a:prstGeom>
                            <a:solidFill>
                              <a:srgbClr val="01437A"/>
                            </a:solidFill>
                            <a:ln>
                              <a:noFill/>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69C02BD" id="Rectangle 6" o:spid="_x0000_s1026" style="position:absolute;margin-left:-14.7pt;margin-top:-85.5pt;width:245.3pt;height:16.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vLHa/wEAAN0DAAAOAAAAZHJzL2Uyb0RvYy54bWysU8tu2zAQvBfoPxC815L8SFLBcmA4SFEg bYMm/QCaoiSiFJdd0pbdr++Scly3uRW9EFzucjgzu1zeHnrD9gq9BlvxYpJzpqyEWtu24t+e79/d cOaDsLUwYFXFj8rz29XbN8vBlWoKHZhaISMQ68vBVbwLwZVZ5mWneuEn4JSlZAPYi0AhtlmNYiD0 3mTTPL/KBsDaIUjlPZ3ejUm+SvhNo2T40jReBWYqTtxCWjGt27hmq6UoWxSu0/JEQ/wDi15oS4+e oe5EEGyH+hVUryWChyZMJPQZNI2WKmkgNUX+l5qnTjiVtJA53p1t8v8PVn7ePyLTNfWOMyt6atFX Mk3Y1ih2Fe0ZnC+p6sk9YhTo3QPI755Z2HRUpdaIMHRK1ESqiPXZHxdi4Okq2w6foCZ0sQuQnDo0 2EdA8oAdUkOO54aoQ2CSDmdFsZgV1DdJuWk+u5kt0hOifLnt0IcPCnoWNxVH4p7Qxf7Bh8hGlC8l iT0YXd9rY1KA7XZjkO1FHI5iPrten9D9ZZmxsdhCvDYixpMkMyobHdpCfSSVCOOE0Y+gTQf4k7OB pqvi/sdOoOLMfLTk1PtiPo/jmIL54npKAV5mtpcZYSVBVVwG5GwMNmEc4p1D3Xb0VpFkW1iTv41O 0qP3I68TXZqh5Mhp3uOQXsap6vevXP0CAAD//wMAUEsDBBQABgAIAAAAIQDJTgKx5gAAABIBAAAP AAAAZHJzL2Rvd25yZXYueG1sTE/JTsMwEL0j8Q/WIHFrnYQqpGmcCrEcQKoEATVwc2OTBOxxFLtt +HumJ7iMZnnzlmI9WcMOevS9QwHxPAKmsXGqx1bA2+vDLAPmg0QljUMt4Ed7WJfnZ4XMlTviiz5U oWVEgj6XAroQhpxz33TaSj93g0a6fbrRykDj2HI1yiORW8OTKEq5lT2SQicHfdvp5rvaWwEhS139 vv2oanPPnzbbr9o8P9ZCXF5MdysqNytgQU/h7wNOGcg/lGRs5/aoPDMCZslyQVBq4uuYohFkkcYJ sN1pdZUtgZcF/x+l/AUAAP//AwBQSwECLQAUAAYACAAAACEAtoM4kv4AAADhAQAAEwAAAAAAAAAA AAAAAAAAAAAAW0NvbnRlbnRfVHlwZXNdLnhtbFBLAQItABQABgAIAAAAIQA4/SH/1gAAAJQBAAAL AAAAAAAAAAAAAAAAAC8BAABfcmVscy8ucmVsc1BLAQItABQABgAIAAAAIQAtvLHa/wEAAN0DAAAO AAAAAAAAAAAAAAAAAC4CAABkcnMvZTJvRG9jLnhtbFBLAQItABQABgAIAAAAIQDJTgKx5gAAABIB AAAPAAAAAAAAAAAAAAAAAFkEAABkcnMvZG93bnJldi54bWxQSwUGAAAAAAQABADzAAAAbAUAAAAA " fillcolor="#01437a" stroked="f"/>
                </w:pict>
              </mc:Fallback>
            </mc:AlternateContent>
          </w:r>
        </w:p>
      </w:sdtContent>
    </w:sdt>
    <w:sdt>
      <w:sdtPr>
        <w:rPr>
          <w:rFonts w:asciiTheme="minorHAnsi" w:eastAsiaTheme="minorHAnsi" w:hAnsiTheme="minorHAnsi" w:cstheme="minorBidi"/>
          <w:b w:val="0"/>
          <w:bCs w:val="0"/>
          <w:color w:val="auto"/>
          <w:sz w:val="24"/>
          <w:szCs w:val="24"/>
          <w:lang w:eastAsia="en-US"/>
        </w:rPr>
        <w:id w:val="-158771614"/>
        <w:docPartObj>
          <w:docPartGallery w:val="Table of Contents"/>
          <w:docPartUnique/>
        </w:docPartObj>
      </w:sdtPr>
      <w:sdtEndPr>
        <w:rPr>
          <w:noProof/>
        </w:rPr>
      </w:sdtEndPr>
      <w:sdtContent>
        <w:p w14:paraId="7403BA9E" w14:textId="77777777" w:rsidR="00EA1468" w:rsidRPr="00EA1468" w:rsidRDefault="00EA1468" w:rsidP="000B73EE">
          <w:pPr>
            <w:pStyle w:val="TOCHeading"/>
            <w:jc w:val="both"/>
            <w:rPr>
              <w:sz w:val="32"/>
              <w:szCs w:val="32"/>
            </w:rPr>
          </w:pPr>
          <w:r>
            <w:rPr>
              <w:sz w:val="32"/>
              <w:szCs w:val="32"/>
            </w:rPr>
            <w:t>Table of Contents</w:t>
          </w:r>
        </w:p>
        <w:p w14:paraId="6DD835D4" w14:textId="2C88BCB1" w:rsidR="00D1106F" w:rsidRDefault="00EA1468">
          <w:pPr>
            <w:pStyle w:val="TOC1"/>
            <w:tabs>
              <w:tab w:val="right" w:leader="dot" w:pos="9056"/>
            </w:tabs>
            <w:rPr>
              <w:rFonts w:eastAsiaTheme="minorEastAsia" w:cstheme="minorBidi"/>
              <w:b w:val="0"/>
              <w:bCs w:val="0"/>
              <w:i w:val="0"/>
              <w:iCs w:val="0"/>
              <w:noProof/>
              <w:kern w:val="2"/>
              <w:lang w:val="en-TR"/>
              <w14:ligatures w14:val="standardContextual"/>
            </w:rPr>
          </w:pPr>
          <w:r>
            <w:rPr>
              <w:b w:val="0"/>
              <w:bCs w:val="0"/>
            </w:rPr>
            <w:fldChar w:fldCharType="begin"/>
          </w:r>
          <w:r>
            <w:instrText>TOC \o "1-3" \h \z \u</w:instrText>
          </w:r>
          <w:r>
            <w:rPr>
              <w:b w:val="0"/>
              <w:bCs w:val="0"/>
            </w:rPr>
            <w:fldChar w:fldCharType="separate"/>
          </w:r>
          <w:hyperlink w:anchor="_Toc232147072" w:history="1">
            <w:r>
              <w:rPr>
                <w:rStyle w:val="Hyperlink"/>
                <w:noProof/>
              </w:rPr>
              <w:t>Table of Figures</w:t>
            </w:r>
            <w:r>
              <w:rPr>
                <w:noProof/>
                <w:webHidden/>
              </w:rPr>
              <w:tab/>
              <w:fldChar w:fldCharType="begin"/>
              <w:instrText xml:space="preserve"> PAGEREF _Toc232147072 \h </w:instrText>
              <w:fldChar w:fldCharType="separate"/>
              <w:t>2</w:t>
              <w:fldChar w:fldCharType="end"/>
            </w:r>
          </w:hyperlink>
        </w:p>
        <w:p w14:paraId="1A9608C5" w14:textId="79C2CC8E" w:rsidR="00D1106F" w:rsidRDefault="00D1106F">
          <w:pPr>
            <w:pStyle w:val="TOC1"/>
            <w:tabs>
              <w:tab w:val="right" w:leader="dot" w:pos="9056"/>
            </w:tabs>
            <w:rPr>
              <w:rFonts w:eastAsiaTheme="minorEastAsia" w:cstheme="minorBidi"/>
              <w:b w:val="0"/>
              <w:bCs w:val="0"/>
              <w:i w:val="0"/>
              <w:iCs w:val="0"/>
              <w:noProof/>
              <w:kern w:val="2"/>
              <w:lang w:val="en-TR"/>
              <w14:ligatures w14:val="standardContextual"/>
            </w:rPr>
          </w:pPr>
          <w:hyperlink w:anchor="_Toc232147073" w:history="1">
            <w:r>
              <w:rPr>
                <w:rStyle w:val="Hyperlink"/>
                <w:noProof/>
              </w:rPr>
              <w:t>Table of Tables</w:t>
            </w:r>
            <w:r>
              <w:rPr>
                <w:noProof/>
                <w:webHidden/>
              </w:rPr>
              <w:tab/>
              <w:fldChar w:fldCharType="begin"/>
              <w:instrText xml:space="preserve"> PAGEREF _Toc232147073 \h </w:instrText>
              <w:fldChar w:fldCharType="separate"/>
              <w:t>2</w:t>
              <w:fldChar w:fldCharType="end"/>
            </w:r>
          </w:hyperlink>
        </w:p>
        <w:p w14:paraId="08DB1FB2" w14:textId="2BBFADAB" w:rsidR="00D1106F" w:rsidRDefault="00D1106F">
          <w:pPr>
            <w:pStyle w:val="TOC1"/>
            <w:tabs>
              <w:tab w:val="right" w:leader="dot" w:pos="9056"/>
            </w:tabs>
            <w:rPr>
              <w:rFonts w:eastAsiaTheme="minorEastAsia" w:cstheme="minorBidi"/>
              <w:b w:val="0"/>
              <w:bCs w:val="0"/>
              <w:i w:val="0"/>
              <w:iCs w:val="0"/>
              <w:noProof/>
              <w:kern w:val="2"/>
              <w:lang w:val="en-TR"/>
              <w14:ligatures w14:val="standardContextual"/>
            </w:rPr>
          </w:pPr>
          <w:hyperlink w:anchor="_Toc232147074" w:history="1">
            <w:r>
              <w:rPr>
                <w:rStyle w:val="Hyperlink"/>
                <w:noProof/>
              </w:rPr>
              <w:t>1. Definition and Purpose of Design</w:t>
            </w:r>
            <w:r>
              <w:rPr>
                <w:noProof/>
                <w:webHidden/>
              </w:rPr>
              <w:tab/>
              <w:fldChar w:fldCharType="begin"/>
              <w:instrText xml:space="preserve"> PAGEREF _Toc232147074 \h </w:instrText>
              <w:fldChar w:fldCharType="separate"/>
              <w:t>3</w:t>
              <w:fldChar w:fldCharType="end"/>
            </w:r>
          </w:hyperlink>
        </w:p>
        <w:p w14:paraId="595BB6FF" w14:textId="1B6DEF28" w:rsidR="00D1106F" w:rsidRDefault="00D1106F">
          <w:pPr>
            <w:pStyle w:val="TOC1"/>
            <w:tabs>
              <w:tab w:val="right" w:leader="dot" w:pos="9056"/>
            </w:tabs>
            <w:rPr>
              <w:rFonts w:eastAsiaTheme="minorEastAsia" w:cstheme="minorBidi"/>
              <w:b w:val="0"/>
              <w:bCs w:val="0"/>
              <w:i w:val="0"/>
              <w:iCs w:val="0"/>
              <w:noProof/>
              <w:kern w:val="2"/>
              <w:lang w:val="en-TR"/>
              <w14:ligatures w14:val="standardContextual"/>
            </w:rPr>
          </w:pPr>
          <w:hyperlink w:anchor="_Toc232147075" w:history="1">
            <w:r>
              <w:rPr>
                <w:rStyle w:val="Hyperlink"/>
                <w:noProof/>
              </w:rPr>
              <w:t>2. Scope of Design and Areas of Usage</w:t>
            </w:r>
            <w:r>
              <w:rPr>
                <w:noProof/>
                <w:webHidden/>
              </w:rPr>
              <w:tab/>
              <w:fldChar w:fldCharType="begin"/>
              <w:instrText xml:space="preserve"> PAGEREF _Toc232147075 \h </w:instrText>
              <w:fldChar w:fldCharType="separate"/>
              <w:t>3</w:t>
              <w:fldChar w:fldCharType="end"/>
            </w:r>
          </w:hyperlink>
        </w:p>
        <w:p w14:paraId="2E882B7B" w14:textId="3D18579A" w:rsidR="00D1106F" w:rsidRDefault="00D1106F">
          <w:pPr>
            <w:pStyle w:val="TOC1"/>
            <w:tabs>
              <w:tab w:val="right" w:leader="dot" w:pos="9056"/>
            </w:tabs>
            <w:rPr>
              <w:rFonts w:eastAsiaTheme="minorEastAsia" w:cstheme="minorBidi"/>
              <w:b w:val="0"/>
              <w:bCs w:val="0"/>
              <w:i w:val="0"/>
              <w:iCs w:val="0"/>
              <w:noProof/>
              <w:kern w:val="2"/>
              <w:lang w:val="en-TR"/>
              <w14:ligatures w14:val="standardContextual"/>
            </w:rPr>
          </w:pPr>
          <w:hyperlink w:anchor="_Toc232147076" w:history="1">
            <w:r>
              <w:rPr>
                <w:rStyle w:val="Hyperlink"/>
                <w:noProof/>
              </w:rPr>
              <w:t>3. Conducted Studies</w:t>
            </w:r>
            <w:r>
              <w:rPr>
                <w:noProof/>
                <w:webHidden/>
              </w:rPr>
              <w:tab/>
              <w:fldChar w:fldCharType="begin"/>
              <w:instrText xml:space="preserve"> PAGEREF _Toc232147076 \h </w:instrText>
              <w:fldChar w:fldCharType="separate"/>
              <w:t>4</w:t>
              <w:fldChar w:fldCharType="end"/>
            </w:r>
          </w:hyperlink>
        </w:p>
        <w:p w14:paraId="38F8D52A" w14:textId="270509F3" w:rsidR="00D1106F" w:rsidRDefault="00D1106F">
          <w:pPr>
            <w:pStyle w:val="TOC2"/>
            <w:tabs>
              <w:tab w:val="right" w:leader="dot" w:pos="9056"/>
            </w:tabs>
            <w:rPr>
              <w:rFonts w:eastAsiaTheme="minorEastAsia" w:cstheme="minorBidi"/>
              <w:b w:val="0"/>
              <w:bCs w:val="0"/>
              <w:noProof/>
              <w:kern w:val="2"/>
              <w:sz w:val="24"/>
              <w:szCs w:val="24"/>
              <w:lang w:val="en-TR"/>
              <w14:ligatures w14:val="standardContextual"/>
            </w:rPr>
          </w:pPr>
          <w:hyperlink w:anchor="_Toc232147077" w:history="1">
            <w:r>
              <w:rPr>
                <w:rStyle w:val="Hyperlink"/>
                <w:noProof/>
              </w:rPr>
              <w:t>3.1. Literature Review</w:t>
            </w:r>
            <w:r>
              <w:rPr>
                <w:noProof/>
                <w:webHidden/>
              </w:rPr>
              <w:tab/>
              <w:fldChar w:fldCharType="begin"/>
              <w:instrText xml:space="preserve"> PAGEREF _Toc232147077 \h </w:instrText>
              <w:fldChar w:fldCharType="separate"/>
              <w:t>4</w:t>
              <w:fldChar w:fldCharType="end"/>
            </w:r>
          </w:hyperlink>
        </w:p>
        <w:p w14:paraId="3D169109" w14:textId="5C2CA6A4" w:rsidR="00D1106F" w:rsidRDefault="00D1106F">
          <w:pPr>
            <w:pStyle w:val="TOC3"/>
            <w:tabs>
              <w:tab w:val="right" w:leader="dot" w:pos="9056"/>
            </w:tabs>
            <w:rPr>
              <w:rFonts w:eastAsiaTheme="minorEastAsia" w:cstheme="minorBidi"/>
              <w:noProof/>
              <w:kern w:val="2"/>
              <w:sz w:val="24"/>
              <w:szCs w:val="24"/>
              <w:lang w:val="en-TR"/>
              <w14:ligatures w14:val="standardContextual"/>
            </w:rPr>
          </w:pPr>
          <w:hyperlink w:anchor="_Toc232147078" w:history="1">
            <w:r>
              <w:rPr>
                <w:rStyle w:val="Hyperlink"/>
                <w:noProof/>
              </w:rPr>
              <w:t>3.1.1. Energy Management Strategies for Fuel Cell Hybrid Vehicles</w:t>
            </w:r>
            <w:r>
              <w:rPr>
                <w:noProof/>
                <w:webHidden/>
              </w:rPr>
              <w:tab/>
              <w:fldChar w:fldCharType="begin"/>
              <w:instrText xml:space="preserve"> PAGEREF _Toc232147078 \h </w:instrText>
              <w:fldChar w:fldCharType="separate"/>
              <w:t>4</w:t>
              <w:fldChar w:fldCharType="end"/>
            </w:r>
          </w:hyperlink>
        </w:p>
        <w:p w14:paraId="25C6EBE0" w14:textId="3676FE6C" w:rsidR="00D1106F" w:rsidRDefault="00D1106F">
          <w:pPr>
            <w:pStyle w:val="TOC3"/>
            <w:tabs>
              <w:tab w:val="right" w:leader="dot" w:pos="9056"/>
            </w:tabs>
            <w:rPr>
              <w:rFonts w:eastAsiaTheme="minorEastAsia" w:cstheme="minorBidi"/>
              <w:noProof/>
              <w:kern w:val="2"/>
              <w:sz w:val="24"/>
              <w:szCs w:val="24"/>
              <w:lang w:val="en-TR"/>
              <w14:ligatures w14:val="standardContextual"/>
            </w:rPr>
          </w:pPr>
          <w:hyperlink w:anchor="_Toc232147079" w:history="1">
            <w:r>
              <w:rPr>
                <w:rStyle w:val="Hyperlink"/>
                <w:noProof/>
              </w:rPr>
              <w:t>3.1.2. PEMFC Modelling Approaches</w:t>
            </w:r>
            <w:r>
              <w:rPr>
                <w:noProof/>
                <w:webHidden/>
              </w:rPr>
              <w:tab/>
              <w:fldChar w:fldCharType="begin"/>
              <w:instrText xml:space="preserve"> PAGEREF _Toc232147079 \h </w:instrText>
              <w:fldChar w:fldCharType="separate"/>
              <w:t>4</w:t>
              <w:fldChar w:fldCharType="end"/>
            </w:r>
          </w:hyperlink>
        </w:p>
        <w:p w14:paraId="5B53AF8A" w14:textId="61756E20" w:rsidR="00D1106F" w:rsidRDefault="00D1106F">
          <w:pPr>
            <w:pStyle w:val="TOC3"/>
            <w:tabs>
              <w:tab w:val="right" w:leader="dot" w:pos="9056"/>
            </w:tabs>
            <w:rPr>
              <w:rFonts w:eastAsiaTheme="minorEastAsia" w:cstheme="minorBidi"/>
              <w:noProof/>
              <w:kern w:val="2"/>
              <w:sz w:val="24"/>
              <w:szCs w:val="24"/>
              <w:lang w:val="en-TR"/>
              <w14:ligatures w14:val="standardContextual"/>
            </w:rPr>
          </w:pPr>
          <w:hyperlink w:anchor="_Toc232147080" w:history="1">
            <w:r>
              <w:rPr>
                <w:rStyle w:val="Hyperlink"/>
                <w:noProof/>
              </w:rPr>
              <w:t>3.1.3. Lithium-ion Battery Modelling Approaches</w:t>
            </w:r>
            <w:r>
              <w:rPr>
                <w:noProof/>
                <w:webHidden/>
              </w:rPr>
              <w:tab/>
              <w:fldChar w:fldCharType="begin"/>
              <w:instrText xml:space="preserve"> PAGEREF _Toc232147080 \h </w:instrText>
              <w:fldChar w:fldCharType="separate"/>
              <w:t>5</w:t>
              <w:fldChar w:fldCharType="end"/>
            </w:r>
          </w:hyperlink>
        </w:p>
        <w:p w14:paraId="34821FB1" w14:textId="5CAD8504" w:rsidR="00D1106F" w:rsidRDefault="00D1106F">
          <w:pPr>
            <w:pStyle w:val="TOC2"/>
            <w:tabs>
              <w:tab w:val="right" w:leader="dot" w:pos="9056"/>
            </w:tabs>
            <w:rPr>
              <w:rFonts w:eastAsiaTheme="minorEastAsia" w:cstheme="minorBidi"/>
              <w:b w:val="0"/>
              <w:bCs w:val="0"/>
              <w:noProof/>
              <w:kern w:val="2"/>
              <w:sz w:val="24"/>
              <w:szCs w:val="24"/>
              <w:lang w:val="en-TR"/>
              <w14:ligatures w14:val="standardContextual"/>
            </w:rPr>
          </w:pPr>
          <w:hyperlink w:anchor="_Toc232147081" w:history="1">
            <w:r>
              <w:rPr>
                <w:rStyle w:val="Hyperlink"/>
                <w:noProof/>
              </w:rPr>
              <w:t>3.2. System Architecture, Reference Vehicle and Drive Cycle</w:t>
            </w:r>
            <w:r>
              <w:rPr>
                <w:noProof/>
                <w:webHidden/>
              </w:rPr>
              <w:tab/>
              <w:fldChar w:fldCharType="begin"/>
              <w:instrText xml:space="preserve"> PAGEREF _Toc232147081 \h </w:instrText>
              <w:fldChar w:fldCharType="separate"/>
              <w:t>5</w:t>
              <w:fldChar w:fldCharType="end"/>
            </w:r>
          </w:hyperlink>
        </w:p>
        <w:p w14:paraId="7F06ABFA" w14:textId="0AAEA993" w:rsidR="00D1106F" w:rsidRDefault="00D1106F">
          <w:pPr>
            <w:pStyle w:val="TOC2"/>
            <w:tabs>
              <w:tab w:val="right" w:leader="dot" w:pos="9056"/>
            </w:tabs>
            <w:rPr>
              <w:rFonts w:eastAsiaTheme="minorEastAsia" w:cstheme="minorBidi"/>
              <w:b w:val="0"/>
              <w:bCs w:val="0"/>
              <w:noProof/>
              <w:kern w:val="2"/>
              <w:sz w:val="24"/>
              <w:szCs w:val="24"/>
              <w:lang w:val="en-TR"/>
              <w14:ligatures w14:val="standardContextual"/>
            </w:rPr>
          </w:pPr>
          <w:hyperlink w:anchor="_Toc232147082" w:history="1">
            <w:r>
              <w:rPr>
                <w:rStyle w:val="Hyperlink"/>
                <w:noProof/>
              </w:rPr>
              <w:t>The natural decision variable of the EMS is consequently the power delivered by the DC/DC converter to the bus,</w:t>
            </w:r>
            <w:r>
              <w:rPr>
                <w:noProof/>
                <w:webHidden/>
              </w:rPr>
              <w:tab/>
              <w:fldChar w:fldCharType="begin"/>
              <w:instrText xml:space="preserve"> PAGEREF _Toc232147082 \h </w:instrText>
              <w:fldChar w:fldCharType="separate"/>
              <w:t>6</w:t>
              <w:fldChar w:fldCharType="end"/>
            </w:r>
          </w:hyperlink>
        </w:p>
        <w:p w14:paraId="3E009E7D" w14:textId="0AEE10D0" w:rsidR="00D1106F" w:rsidRDefault="00D1106F">
          <w:pPr>
            <w:pStyle w:val="TOC2"/>
            <w:tabs>
              <w:tab w:val="right" w:leader="dot" w:pos="9056"/>
            </w:tabs>
            <w:rPr>
              <w:rFonts w:eastAsiaTheme="minorEastAsia" w:cstheme="minorBidi"/>
              <w:b w:val="0"/>
              <w:bCs w:val="0"/>
              <w:noProof/>
              <w:kern w:val="2"/>
              <w:sz w:val="24"/>
              <w:szCs w:val="24"/>
              <w:lang w:val="en-TR"/>
              <w14:ligatures w14:val="standardContextual"/>
            </w:rPr>
          </w:pPr>
          <w:hyperlink w:anchor="_Toc232147083" w:history="1">
            <w:r>
              <w:rPr>
                <w:rStyle w:val="Hyperlink"/>
                <w:noProof/>
              </w:rPr>
              <w:t>3.3. Mathematical Modelling of the Powertrain Components</w:t>
            </w:r>
            <w:r>
              <w:rPr>
                <w:noProof/>
                <w:webHidden/>
              </w:rPr>
              <w:tab/>
              <w:fldChar w:fldCharType="begin"/>
              <w:instrText xml:space="preserve"> PAGEREF _Toc232147083 \h </w:instrText>
              <w:fldChar w:fldCharType="separate"/>
              <w:t>8</w:t>
              <w:fldChar w:fldCharType="end"/>
            </w:r>
          </w:hyperlink>
        </w:p>
        <w:p w14:paraId="38CD073D" w14:textId="41C1FC1A" w:rsidR="00D1106F" w:rsidRDefault="00D1106F">
          <w:pPr>
            <w:pStyle w:val="TOC3"/>
            <w:tabs>
              <w:tab w:val="right" w:leader="dot" w:pos="9056"/>
            </w:tabs>
            <w:rPr>
              <w:rFonts w:eastAsiaTheme="minorEastAsia" w:cstheme="minorBidi"/>
              <w:noProof/>
              <w:kern w:val="2"/>
              <w:sz w:val="24"/>
              <w:szCs w:val="24"/>
              <w:lang w:val="en-TR"/>
              <w14:ligatures w14:val="standardContextual"/>
            </w:rPr>
          </w:pPr>
          <w:hyperlink w:anchor="_Toc232147084" w:history="1">
            <w:r>
              <w:rPr>
                <w:rStyle w:val="Hyperlink"/>
                <w:noProof/>
              </w:rPr>
              <w:t>3.3.1. Longitudinal vehicle dynamics</w:t>
            </w:r>
            <w:r>
              <w:rPr>
                <w:noProof/>
                <w:webHidden/>
              </w:rPr>
              <w:tab/>
              <w:fldChar w:fldCharType="begin"/>
              <w:instrText xml:space="preserve"> PAGEREF _Toc232147084 \h </w:instrText>
              <w:fldChar w:fldCharType="separate"/>
              <w:t>8</w:t>
              <w:fldChar w:fldCharType="end"/>
            </w:r>
          </w:hyperlink>
        </w:p>
        <w:p w14:paraId="2C9B833B" w14:textId="4777D17C" w:rsidR="00D1106F" w:rsidRDefault="00D1106F">
          <w:pPr>
            <w:pStyle w:val="TOC3"/>
            <w:tabs>
              <w:tab w:val="right" w:leader="dot" w:pos="9056"/>
            </w:tabs>
            <w:rPr>
              <w:rFonts w:eastAsiaTheme="minorEastAsia" w:cstheme="minorBidi"/>
              <w:noProof/>
              <w:kern w:val="2"/>
              <w:sz w:val="24"/>
              <w:szCs w:val="24"/>
              <w:lang w:val="en-TR"/>
              <w14:ligatures w14:val="standardContextual"/>
            </w:rPr>
          </w:pPr>
          <w:hyperlink w:anchor="_Toc232147085" w:history="1">
            <w:r>
              <w:rPr>
                <w:rStyle w:val="Hyperlink"/>
                <w:noProof/>
              </w:rPr>
              <w:t>3.3.2. PEMFC stack model: Mann–Amphlett GSSEM</w:t>
            </w:r>
            <w:r>
              <w:rPr>
                <w:noProof/>
                <w:webHidden/>
              </w:rPr>
              <w:tab/>
              <w:fldChar w:fldCharType="begin"/>
              <w:instrText xml:space="preserve"> PAGEREF _Toc232147085 \h </w:instrText>
              <w:fldChar w:fldCharType="separate"/>
              <w:t>8</w:t>
              <w:fldChar w:fldCharType="end"/>
            </w:r>
          </w:hyperlink>
        </w:p>
        <w:p w14:paraId="650640A1" w14:textId="2450427B" w:rsidR="00D1106F" w:rsidRDefault="00D1106F">
          <w:pPr>
            <w:pStyle w:val="TOC3"/>
            <w:tabs>
              <w:tab w:val="right" w:leader="dot" w:pos="9056"/>
            </w:tabs>
            <w:rPr>
              <w:rFonts w:eastAsiaTheme="minorEastAsia" w:cstheme="minorBidi"/>
              <w:noProof/>
              <w:kern w:val="2"/>
              <w:sz w:val="24"/>
              <w:szCs w:val="24"/>
              <w:lang w:val="en-TR"/>
              <w14:ligatures w14:val="standardContextual"/>
            </w:rPr>
          </w:pPr>
          <w:hyperlink w:anchor="_Toc232147086" w:history="1">
            <w:r>
              <w:rPr>
                <w:rStyle w:val="Hyperlink"/>
                <w:noProof/>
              </w:rPr>
              <w:t>3.3.3. Battery model: 1-RC equivalent circuit with hysteresis</w:t>
            </w:r>
            <w:r>
              <w:rPr>
                <w:noProof/>
                <w:webHidden/>
              </w:rPr>
              <w:tab/>
              <w:fldChar w:fldCharType="begin"/>
              <w:instrText xml:space="preserve"> PAGEREF _Toc232147086 \h </w:instrText>
              <w:fldChar w:fldCharType="separate"/>
              <w:t>10</w:t>
              <w:fldChar w:fldCharType="end"/>
            </w:r>
          </w:hyperlink>
        </w:p>
        <w:p w14:paraId="3BEA444B" w14:textId="17515561" w:rsidR="00D1106F" w:rsidRDefault="00D1106F">
          <w:pPr>
            <w:pStyle w:val="TOC2"/>
            <w:tabs>
              <w:tab w:val="right" w:leader="dot" w:pos="9056"/>
            </w:tabs>
            <w:rPr>
              <w:rFonts w:eastAsiaTheme="minorEastAsia" w:cstheme="minorBidi"/>
              <w:b w:val="0"/>
              <w:bCs w:val="0"/>
              <w:noProof/>
              <w:kern w:val="2"/>
              <w:sz w:val="24"/>
              <w:szCs w:val="24"/>
              <w:lang w:val="en-TR"/>
              <w14:ligatures w14:val="standardContextual"/>
            </w:rPr>
          </w:pPr>
          <w:hyperlink w:anchor="_Toc232147087" w:history="1">
            <w:r>
              <w:rPr>
                <w:rStyle w:val="Hyperlink"/>
                <w:noProof/>
              </w:rPr>
              <w:t>3.4. Power Flow Model</w:t>
            </w:r>
            <w:r>
              <w:rPr>
                <w:noProof/>
                <w:webHidden/>
              </w:rPr>
              <w:tab/>
              <w:fldChar w:fldCharType="begin"/>
              <w:instrText xml:space="preserve"> PAGEREF _Toc232147087 \h </w:instrText>
              <w:fldChar w:fldCharType="separate"/>
              <w:t>10</w:t>
              <w:fldChar w:fldCharType="end"/>
            </w:r>
          </w:hyperlink>
        </w:p>
        <w:p w14:paraId="254AC8FD" w14:textId="44BFC515" w:rsidR="00D1106F" w:rsidRDefault="00D1106F">
          <w:pPr>
            <w:pStyle w:val="TOC2"/>
            <w:tabs>
              <w:tab w:val="right" w:leader="dot" w:pos="9056"/>
            </w:tabs>
            <w:rPr>
              <w:rFonts w:eastAsiaTheme="minorEastAsia" w:cstheme="minorBidi"/>
              <w:b w:val="0"/>
              <w:bCs w:val="0"/>
              <w:noProof/>
              <w:kern w:val="2"/>
              <w:sz w:val="24"/>
              <w:szCs w:val="24"/>
              <w:lang w:val="en-TR"/>
              <w14:ligatures w14:val="standardContextual"/>
            </w:rPr>
          </w:pPr>
          <w:hyperlink w:anchor="_Toc232147088" w:history="1">
            <w:r>
              <w:rPr>
                <w:rStyle w:val="Hyperlink"/>
                <w:noProof/>
              </w:rPr>
              <w:t>3.5. Derivation of the Cost Function</w:t>
            </w:r>
            <w:r>
              <w:rPr>
                <w:noProof/>
                <w:webHidden/>
              </w:rPr>
              <w:tab/>
              <w:fldChar w:fldCharType="begin"/>
              <w:instrText xml:space="preserve"> PAGEREF _Toc232147088 \h </w:instrText>
              <w:fldChar w:fldCharType="separate"/>
              <w:t>10</w:t>
              <w:fldChar w:fldCharType="end"/>
            </w:r>
          </w:hyperlink>
        </w:p>
        <w:p w14:paraId="410D6049" w14:textId="5B57CB6B" w:rsidR="00D1106F" w:rsidRDefault="00D1106F">
          <w:pPr>
            <w:pStyle w:val="TOC2"/>
            <w:tabs>
              <w:tab w:val="right" w:leader="dot" w:pos="9056"/>
            </w:tabs>
            <w:rPr>
              <w:rFonts w:eastAsiaTheme="minorEastAsia" w:cstheme="minorBidi"/>
              <w:b w:val="0"/>
              <w:bCs w:val="0"/>
              <w:noProof/>
              <w:kern w:val="2"/>
              <w:sz w:val="24"/>
              <w:szCs w:val="24"/>
              <w:lang w:val="en-TR"/>
              <w14:ligatures w14:val="standardContextual"/>
            </w:rPr>
          </w:pPr>
          <w:hyperlink w:anchor="_Toc232147089" w:history="1">
            <w:r>
              <w:rPr>
                <w:rStyle w:val="Hyperlink"/>
                <w:noProof/>
              </w:rPr>
              <w:t>3.6. EMS Methods</w:t>
            </w:r>
            <w:r>
              <w:rPr>
                <w:noProof/>
                <w:webHidden/>
              </w:rPr>
              <w:tab/>
              <w:fldChar w:fldCharType="begin"/>
              <w:instrText xml:space="preserve"> PAGEREF _Toc232147089 \h </w:instrText>
              <w:fldChar w:fldCharType="separate"/>
              <w:t>10</w:t>
              <w:fldChar w:fldCharType="end"/>
            </w:r>
          </w:hyperlink>
        </w:p>
        <w:p w14:paraId="3933AA36" w14:textId="3CF109ED" w:rsidR="00D1106F" w:rsidRDefault="00D1106F">
          <w:pPr>
            <w:pStyle w:val="TOC2"/>
            <w:tabs>
              <w:tab w:val="right" w:leader="dot" w:pos="9056"/>
            </w:tabs>
            <w:rPr>
              <w:rFonts w:eastAsiaTheme="minorEastAsia" w:cstheme="minorBidi"/>
              <w:b w:val="0"/>
              <w:bCs w:val="0"/>
              <w:noProof/>
              <w:kern w:val="2"/>
              <w:sz w:val="24"/>
              <w:szCs w:val="24"/>
              <w:lang w:val="en-TR"/>
              <w14:ligatures w14:val="standardContextual"/>
            </w:rPr>
          </w:pPr>
          <w:hyperlink w:anchor="_Toc232147090" w:history="1">
            <w:r>
              <w:rPr>
                <w:rStyle w:val="Hyperlink"/>
                <w:noProof/>
              </w:rPr>
              <w:t>3.7. Current Status of the Study</w:t>
            </w:r>
            <w:r>
              <w:rPr>
                <w:noProof/>
                <w:webHidden/>
              </w:rPr>
              <w:tab/>
              <w:fldChar w:fldCharType="begin"/>
              <w:instrText xml:space="preserve"> PAGEREF _Toc232147090 \h </w:instrText>
              <w:fldChar w:fldCharType="separate"/>
              <w:t>10</w:t>
              <w:fldChar w:fldCharType="end"/>
            </w:r>
          </w:hyperlink>
        </w:p>
        <w:p w14:paraId="0E159D5B" w14:textId="2D41E530" w:rsidR="00D1106F" w:rsidRDefault="00D1106F">
          <w:pPr>
            <w:pStyle w:val="TOC1"/>
            <w:tabs>
              <w:tab w:val="right" w:leader="dot" w:pos="9056"/>
            </w:tabs>
            <w:rPr>
              <w:rFonts w:eastAsiaTheme="minorEastAsia" w:cstheme="minorBidi"/>
              <w:b w:val="0"/>
              <w:bCs w:val="0"/>
              <w:i w:val="0"/>
              <w:iCs w:val="0"/>
              <w:noProof/>
              <w:kern w:val="2"/>
              <w:lang w:val="en-TR"/>
              <w14:ligatures w14:val="standardContextual"/>
            </w:rPr>
          </w:pPr>
          <w:hyperlink w:anchor="_Toc232147091" w:history="1">
            <w:r>
              <w:rPr>
                <w:rStyle w:val="Hyperlink"/>
                <w:noProof/>
              </w:rPr>
              <w:t>4. References</w:t>
            </w:r>
            <w:r>
              <w:rPr>
                <w:noProof/>
                <w:webHidden/>
              </w:rPr>
              <w:tab/>
              <w:fldChar w:fldCharType="begin"/>
              <w:instrText xml:space="preserve"> PAGEREF _Toc232147091 \h </w:instrText>
              <w:fldChar w:fldCharType="separate"/>
              <w:t>10</w:t>
              <w:fldChar w:fldCharType="end"/>
            </w:r>
          </w:hyperlink>
        </w:p>
        <w:p w14:paraId="77FC2AF8" w14:textId="6E426753" w:rsidR="00EA1468" w:rsidRDefault="00EA1468" w:rsidP="000B73EE">
          <w:pPr>
            <w:spacing w:line="276" w:lineRule="auto"/>
            <w:jc w:val="both"/>
          </w:pPr>
          <w:r>
            <w:rPr>
              <w:b/>
              <w:bCs/>
              <w:noProof/>
            </w:rPr>
            <w:fldChar w:fldCharType="end"/>
          </w:r>
        </w:p>
      </w:sdtContent>
    </w:sdt>
    <w:p w14:paraId="20097178" w14:textId="77777777" w:rsidR="00AC43EA" w:rsidRDefault="00AC43EA" w:rsidP="000B73EE">
      <w:pPr>
        <w:pStyle w:val="Heading1"/>
        <w:spacing w:line="276" w:lineRule="auto"/>
        <w:jc w:val="both"/>
      </w:pPr>
    </w:p>
    <w:p w14:paraId="2552C85C" w14:textId="77777777" w:rsidR="00034BB3" w:rsidRDefault="00034BB3" w:rsidP="000B73EE">
      <w:pPr>
        <w:spacing w:line="276" w:lineRule="auto"/>
        <w:jc w:val="both"/>
        <w:rPr>
          <w:rFonts w:asciiTheme="majorHAnsi" w:eastAsiaTheme="majorEastAsia" w:hAnsiTheme="majorHAnsi" w:cstheme="majorBidi"/>
          <w:color w:val="2F5496" w:themeColor="accent1" w:themeShade="BF"/>
          <w:sz w:val="32"/>
          <w:szCs w:val="32"/>
        </w:rPr>
      </w:pPr>
      <w:r>
        <w:br w:type="page"/>
      </w:r>
    </w:p>
    <w:p w14:paraId="73DD3B00" w14:textId="77777777" w:rsidR="00034BB3" w:rsidRPr="00372A99" w:rsidRDefault="00B64C72" w:rsidP="000B73EE">
      <w:pPr>
        <w:pStyle w:val="Heading1"/>
        <w:spacing w:line="276" w:lineRule="auto"/>
        <w:jc w:val="both"/>
      </w:pPr>
      <w:bookmarkStart w:id="0" w:name="_Toc232147072"/>
      <w:r>
        <w:lastRenderedPageBreak/>
        <w:t>Table of Figures</w:t>
      </w:r>
      <w:bookmarkEnd w:id="0"/>
    </w:p>
    <w:p w14:paraId="3E2DB6B6" w14:textId="110F1889" w:rsidR="002900C5" w:rsidRDefault="00AF4A8C">
      <w:pPr>
        <w:pStyle w:val="TableofFigures"/>
        <w:tabs>
          <w:tab w:val="right" w:leader="dot" w:pos="9056"/>
        </w:tabs>
        <w:rPr>
          <w:rFonts w:eastAsiaTheme="minorEastAsia"/>
          <w:noProof/>
          <w:kern w:val="2"/>
          <w:lang w:val="en-TR"/>
          <w14:ligatures w14:val="standardContextual"/>
        </w:rPr>
      </w:pPr>
      <w:r>
        <w:fldChar w:fldCharType="begin"/>
        <w:instrText xml:space="preserve"> TOC \h \z \c "Figure" </w:instrText>
        <w:fldChar w:fldCharType="separate"/>
      </w:r>
      <w:hyperlink w:anchor="_Toc232147092" w:history="1">
        <w:r>
          <w:rPr>
            <w:rStyle w:val="Hyperlink"/>
            <w:noProof/>
          </w:rPr>
          <w:t>Figure 1 OCV-SOC Relations [11]</w:t>
        </w:r>
        <w:r>
          <w:rPr>
            <w:noProof/>
            <w:webHidden/>
          </w:rPr>
          <w:tab/>
          <w:fldChar w:fldCharType="begin"/>
          <w:instrText xml:space="preserve"> PAGEREF _Toc232147092 \h </w:instrText>
          <w:fldChar w:fldCharType="separate"/>
          <w:t>5</w:t>
          <w:fldChar w:fldCharType="end"/>
        </w:r>
      </w:hyperlink>
    </w:p>
    <w:p w14:paraId="7AC73629" w14:textId="57C71AAF" w:rsidR="002900C5" w:rsidRDefault="002900C5">
      <w:pPr>
        <w:pStyle w:val="TableofFigures"/>
        <w:tabs>
          <w:tab w:val="right" w:leader="dot" w:pos="9056"/>
        </w:tabs>
        <w:rPr>
          <w:rFonts w:eastAsiaTheme="minorEastAsia"/>
          <w:noProof/>
          <w:kern w:val="2"/>
          <w:lang w:val="en-TR"/>
          <w14:ligatures w14:val="standardContextual"/>
        </w:rPr>
      </w:pPr>
      <w:hyperlink w:anchor="_Toc232147093" w:history="1">
        <w:r>
          <w:rPr>
            <w:rStyle w:val="Hyperlink"/>
            <w:noProof/>
          </w:rPr>
          <w:t>Figure 2 Some Topologies. (a) Topology T1 (b) Topology T2 (c) Topology T3 (d) Topology T4 (e) Topology T5 [1]</w:t>
        </w:r>
        <w:r>
          <w:rPr>
            <w:noProof/>
            <w:webHidden/>
          </w:rPr>
          <w:tab/>
          <w:fldChar w:fldCharType="begin"/>
          <w:instrText xml:space="preserve"> PAGEREF _Toc232147093 \h </w:instrText>
          <w:fldChar w:fldCharType="separate"/>
          <w:t>6</w:t>
          <w:fldChar w:fldCharType="end"/>
        </w:r>
      </w:hyperlink>
    </w:p>
    <w:p w14:paraId="4775BF20" w14:textId="184C3B27" w:rsidR="002900C5" w:rsidRDefault="002900C5">
      <w:pPr>
        <w:pStyle w:val="TableofFigures"/>
        <w:tabs>
          <w:tab w:val="right" w:leader="dot" w:pos="9056"/>
        </w:tabs>
        <w:rPr>
          <w:rFonts w:eastAsiaTheme="minorEastAsia"/>
          <w:noProof/>
          <w:kern w:val="2"/>
          <w:lang w:val="en-TR"/>
          <w14:ligatures w14:val="standardContextual"/>
        </w:rPr>
      </w:pPr>
      <w:hyperlink w:anchor="_Toc232147094" w:history="1">
        <w:r>
          <w:rPr>
            <w:rStyle w:val="Hyperlink"/>
            <w:noProof/>
          </w:rPr>
          <w:t>Figure 3 WLTC Class 3b Low, Medium, High cycles [21]</w:t>
        </w:r>
        <w:r>
          <w:rPr>
            <w:noProof/>
            <w:webHidden/>
          </w:rPr>
          <w:tab/>
          <w:fldChar w:fldCharType="begin"/>
          <w:instrText xml:space="preserve"> PAGEREF _Toc232147094 \h </w:instrText>
          <w:fldChar w:fldCharType="separate"/>
          <w:t>7</w:t>
          <w:fldChar w:fldCharType="end"/>
        </w:r>
      </w:hyperlink>
    </w:p>
    <w:p w14:paraId="5BB124A3" w14:textId="0B320E9D" w:rsidR="00DB28D1" w:rsidRDefault="00AF4A8C" w:rsidP="000B73EE">
      <w:pPr>
        <w:spacing w:line="276" w:lineRule="auto"/>
        <w:jc w:val="both"/>
      </w:pPr>
      <w:r>
        <w:fldChar w:fldCharType="end"/>
      </w:r>
    </w:p>
    <w:p w14:paraId="214B9F94" w14:textId="77777777" w:rsidR="00DB28D1" w:rsidRDefault="00DB28D1" w:rsidP="000B73EE">
      <w:pPr>
        <w:spacing w:line="276" w:lineRule="auto"/>
        <w:jc w:val="both"/>
      </w:pPr>
    </w:p>
    <w:p w14:paraId="42A4D9C0" w14:textId="77777777" w:rsidR="00DB28D1" w:rsidRDefault="00DB28D1" w:rsidP="000B73EE">
      <w:pPr>
        <w:spacing w:line="276" w:lineRule="auto"/>
        <w:jc w:val="both"/>
      </w:pPr>
    </w:p>
    <w:p w14:paraId="49426B99" w14:textId="77777777" w:rsidR="00DB28D1" w:rsidRDefault="00DB28D1" w:rsidP="00DB28D1">
      <w:pPr>
        <w:pStyle w:val="Heading1"/>
      </w:pPr>
      <w:bookmarkStart w:id="1" w:name="_Toc168338872"/>
      <w:bookmarkStart w:id="2" w:name="_Toc232147073"/>
      <w:r>
        <w:t>Table of Tables</w:t>
      </w:r>
      <w:bookmarkEnd w:id="1"/>
      <w:bookmarkEnd w:id="2"/>
    </w:p>
    <w:p w14:paraId="344DC447" w14:textId="4E46C326" w:rsidR="00167202" w:rsidRDefault="00DB28D1">
      <w:pPr>
        <w:pStyle w:val="TableofFigures"/>
        <w:tabs>
          <w:tab w:val="right" w:leader="dot" w:pos="9056"/>
        </w:tabs>
        <w:rPr>
          <w:rFonts w:eastAsiaTheme="minorEastAsia"/>
          <w:noProof/>
          <w:kern w:val="2"/>
          <w:lang w:val="en-TR"/>
          <w14:ligatures w14:val="standardContextual"/>
        </w:rPr>
      </w:pPr>
      <w:r>
        <w:fldChar w:fldCharType="begin"/>
        <w:instrText xml:space="preserve"> TOC \h \z \c "Table" </w:instrText>
        <w:fldChar w:fldCharType="separate"/>
      </w:r>
      <w:hyperlink w:anchor="_Toc232098920" w:history="1">
        <w:r>
          <w:rPr>
            <w:rStyle w:val="Hyperlink"/>
            <w:noProof/>
          </w:rPr>
          <w:t>Table 1 Architectural selections of the study.</w:t>
        </w:r>
        <w:r>
          <w:rPr>
            <w:noProof/>
            <w:webHidden/>
          </w:rPr>
          <w:tab/>
          <w:fldChar w:fldCharType="begin"/>
          <w:instrText xml:space="preserve"> PAGEREF _Toc232098920 \h </w:instrText>
          <w:fldChar w:fldCharType="separate"/>
          <w:t>6</w:t>
          <w:fldChar w:fldCharType="end"/>
        </w:r>
      </w:hyperlink>
    </w:p>
    <w:p w14:paraId="17794AB3" w14:textId="266FB29C" w:rsidR="00DB28D1" w:rsidRDefault="00DB28D1" w:rsidP="00DB28D1">
      <w:pPr>
        <w:pStyle w:val="Heading1"/>
      </w:pPr>
      <w:r>
        <w:fldChar w:fldCharType="end"/>
        <w:t xml:space="preserve"> </w:t>
      </w:r>
    </w:p>
    <w:p w14:paraId="2B725948" w14:textId="6D35C3C9" w:rsidR="00AC43EA" w:rsidRDefault="00AC43EA" w:rsidP="000B73EE">
      <w:pPr>
        <w:spacing w:line="276" w:lineRule="auto"/>
        <w:jc w:val="both"/>
        <w:rPr>
          <w:rFonts w:asciiTheme="majorHAnsi" w:eastAsiaTheme="majorEastAsia" w:hAnsiTheme="majorHAnsi" w:cstheme="majorBidi"/>
          <w:color w:val="2F5496" w:themeColor="accent1" w:themeShade="BF"/>
          <w:sz w:val="32"/>
          <w:szCs w:val="32"/>
        </w:rPr>
      </w:pPr>
      <w:r>
        <w:fldChar w:fldCharType="begin"/>
        <w:instrText xml:space="preserve"> TOC \h \z \c "Şekil" </w:instrText>
        <w:fldChar w:fldCharType="separate"/>
        <w:fldChar w:fldCharType="end"/>
        <w:br w:type="page"/>
      </w:r>
    </w:p>
    <w:p w14:paraId="5CD7EFC7" w14:textId="77777777" w:rsidR="0023330B" w:rsidRDefault="003125DC" w:rsidP="000B73EE">
      <w:pPr>
        <w:pStyle w:val="Heading1"/>
        <w:spacing w:line="276" w:lineRule="auto"/>
        <w:jc w:val="both"/>
      </w:pPr>
      <w:bookmarkStart w:id="3" w:name="_Toc232147074"/>
      <w:r>
        <w:lastRenderedPageBreak/>
        <w:t>1. Definition and Purpose of Design</w:t>
      </w:r>
      <w:bookmarkEnd w:id="3"/>
    </w:p>
    <w:p w14:paraId="5A546CC0" w14:textId="54FCFC33" w:rsidR="00CE3DE7" w:rsidRDefault="00455F7E" w:rsidP="000B73EE">
      <w:pPr>
        <w:spacing w:line="276" w:lineRule="auto"/>
        <w:jc w:val="both"/>
      </w:pPr>
      <w:r>
        <w:t xml:space="preserve"> The purpose of this study is modelling a plug-in hydrogen fuel cell hybrid electrical vehicle (FCHEV) and find optimal energy management strategy (EMS) for this FCHEV.</w:t>
      </w:r>
    </w:p>
    <w:p w14:paraId="5D687ABD" w14:textId="77777777" w:rsidR="00EC22A3" w:rsidRDefault="00EC22A3" w:rsidP="000B73EE">
      <w:pPr>
        <w:spacing w:line="276" w:lineRule="auto"/>
        <w:jc w:val="both"/>
      </w:pPr>
    </w:p>
    <w:p w14:paraId="18D89695" w14:textId="16FDD8A1" w:rsidR="00EC22A3" w:rsidRDefault="002E5E75" w:rsidP="000B73EE">
      <w:pPr>
        <w:spacing w:line="276" w:lineRule="auto"/>
        <w:jc w:val="both"/>
      </w:pPr>
      <w:r>
        <w:t xml:space="preserve">Hydrogen fuel cell vehicles one of the most eco-friendly vehicles since the only exhaust emission of a proton exchange membrane fuel cell (PEMFC) is water. A fuel cell alone is not fully suited for daily driving due to its dynamic response to acceleration is slow, it cannot absorb the energy from regenerative breaking and frequent load cycling accelerates membrane degradation.[1] For these reasons, the fuel cell is hybridized with a </w:t>
      </w:r>
      <w:r>
        <w:rPr>
          <w:color w:val="000000"/>
        </w:rPr>
        <w:t>lithium-ion</w:t>
      </w:r>
      <w:r>
        <w:t xml:space="preserve"> battery pack and result of this the architecture of the vehicle contains two independent energy sources. In the plug-in hybrid configuration considered in this study, the </w:t>
      </w:r>
      <w:r>
        <w:rPr>
          <w:color w:val="000000"/>
        </w:rPr>
        <w:t>lithium-ion</w:t>
      </w:r>
      <w:r>
        <w:t xml:space="preserve"> battery is additionally charged from the electrical grid. Aim of this plug-in hybrid approach is accelerate charging of the battery and gaining range.</w:t>
      </w:r>
    </w:p>
    <w:p w14:paraId="2635480B" w14:textId="77777777" w:rsidR="00811979" w:rsidRDefault="00811979" w:rsidP="000B73EE">
      <w:pPr>
        <w:spacing w:line="276" w:lineRule="auto"/>
        <w:jc w:val="both"/>
      </w:pPr>
    </w:p>
    <w:p w14:paraId="1F4C47D6" w14:textId="3AF47465" w:rsidR="00811979" w:rsidRPr="00CE3DE7" w:rsidRDefault="00A53633" w:rsidP="000B73EE">
      <w:pPr>
        <w:spacing w:line="276" w:lineRule="auto"/>
        <w:jc w:val="both"/>
      </w:pPr>
      <w:r>
        <w:t xml:space="preserve">Whenever the driver demands a traction power </w:t>
      </w:r>
      <m:oMath>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load</m:t>
            </m:r>
          </m:sub>
        </m:sSub>
        <m:r>
          <w:rPr>
            <w:rFonts w:ascii="Cambria Math" w:hAnsi="Cambria Math"/>
            <w:color w:val="000000"/>
          </w:rPr>
          <m:t>(t)</m:t>
        </m:r>
      </m:oMath>
      <w:r>
        <w:rPr>
          <w:rFonts w:eastAsiaTheme="minorEastAsia"/>
          <w:color w:val="000000"/>
        </w:rPr>
        <w:t xml:space="preserve"> controller must decide the load at every instant, what fraction of this demand is supplied by the fuel cell and what fraction is supplied by the battery. This demand decision rule is the energy management strategy, and is success directly affects hydrogen and electric consumption and in the end real life cost. The problem naturally acts like optimal control problem in which cumulative cost functional is minimized </w:t>
      </w:r>
      <w:r>
        <w:rPr>
          <w:color w:val="000000"/>
        </w:rPr>
        <w:t>subject to the power balance of the DC bus, the state-of-charge (SoC) dynamics of the battery and the physical limits of the components.</w:t>
      </w:r>
    </w:p>
    <w:p w14:paraId="73A76F89" w14:textId="77777777" w:rsidR="00EF55B0" w:rsidRDefault="00EF55B0" w:rsidP="000B73EE">
      <w:pPr>
        <w:spacing w:line="276" w:lineRule="auto"/>
        <w:jc w:val="both"/>
        <w:rPr>
          <w:rFonts w:ascii="Calibri" w:hAnsi="Calibri"/>
        </w:rPr>
      </w:pPr>
    </w:p>
    <w:p w14:paraId="28956A68" w14:textId="5BAC1DD1" w:rsidR="001A4B15" w:rsidRDefault="00BC1AEA" w:rsidP="000B73EE">
      <w:pPr>
        <w:spacing w:line="276" w:lineRule="auto"/>
        <w:jc w:val="both"/>
        <w:rPr>
          <w:rFonts w:ascii="Calibri" w:hAnsi="Calibri"/>
        </w:rPr>
      </w:pPr>
      <w:r>
        <w:rPr>
          <w:rFonts w:ascii="Calibri" w:hAnsi="Calibri"/>
        </w:rPr>
        <w:t>In this project aim is to model a FCHEV alongside with a fuel cell stack and a battery derive cost function, and formulation of four solution strategies.</w:t>
      </w:r>
    </w:p>
    <w:p w14:paraId="796EC7A3" w14:textId="77777777" w:rsidR="00EF55B0" w:rsidRPr="000354BA" w:rsidRDefault="003125DC" w:rsidP="000B73EE">
      <w:pPr>
        <w:pStyle w:val="Heading1"/>
        <w:spacing w:line="276" w:lineRule="auto"/>
        <w:jc w:val="both"/>
      </w:pPr>
      <w:bookmarkStart w:id="4" w:name="_Toc232147075"/>
      <w:r>
        <w:t>2. Scope of Design and Areas of Usage</w:t>
      </w:r>
      <w:bookmarkEnd w:id="4"/>
      <w:r>
        <w:t xml:space="preserve"> </w:t>
      </w:r>
    </w:p>
    <w:p w14:paraId="1F5B7789" w14:textId="774DC6A8" w:rsidR="009228C7" w:rsidRDefault="009046DE" w:rsidP="000B73EE">
      <w:pPr>
        <w:spacing w:line="276" w:lineRule="auto"/>
        <w:jc w:val="both"/>
        <w:rPr>
          <w:color w:val="000000"/>
        </w:rPr>
      </w:pPr>
      <w:r>
        <w:rPr>
          <w:rFonts w:ascii="Calibri" w:hAnsi="Calibri"/>
        </w:rPr>
        <w:t xml:space="preserve">This study mainly divided six steps. First, a literature review is carried out on energy management strategies for fuel cell hybrid vehicles, zero-dimensional PEMFC modelling and on lumped-parameter equivalent circuit models of </w:t>
      </w:r>
      <w:r>
        <w:rPr>
          <w:color w:val="000000"/>
        </w:rPr>
        <w:t xml:space="preserve">lithium-ion </w:t>
      </w:r>
      <w:r>
        <w:rPr>
          <w:rFonts w:ascii="Calibri" w:hAnsi="Calibri"/>
        </w:rPr>
        <w:t xml:space="preserve">batteries. Second the system architecture is selected: the T4 topology, in which the PEMFC is connected to the DC Bus  </w:t>
      </w:r>
      <w:r>
        <w:rPr>
          <w:color w:val="000000"/>
        </w:rPr>
        <w:t xml:space="preserve">through a unidirectional DC/DC converter while the battery is connected directly, is selected, the second-generation Toyota Mirai is selected as the reference vehicle, and two consecutive Worldwide Harmonized Light Vehicles Test Procedure (WLTP) Class 3b cycles are selected as the reference trip. Third, the mathematical models of the PEMFC and lithium-ion </w:t>
      </w:r>
      <w:r>
        <w:rPr>
          <w:rFonts w:ascii="Calibri" w:hAnsi="Calibri"/>
        </w:rPr>
        <w:t xml:space="preserve">battery are constructed: </w:t>
      </w:r>
      <w:r>
        <w:rPr>
          <w:color w:val="000000"/>
        </w:rPr>
        <w:t xml:space="preserve">the longitudinal vehicle dynamics, the Mann–Amphlett Generalized Steady-State Electrochemical Model (GSSEM) of the fuel cell stack, and the first-order resistor–capacitor equivalent circuit model with hysteresis (1-RC + Hysteresis) of the battery. Fourth, the system’s power flow model is constructed and the conversion chains from the control decision to the hydrogen mass flow rate and to the battery state of charge are derived. Fifth, the operational cost function combining the grid electricity cost and the hydrogen cost is derived for the charge-depleting plug-in hybrid scenario and prices are adopted from Germany 2026 </w:t>
        <w:lastRenderedPageBreak/>
        <w:t>price scenarios. Finally, the complete optimal control problem is stated and the four EMS strategies selected and formulated.</w:t>
      </w:r>
    </w:p>
    <w:p w14:paraId="16C3E6C9" w14:textId="77777777" w:rsidR="00E612B5" w:rsidRDefault="00E612B5" w:rsidP="000B73EE">
      <w:pPr>
        <w:spacing w:line="276" w:lineRule="auto"/>
        <w:jc w:val="both"/>
        <w:rPr>
          <w:color w:val="000000"/>
        </w:rPr>
      </w:pPr>
    </w:p>
    <w:p w14:paraId="1565FFE5" w14:textId="14C64EA6" w:rsidR="00003B17" w:rsidRDefault="00460E4A" w:rsidP="000B73EE">
      <w:pPr>
        <w:spacing w:line="276" w:lineRule="auto"/>
        <w:jc w:val="both"/>
        <w:rPr>
          <w:color w:val="000000"/>
        </w:rPr>
      </w:pPr>
      <w:r>
        <w:rPr>
          <w:color w:val="000000"/>
        </w:rPr>
        <w:t>The outputs of the study can be used in several areas. The formulation provides a directly transferable basis for the supervisory control software of plug-in fuel cell passenger cars, and, with modified parameter sets, of fuel cell city buses, light commercial vehicles. Since the cost function is parametrized with European hydrogen and electricity prices can be used for feasibility analysis of fuel cell vehicles in European market.</w:t>
      </w:r>
    </w:p>
    <w:p w14:paraId="547836C5" w14:textId="77777777" w:rsidR="00003B17" w:rsidRDefault="00003B17" w:rsidP="000B73EE">
      <w:pPr>
        <w:spacing w:line="276" w:lineRule="auto"/>
        <w:jc w:val="both"/>
        <w:rPr>
          <w:rFonts w:ascii="Calibri" w:hAnsi="Calibri"/>
        </w:rPr>
      </w:pPr>
    </w:p>
    <w:p w14:paraId="13057FEA" w14:textId="77777777" w:rsidR="002803A1" w:rsidRDefault="00753F7B" w:rsidP="000B73EE">
      <w:pPr>
        <w:pStyle w:val="Heading1"/>
        <w:spacing w:line="276" w:lineRule="auto"/>
        <w:jc w:val="both"/>
      </w:pPr>
      <w:bookmarkStart w:id="5" w:name="_Toc232147076"/>
      <w:r>
        <w:t>3. Conducted Studies</w:t>
      </w:r>
      <w:bookmarkEnd w:id="5"/>
    </w:p>
    <w:p w14:paraId="3AB455CE" w14:textId="77777777" w:rsidR="008F3174" w:rsidRDefault="008F3174" w:rsidP="000B73EE">
      <w:pPr>
        <w:pStyle w:val="Heading2"/>
        <w:spacing w:line="276" w:lineRule="auto"/>
        <w:jc w:val="both"/>
      </w:pPr>
    </w:p>
    <w:p w14:paraId="646ED3F7" w14:textId="3BEE2954" w:rsidR="00205833" w:rsidRDefault="00465C3D" w:rsidP="000B73EE">
      <w:pPr>
        <w:pStyle w:val="Heading2"/>
        <w:spacing w:line="276" w:lineRule="auto"/>
        <w:jc w:val="both"/>
      </w:pPr>
      <w:bookmarkStart w:id="6" w:name="_Toc232147077"/>
      <w:r>
        <w:t>3.1. Literature Review</w:t>
      </w:r>
      <w:bookmarkEnd w:id="6"/>
    </w:p>
    <w:p w14:paraId="1BFB3BAB" w14:textId="77777777" w:rsidR="008F3174" w:rsidRDefault="008F3174" w:rsidP="00236D10">
      <w:pPr>
        <w:pStyle w:val="Heading3"/>
        <w:spacing w:line="276" w:lineRule="auto"/>
        <w:jc w:val="both"/>
      </w:pPr>
    </w:p>
    <w:p w14:paraId="52CF2D9D" w14:textId="3E692981" w:rsidR="00236D10" w:rsidRDefault="003B5BF2" w:rsidP="00236D10">
      <w:pPr>
        <w:pStyle w:val="Heading3"/>
        <w:spacing w:line="276" w:lineRule="auto"/>
        <w:jc w:val="both"/>
      </w:pPr>
      <w:bookmarkStart w:id="7" w:name="_Toc232147078"/>
      <w:r>
        <w:t>3.1.1. Energy Management Strategies for Fuel Cell Hybrid Vehicles</w:t>
      </w:r>
      <w:bookmarkEnd w:id="7"/>
    </w:p>
    <w:p w14:paraId="248AA735" w14:textId="77777777" w:rsidR="008F3174" w:rsidRDefault="008F3174" w:rsidP="00DF62D9"/>
    <w:p w14:paraId="782D79FA" w14:textId="723E951D" w:rsidR="00EF5F68" w:rsidRPr="00EF5F68" w:rsidRDefault="000842C5" w:rsidP="00971B53">
      <w:pPr>
        <w:spacing w:line="276" w:lineRule="auto"/>
        <w:jc w:val="both"/>
      </w:pPr>
      <w:r>
        <w:t>Energy management strategies are commonly grouped into three classes [</w:t>
        <w:fldChar w:fldCharType="begin"/>
        <w:instrText>HYPERLINK  \l "_4._References"</w:instrText>
        <w:fldChar w:fldCharType="separate"/>
      </w:r>
      <w:r>
        <w:rPr>
          <w:rStyle w:val="Hyperlink"/>
        </w:rPr>
        <w:t>1</w:t>
      </w:r>
      <w:r>
        <w:fldChar w:fldCharType="end"/>
        <w:t xml:space="preserve">]. Rule based strategies, comparing predetermined rules and use fuzzy logic thus they carry no optimality guarantee. Optimization-based strategies, </w:t>
      </w:r>
      <w:r>
        <w:rPr>
          <w:color w:val="000000"/>
        </w:rPr>
        <w:t>formulate the power split as an optimal control problem. Dynamic programming computes the global optimum by backward recursion over the whole drive cycle and is therefore usable only offline, as a benchmark [15], [16]. Equivalent Consumption Minimization Strategy (ECMS) uses Pontryagin’s Minimum Principle (PMP) converts the constrained problem into the pointwise minimization of a Hamiltonian and can be interpreted as a real-time realization of PMP in which the co-state is replaced by an equivalence factor [2], [3]. Xu et al. applied PMP to a plug-in fuel cell city bus and demonstrated that the PMP solution remains within approximately 1.4 % of the DP optimum while being realizable in real time; the same study proved that a classical ECMS with a constant equivalence factor might degenerate into a charge-depleting/charge-sustaining (CDCS) strategy in the plug-in case [4].  Adaptive versions of ECMS for this reason update the equivalence factor online, typically by a proportional–integral feedback on the SoC tracking error [5]. Model predictive control (MPC) solves a finite-horizon optimization at every sampling instant and applies only the first element of the resulting control sequence [1].</w:t>
      </w:r>
    </w:p>
    <w:p w14:paraId="2B8CCF10" w14:textId="77777777" w:rsidR="008F3174" w:rsidRDefault="008F3174" w:rsidP="00624857">
      <w:pPr>
        <w:pStyle w:val="Heading3"/>
      </w:pPr>
    </w:p>
    <w:p w14:paraId="66C5176D" w14:textId="7F0B8969" w:rsidR="00624857" w:rsidRDefault="00624857" w:rsidP="00624857">
      <w:pPr>
        <w:pStyle w:val="Heading3"/>
      </w:pPr>
      <w:bookmarkStart w:id="8" w:name="_Toc232147079"/>
      <w:r>
        <w:t>3.1.2. PEMFC Modelling Approaches</w:t>
      </w:r>
      <w:bookmarkEnd w:id="8"/>
    </w:p>
    <w:p w14:paraId="6284D27F" w14:textId="77777777" w:rsidR="00AD470C" w:rsidRDefault="00AD470C" w:rsidP="00251344">
      <w:pPr>
        <w:spacing w:line="276" w:lineRule="auto"/>
        <w:jc w:val="both"/>
        <w:rPr>
          <w:color w:val="000000"/>
        </w:rPr>
      </w:pPr>
    </w:p>
    <w:p w14:paraId="1D7D056B" w14:textId="4B200662" w:rsidR="00B24518" w:rsidRPr="00B24518" w:rsidRDefault="00D1470A" w:rsidP="00251344">
      <w:pPr>
        <w:spacing w:line="276" w:lineRule="auto"/>
        <w:jc w:val="both"/>
      </w:pPr>
      <w:r>
        <w:rPr>
          <w:color w:val="000000"/>
        </w:rPr>
        <w:t xml:space="preserve">Fuel cell models are classified by spatial resolution into zero- to three-dimensional models, and by modelling philosophy into mechanistic, semi-empirical and data-driven models [6], [7]. For EMS-oriented studies, zero-dimensional semi-empirical models are the established choice, since the controller requires only the static input–output map between stack power, efficiency and hydrogen consumption. The Generalized Steady-State Electrochemical Model of Mann and Amphlett [6] indicates the cell voltage as the Nernst potential reduced by activation, </w:t>
        <w:lastRenderedPageBreak/>
        <w:t>ohmic and concentration losses, extending the earlier polarization models of Springer et al. [8] and Kim et al. [9]. Compared with dynamic zero-dimensional models such as that of Ziogou et al. [10], a static formulation requires only algebraic evaluations; an operation-count analysis carried out within the present study indicates that this reduces the computational load of a DP optimization by more than two orders of magnitude at the expense of a steady-state error of only a few per cent, which is the decisive argument for its adoption here.</w:t>
      </w:r>
    </w:p>
    <w:p w14:paraId="4300FD45" w14:textId="49B11357" w:rsidR="00807A60" w:rsidRDefault="00807A60" w:rsidP="00AD470C">
      <w:pPr>
        <w:pStyle w:val="Heading3"/>
        <w:tabs>
          <w:tab w:val="left" w:pos="1267"/>
        </w:tabs>
      </w:pPr>
    </w:p>
    <w:p w14:paraId="06262547" w14:textId="6044ABFE" w:rsidR="00624857" w:rsidRPr="00624857" w:rsidRDefault="00624857" w:rsidP="0007198B">
      <w:pPr>
        <w:pStyle w:val="Heading3"/>
      </w:pPr>
      <w:bookmarkStart w:id="9" w:name="_Toc232147080"/>
      <w:r>
        <w:t>3.1.3. Lithium-ion Battery Modelling Approaches</w:t>
      </w:r>
      <w:bookmarkEnd w:id="9"/>
    </w:p>
    <w:p w14:paraId="5D114A85" w14:textId="7FC790AC" w:rsidR="00236D10" w:rsidRDefault="00236D10" w:rsidP="00236D10"/>
    <w:p w14:paraId="4DE0C98B" w14:textId="44945743" w:rsidR="00AD470C" w:rsidRDefault="00C63F2F" w:rsidP="00C63F2F">
      <w:pPr>
        <w:spacing w:line="276" w:lineRule="auto"/>
        <w:jc w:val="both"/>
        <w:rPr>
          <w:color w:val="000000"/>
        </w:rPr>
      </w:pPr>
      <w:r>
        <w:rPr>
          <w:color w:val="000000"/>
        </w:rPr>
        <w:t>Battery models suitable for real-time state estimation are classified as electrochemical, data-driven and equivalent-circuit. Nejad et al. compared ten lumped-parameter equivalent circuit models systematically on LiFePO</w:t>
      </w:r>
      <w:r>
        <w:rPr>
          <w:color w:val="000000"/>
          <w:vertAlign w:val="subscript"/>
        </w:rPr>
        <w:t>4</w:t>
      </w:r>
      <w:r>
        <w:rPr>
          <w:color w:val="000000"/>
        </w:rPr>
        <w:t xml:space="preserve"> (LFP) and LiNMC cells and reported that the first-order RC model extend with a hysteresis state (1-RC + Hysteresis) achieves the lowest SoC estimation error for LFP chemistry (1.39 % mean error), together with marked robustness against erroneous SoC initialization [11]. The hysteresis description follows Huria et al. [12], and the underlying state and parameter estimation framework is that of Plett [13]. Because the LFP open-circuit-voltage curve is almost flat between 20 % and 80 % SoC, the hysteresis state is indispensable for this chemistry [11], [12].</w:t>
      </w:r>
      <w:r>
        <w:rPr>
          <w:b/>
          <w:i/>
          <w:color w:val="FF0000"/>
        </w:rPr>
        <w:t xml:space="preserve"> The flat open-circuit-voltage characteristic and the associated hysteresis of the LFP chemistry are illustrated in Figure 1.</w:t>
      </w:r>
      <w:r>
        <w:t xml:space="preserve"> This study adopts the two-level modeling approach proposed by Onori et al. [14]. Specifically, a high-fidelity plant model is used for the physical system, while a simplified model is run inside the optimizer. </w:t>
      </w:r>
    </w:p>
    <w:p w14:paraId="7B841567" w14:textId="77777777" w:rsidR="008F00A4" w:rsidRDefault="008F00A4" w:rsidP="00C63F2F">
      <w:pPr>
        <w:spacing w:line="276" w:lineRule="auto"/>
        <w:jc w:val="both"/>
        <w:rPr>
          <w:color w:val="000000"/>
        </w:rPr>
      </w:pPr>
    </w:p>
    <w:p w14:paraId="1E9BAA72" w14:textId="77777777" w:rsidR="009952BA" w:rsidRDefault="009E2934" w:rsidP="009952BA">
      <w:pPr>
        <w:pStyle w:val="Caption"/>
        <w:keepNext/>
        <w:jc w:val="center"/>
      </w:pPr>
      <w:r>
        <w:drawing>
          <wp:inline distT="0" distB="0" distL="0" distR="0" wp14:anchorId="56A028E5" wp14:editId="0514A378">
            <wp:extent cx="5229092" cy="1738800"/>
            <wp:effectExtent l="0" t="0" r="3810" b="1270"/>
            <wp:docPr id="1387577257" name="Picture 1" descr="Fig. 1. OCV-SOC Relation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77257" name="Picture 1" descr="Fig. 1. OCV-SOC Relations [11]"/>
                    <pic:cNvPicPr/>
                  </pic:nvPicPr>
                  <pic:blipFill>
                    <a:blip r:embed="rId9"/>
                    <a:stretch>
                      <a:fillRect/>
                    </a:stretch>
                  </pic:blipFill>
                  <pic:spPr>
                    <a:xfrm>
                      <a:off x="0" y="0"/>
                      <a:ext cx="5229092" cy="1738800"/>
                    </a:xfrm>
                    <a:prstGeom prst="rect">
                      <a:avLst/>
                    </a:prstGeom>
                  </pic:spPr>
                </pic:pic>
              </a:graphicData>
            </a:graphic>
          </wp:inline>
        </w:drawing>
      </w:r>
    </w:p>
    <w:p w14:paraId="2ADEB903" w14:textId="447691A0" w:rsidR="008F00A4" w:rsidRPr="00236D10" w:rsidRDefault="009952BA" w:rsidP="009952BA">
      <w:pPr>
        <w:pStyle w:val="Caption"/>
        <w:jc w:val="center"/>
      </w:pPr>
      <w:bookmarkStart w:id="10" w:name="_Toc232147092"/>
      <w:r>
        <w:t xml:space="preserve">Figure </w:t>
        <w:fldChar w:fldCharType="begin"/>
        <w:instrText xml:space="preserve"> SEQ Figure \* ARABIC </w:instrText>
        <w:fldChar w:fldCharType="separate"/>
      </w:r>
      <w:r>
        <w:rPr>
          <w:noProof/>
        </w:rPr>
        <w:t>1</w:t>
      </w:r>
      <w:r>
        <w:fldChar w:fldCharType="end"/>
        <w:t xml:space="preserve"> OCV-SOC Relations [11]</w:t>
      </w:r>
      <w:bookmarkEnd w:id="10"/>
    </w:p>
    <w:p w14:paraId="3EE91B30" w14:textId="003F56CB" w:rsidR="008515F6" w:rsidRDefault="00205833" w:rsidP="000B73EE">
      <w:pPr>
        <w:pStyle w:val="Heading2"/>
        <w:spacing w:line="276" w:lineRule="auto"/>
        <w:jc w:val="both"/>
      </w:pPr>
      <w:bookmarkStart w:id="11" w:name="_Toc232147081"/>
      <w:r>
        <w:t>3.2. System Architecture, Reference Vehicle and Drive Cycle</w:t>
      </w:r>
      <w:bookmarkEnd w:id="11"/>
    </w:p>
    <w:p w14:paraId="4AC37875" w14:textId="77777777" w:rsidR="00C53B74" w:rsidRDefault="00C53B74" w:rsidP="00C53B74"/>
    <w:p w14:paraId="6F506CAA" w14:textId="2051A3C0" w:rsidR="00F65597" w:rsidRPr="00085AA7" w:rsidRDefault="00F65597" w:rsidP="00F65597">
      <w:pPr>
        <w:pBdr>
          <w:top w:val="nil"/>
          <w:left w:val="nil"/>
          <w:bottom w:val="nil"/>
          <w:right w:val="nil"/>
          <w:between w:val="nil"/>
        </w:pBdr>
        <w:spacing w:before="180" w:after="180"/>
        <w:rPr>
          <w:color w:val="000000"/>
        </w:rPr>
      </w:pPr>
      <w:r>
        <w:rPr>
          <w:color w:val="000000"/>
        </w:rPr>
        <w:t>The architectural selections of the study are summarized in Table 1, where each choice is explained in the section indicated.</w:t>
      </w:r>
    </w:p>
    <w:p w14:paraId="137C6ABA" w14:textId="16FA9716" w:rsidR="00904D8C" w:rsidRDefault="00904D8C" w:rsidP="00904D8C">
      <w:pPr>
        <w:pStyle w:val="Caption"/>
      </w:pPr>
    </w:p>
    <w:tbl>
      <w:tblPr>
        <w:tblW w:w="9072" w:type="dxa"/>
        <w:jc w:val="center"/>
        <w:tblBorders>
          <w:top w:val="single" w:sz="8" w:space="0" w:color="000000"/>
          <w:left w:val="nil"/>
          <w:bottom w:val="single" w:sz="8" w:space="0" w:color="000000"/>
          <w:right w:val="nil"/>
          <w:insideH w:val="nil"/>
          <w:insideV w:val="nil"/>
        </w:tblBorders>
        <w:tblLayout w:type="fixed"/>
        <w:tblLook w:val="0000" w:firstRow="0" w:lastRow="0" w:firstColumn="0" w:lastColumn="0" w:noHBand="0" w:noVBand="0"/>
        <w:tblCaption w:val="Table 1. Architectural selections of the study."/>
      </w:tblPr>
      <w:tblGrid>
        <w:gridCol w:w="3024"/>
        <w:gridCol w:w="3024"/>
        <w:gridCol w:w="3024"/>
      </w:tblGrid>
      <w:tr w:rsidR="006059D1" w:rsidRPr="00085AA7" w14:paraId="2D01FE1F" w14:textId="77777777" w:rsidTr="00167202">
        <w:trPr>
          <w:jc w:val="center"/>
        </w:trPr>
        <w:tc>
          <w:tcPr>
            <w:tcW w:w="3024" w:type="dxa"/>
            <w:tcBorders>
              <w:bottom w:val="nil"/>
            </w:tcBorders>
          </w:tcPr>
          <w:p w14:paraId="604A97B5" w14:textId="77777777" w:rsidR="006059D1" w:rsidRPr="00085AA7" w:rsidRDefault="006059D1" w:rsidP="00167202">
            <w:pPr>
              <w:pBdr>
                <w:top w:val="nil"/>
                <w:left w:val="nil"/>
                <w:bottom w:val="nil"/>
                <w:right w:val="nil"/>
                <w:between w:val="nil"/>
              </w:pBdr>
              <w:spacing w:before="36" w:after="36" w:line="276" w:lineRule="auto"/>
              <w:rPr>
                <w:color w:val="000000"/>
              </w:rPr>
            </w:pPr>
            <w:r>
              <w:rPr>
                <w:color w:val="000000"/>
              </w:rPr>
              <w:t>Architectural component</w:t>
            </w:r>
          </w:p>
        </w:tc>
        <w:tc>
          <w:tcPr>
            <w:tcW w:w="3024" w:type="dxa"/>
            <w:tcBorders>
              <w:bottom w:val="nil"/>
            </w:tcBorders>
            <w:vAlign w:val="bottom"/>
          </w:tcPr>
          <w:p w14:paraId="28AAE7DA" w14:textId="77777777" w:rsidR="006059D1" w:rsidRPr="00085AA7" w:rsidRDefault="006059D1" w:rsidP="00167202">
            <w:pPr>
              <w:pBdr>
                <w:top w:val="nil"/>
                <w:left w:val="nil"/>
                <w:bottom w:val="nil"/>
                <w:right w:val="nil"/>
                <w:between w:val="nil"/>
              </w:pBdr>
              <w:spacing w:before="36" w:after="36" w:line="276" w:lineRule="auto"/>
              <w:jc w:val="both"/>
              <w:rPr>
                <w:color w:val="000000"/>
              </w:rPr>
            </w:pPr>
            <w:r>
              <w:rPr>
                <w:color w:val="000000"/>
              </w:rPr>
              <w:t>Selection</w:t>
            </w:r>
          </w:p>
        </w:tc>
        <w:tc>
          <w:tcPr>
            <w:tcW w:w="3024" w:type="dxa"/>
            <w:tcBorders>
              <w:bottom w:val="nil"/>
            </w:tcBorders>
            <w:vAlign w:val="bottom"/>
          </w:tcPr>
          <w:p w14:paraId="3F8D5BA7" w14:textId="77777777" w:rsidR="006059D1" w:rsidRPr="00085AA7" w:rsidRDefault="006059D1" w:rsidP="00167202">
            <w:pPr>
              <w:pBdr>
                <w:top w:val="nil"/>
                <w:left w:val="nil"/>
                <w:bottom w:val="nil"/>
                <w:right w:val="nil"/>
                <w:between w:val="nil"/>
              </w:pBdr>
              <w:spacing w:before="36" w:after="36" w:line="276" w:lineRule="auto"/>
              <w:rPr>
                <w:color w:val="000000"/>
              </w:rPr>
            </w:pPr>
            <w:r>
              <w:rPr>
                <w:color w:val="000000"/>
              </w:rPr>
              <w:t>Section</w:t>
            </w:r>
          </w:p>
        </w:tc>
      </w:tr>
      <w:tr w:rsidR="006059D1" w:rsidRPr="00085AA7" w14:paraId="140A32CA" w14:textId="77777777" w:rsidTr="00167202">
        <w:trPr>
          <w:jc w:val="center"/>
        </w:trPr>
        <w:tc>
          <w:tcPr>
            <w:tcW w:w="3024" w:type="dxa"/>
          </w:tcPr>
          <w:p w14:paraId="407EA6AE" w14:textId="77777777" w:rsidR="006059D1" w:rsidRPr="00085AA7" w:rsidRDefault="006059D1" w:rsidP="00167202">
            <w:pPr>
              <w:pBdr>
                <w:top w:val="nil"/>
                <w:left w:val="nil"/>
                <w:bottom w:val="nil"/>
                <w:right w:val="nil"/>
                <w:between w:val="nil"/>
              </w:pBdr>
              <w:spacing w:before="36" w:after="36" w:line="276" w:lineRule="auto"/>
              <w:rPr>
                <w:color w:val="000000"/>
              </w:rPr>
            </w:pPr>
            <w:r>
              <w:rPr>
                <w:color w:val="000000"/>
              </w:rPr>
              <w:t>Topology</w:t>
            </w:r>
          </w:p>
        </w:tc>
        <w:tc>
          <w:tcPr>
            <w:tcW w:w="3024" w:type="dxa"/>
          </w:tcPr>
          <w:p w14:paraId="55CD3C9F" w14:textId="77777777" w:rsidR="006059D1" w:rsidRPr="00085AA7" w:rsidRDefault="006059D1" w:rsidP="00167202">
            <w:pPr>
              <w:pBdr>
                <w:top w:val="nil"/>
                <w:left w:val="nil"/>
                <w:bottom w:val="nil"/>
                <w:right w:val="nil"/>
                <w:between w:val="nil"/>
              </w:pBdr>
              <w:spacing w:before="36" w:after="36" w:line="276" w:lineRule="auto"/>
              <w:rPr>
                <w:color w:val="000000"/>
              </w:rPr>
            </w:pPr>
            <w:r>
              <w:rPr>
                <w:color w:val="000000"/>
              </w:rPr>
              <w:t>T4: PEMFC + unidirectional DC/DC + DC bus + battery</w:t>
            </w:r>
          </w:p>
        </w:tc>
        <w:tc>
          <w:tcPr>
            <w:tcW w:w="3024" w:type="dxa"/>
          </w:tcPr>
          <w:p w14:paraId="3D9B90AE" w14:textId="77777777" w:rsidR="006059D1" w:rsidRPr="00085AA7" w:rsidRDefault="006059D1" w:rsidP="00167202">
            <w:pPr>
              <w:pBdr>
                <w:top w:val="nil"/>
                <w:left w:val="nil"/>
                <w:bottom w:val="nil"/>
                <w:right w:val="nil"/>
                <w:between w:val="nil"/>
              </w:pBdr>
              <w:spacing w:before="36" w:after="36" w:line="276" w:lineRule="auto"/>
              <w:rPr>
                <w:color w:val="000000"/>
              </w:rPr>
            </w:pPr>
            <w:r>
              <w:rPr>
                <w:color w:val="000000"/>
              </w:rPr>
              <w:t>3.2</w:t>
            </w:r>
          </w:p>
        </w:tc>
      </w:tr>
      <w:tr w:rsidR="006059D1" w:rsidRPr="00085AA7" w14:paraId="6F4D1FD5" w14:textId="77777777" w:rsidTr="00167202">
        <w:trPr>
          <w:jc w:val="center"/>
        </w:trPr>
        <w:tc>
          <w:tcPr>
            <w:tcW w:w="3024" w:type="dxa"/>
          </w:tcPr>
          <w:p w14:paraId="664B1F1C" w14:textId="77777777" w:rsidR="006059D1" w:rsidRPr="00085AA7" w:rsidRDefault="006059D1" w:rsidP="00167202">
            <w:pPr>
              <w:pBdr>
                <w:top w:val="nil"/>
                <w:left w:val="nil"/>
                <w:bottom w:val="nil"/>
                <w:right w:val="nil"/>
                <w:between w:val="nil"/>
              </w:pBdr>
              <w:spacing w:before="36" w:after="36" w:line="276" w:lineRule="auto"/>
              <w:rPr>
                <w:color w:val="000000"/>
              </w:rPr>
            </w:pPr>
            <w:r>
              <w:rPr>
                <w:color w:val="000000"/>
              </w:rPr>
              <w:lastRenderedPageBreak/>
              <w:t>Reference vehicle</w:t>
            </w:r>
          </w:p>
        </w:tc>
        <w:tc>
          <w:tcPr>
            <w:tcW w:w="3024" w:type="dxa"/>
          </w:tcPr>
          <w:p w14:paraId="6AF56A0F" w14:textId="04CB0541" w:rsidR="006059D1" w:rsidRPr="00085AA7" w:rsidRDefault="006059D1" w:rsidP="00167202">
            <w:pPr>
              <w:pBdr>
                <w:top w:val="nil"/>
                <w:left w:val="nil"/>
                <w:bottom w:val="nil"/>
                <w:right w:val="nil"/>
                <w:between w:val="nil"/>
              </w:pBdr>
              <w:spacing w:before="36" w:after="36" w:line="276" w:lineRule="auto"/>
              <w:rPr>
                <w:color w:val="000000"/>
              </w:rPr>
            </w:pPr>
            <w:r>
              <w:rPr>
                <w:color w:val="000000"/>
              </w:rPr>
              <w:t xml:space="preserve">Toyota Mirai </w:t>
            </w:r>
          </w:p>
        </w:tc>
        <w:tc>
          <w:tcPr>
            <w:tcW w:w="3024" w:type="dxa"/>
          </w:tcPr>
          <w:p w14:paraId="63F2A913" w14:textId="77777777" w:rsidR="006059D1" w:rsidRPr="00085AA7" w:rsidRDefault="006059D1" w:rsidP="00167202">
            <w:pPr>
              <w:pBdr>
                <w:top w:val="nil"/>
                <w:left w:val="nil"/>
                <w:bottom w:val="nil"/>
                <w:right w:val="nil"/>
                <w:between w:val="nil"/>
              </w:pBdr>
              <w:spacing w:before="36" w:after="36" w:line="276" w:lineRule="auto"/>
              <w:rPr>
                <w:color w:val="000000"/>
              </w:rPr>
            </w:pPr>
            <w:r>
              <w:rPr>
                <w:color w:val="000000"/>
              </w:rPr>
              <w:t>3.2</w:t>
            </w:r>
          </w:p>
        </w:tc>
      </w:tr>
      <w:tr w:rsidR="006059D1" w:rsidRPr="00085AA7" w14:paraId="756FDE89" w14:textId="77777777" w:rsidTr="00167202">
        <w:trPr>
          <w:jc w:val="center"/>
        </w:trPr>
        <w:tc>
          <w:tcPr>
            <w:tcW w:w="3024" w:type="dxa"/>
          </w:tcPr>
          <w:p w14:paraId="7CCB17BA" w14:textId="77777777" w:rsidR="006059D1" w:rsidRPr="00085AA7" w:rsidRDefault="006059D1" w:rsidP="00167202">
            <w:pPr>
              <w:pBdr>
                <w:top w:val="nil"/>
                <w:left w:val="nil"/>
                <w:bottom w:val="nil"/>
                <w:right w:val="nil"/>
                <w:between w:val="nil"/>
              </w:pBdr>
              <w:spacing w:before="36" w:after="36" w:line="276" w:lineRule="auto"/>
              <w:rPr>
                <w:color w:val="000000"/>
              </w:rPr>
            </w:pPr>
            <w:r>
              <w:rPr>
                <w:color w:val="000000"/>
              </w:rPr>
              <w:t>Drive cycle</w:t>
            </w:r>
          </w:p>
        </w:tc>
        <w:tc>
          <w:tcPr>
            <w:tcW w:w="3024" w:type="dxa"/>
          </w:tcPr>
          <w:p w14:paraId="165A233F" w14:textId="77777777" w:rsidR="006059D1" w:rsidRPr="00085AA7" w:rsidRDefault="006059D1" w:rsidP="00167202">
            <w:pPr>
              <w:pBdr>
                <w:top w:val="nil"/>
                <w:left w:val="nil"/>
                <w:bottom w:val="nil"/>
                <w:right w:val="nil"/>
                <w:between w:val="nil"/>
              </w:pBdr>
              <w:spacing w:before="36" w:after="36" w:line="276" w:lineRule="auto"/>
              <w:rPr>
                <w:color w:val="000000"/>
              </w:rPr>
            </w:pPr>
            <w:r>
              <w:rPr>
                <w:color w:val="000000"/>
              </w:rPr>
              <w:t>2 × WLTP Class 3b (1 h, 46.5 km)</w:t>
            </w:r>
          </w:p>
        </w:tc>
        <w:tc>
          <w:tcPr>
            <w:tcW w:w="3024" w:type="dxa"/>
          </w:tcPr>
          <w:p w14:paraId="1B06F84A" w14:textId="77777777" w:rsidR="006059D1" w:rsidRPr="00085AA7" w:rsidRDefault="006059D1" w:rsidP="00167202">
            <w:pPr>
              <w:pBdr>
                <w:top w:val="nil"/>
                <w:left w:val="nil"/>
                <w:bottom w:val="nil"/>
                <w:right w:val="nil"/>
                <w:between w:val="nil"/>
              </w:pBdr>
              <w:spacing w:before="36" w:after="36" w:line="276" w:lineRule="auto"/>
              <w:rPr>
                <w:color w:val="000000"/>
              </w:rPr>
            </w:pPr>
            <w:r>
              <w:rPr>
                <w:color w:val="000000"/>
              </w:rPr>
              <w:t>3.2</w:t>
            </w:r>
          </w:p>
        </w:tc>
      </w:tr>
      <w:tr w:rsidR="006059D1" w:rsidRPr="00085AA7" w14:paraId="3A7AA1E1" w14:textId="77777777" w:rsidTr="00167202">
        <w:trPr>
          <w:jc w:val="center"/>
        </w:trPr>
        <w:tc>
          <w:tcPr>
            <w:tcW w:w="3024" w:type="dxa"/>
          </w:tcPr>
          <w:p w14:paraId="5FB91BB0" w14:textId="77777777" w:rsidR="006059D1" w:rsidRPr="00085AA7" w:rsidRDefault="006059D1" w:rsidP="00167202">
            <w:pPr>
              <w:pBdr>
                <w:top w:val="nil"/>
                <w:left w:val="nil"/>
                <w:bottom w:val="nil"/>
                <w:right w:val="nil"/>
                <w:between w:val="nil"/>
              </w:pBdr>
              <w:spacing w:before="36" w:after="36" w:line="276" w:lineRule="auto"/>
              <w:rPr>
                <w:color w:val="000000"/>
              </w:rPr>
            </w:pPr>
            <w:r>
              <w:rPr>
                <w:color w:val="000000"/>
              </w:rPr>
              <w:t>PEMFC model</w:t>
            </w:r>
          </w:p>
        </w:tc>
        <w:tc>
          <w:tcPr>
            <w:tcW w:w="3024" w:type="dxa"/>
          </w:tcPr>
          <w:p w14:paraId="5B681AC2" w14:textId="77777777" w:rsidR="006059D1" w:rsidRPr="00085AA7" w:rsidRDefault="006059D1" w:rsidP="00167202">
            <w:pPr>
              <w:pBdr>
                <w:top w:val="nil"/>
                <w:left w:val="nil"/>
                <w:bottom w:val="nil"/>
                <w:right w:val="nil"/>
                <w:between w:val="nil"/>
              </w:pBdr>
              <w:spacing w:before="36" w:after="36" w:line="276" w:lineRule="auto"/>
              <w:rPr>
                <w:color w:val="000000"/>
              </w:rPr>
            </w:pPr>
            <w:r>
              <w:rPr>
                <w:color w:val="000000"/>
              </w:rPr>
              <w:t>Mann–Amphlett 0-D semi-empirical (GSSEM)</w:t>
            </w:r>
          </w:p>
        </w:tc>
        <w:tc>
          <w:tcPr>
            <w:tcW w:w="3024" w:type="dxa"/>
          </w:tcPr>
          <w:p w14:paraId="43D76CED" w14:textId="77777777" w:rsidR="006059D1" w:rsidRPr="00085AA7" w:rsidRDefault="006059D1" w:rsidP="00167202">
            <w:pPr>
              <w:pBdr>
                <w:top w:val="nil"/>
                <w:left w:val="nil"/>
                <w:bottom w:val="nil"/>
                <w:right w:val="nil"/>
                <w:between w:val="nil"/>
              </w:pBdr>
              <w:spacing w:before="36" w:after="36" w:line="276" w:lineRule="auto"/>
              <w:rPr>
                <w:color w:val="000000"/>
              </w:rPr>
            </w:pPr>
            <w:r>
              <w:rPr>
                <w:color w:val="000000"/>
              </w:rPr>
              <w:t>3.3.2</w:t>
            </w:r>
          </w:p>
        </w:tc>
      </w:tr>
      <w:tr w:rsidR="006059D1" w:rsidRPr="00085AA7" w14:paraId="26F4B8C0" w14:textId="77777777" w:rsidTr="00167202">
        <w:trPr>
          <w:jc w:val="center"/>
        </w:trPr>
        <w:tc>
          <w:tcPr>
            <w:tcW w:w="3024" w:type="dxa"/>
          </w:tcPr>
          <w:p w14:paraId="0DA11027" w14:textId="77777777" w:rsidR="006059D1" w:rsidRPr="00085AA7" w:rsidRDefault="006059D1" w:rsidP="00167202">
            <w:pPr>
              <w:pBdr>
                <w:top w:val="nil"/>
                <w:left w:val="nil"/>
                <w:bottom w:val="nil"/>
                <w:right w:val="nil"/>
                <w:between w:val="nil"/>
              </w:pBdr>
              <w:spacing w:before="36" w:after="36" w:line="276" w:lineRule="auto"/>
              <w:rPr>
                <w:color w:val="000000"/>
              </w:rPr>
            </w:pPr>
            <w:r>
              <w:rPr>
                <w:color w:val="000000"/>
              </w:rPr>
              <w:t>Battery cell / pack</w:t>
            </w:r>
          </w:p>
        </w:tc>
        <w:tc>
          <w:tcPr>
            <w:tcW w:w="3024" w:type="dxa"/>
          </w:tcPr>
          <w:p w14:paraId="76F572B8" w14:textId="77777777" w:rsidR="006059D1" w:rsidRPr="00085AA7" w:rsidRDefault="006059D1" w:rsidP="00167202">
            <w:pPr>
              <w:pBdr>
                <w:top w:val="nil"/>
                <w:left w:val="nil"/>
                <w:bottom w:val="nil"/>
                <w:right w:val="nil"/>
                <w:between w:val="nil"/>
              </w:pBdr>
              <w:spacing w:before="36" w:after="36" w:line="276" w:lineRule="auto"/>
              <w:rPr>
                <w:color w:val="000000"/>
              </w:rPr>
            </w:pPr>
            <w:r>
              <w:rPr>
                <w:color w:val="000000"/>
              </w:rPr>
              <w:t>A123 ANR26650M1B (LiFePO</w:t>
            </w:r>
            <w:r>
              <w:rPr>
                <w:color w:val="000000"/>
                <w:vertAlign w:val="subscript"/>
              </w:rPr>
              <w:t>4</w:t>
            </w:r>
            <w:r>
              <w:rPr>
                <w:color w:val="000000"/>
              </w:rPr>
              <w:t>), 96s10p, ≈ 7.92 kWh</w:t>
            </w:r>
          </w:p>
        </w:tc>
        <w:tc>
          <w:tcPr>
            <w:tcW w:w="3024" w:type="dxa"/>
          </w:tcPr>
          <w:p w14:paraId="413EF2C8" w14:textId="77777777" w:rsidR="006059D1" w:rsidRPr="00085AA7" w:rsidRDefault="006059D1" w:rsidP="00167202">
            <w:pPr>
              <w:pBdr>
                <w:top w:val="nil"/>
                <w:left w:val="nil"/>
                <w:bottom w:val="nil"/>
                <w:right w:val="nil"/>
                <w:between w:val="nil"/>
              </w:pBdr>
              <w:spacing w:before="36" w:after="36" w:line="276" w:lineRule="auto"/>
              <w:rPr>
                <w:color w:val="000000"/>
              </w:rPr>
            </w:pPr>
            <w:r>
              <w:rPr>
                <w:color w:val="000000"/>
              </w:rPr>
              <w:t>3.3.4</w:t>
            </w:r>
          </w:p>
        </w:tc>
      </w:tr>
      <w:tr w:rsidR="006059D1" w:rsidRPr="00085AA7" w14:paraId="51EF3AEE" w14:textId="77777777" w:rsidTr="00167202">
        <w:trPr>
          <w:jc w:val="center"/>
        </w:trPr>
        <w:tc>
          <w:tcPr>
            <w:tcW w:w="3024" w:type="dxa"/>
          </w:tcPr>
          <w:p w14:paraId="15606C47" w14:textId="77777777" w:rsidR="006059D1" w:rsidRPr="00085AA7" w:rsidRDefault="006059D1" w:rsidP="00167202">
            <w:pPr>
              <w:pBdr>
                <w:top w:val="nil"/>
                <w:left w:val="nil"/>
                <w:bottom w:val="nil"/>
                <w:right w:val="nil"/>
                <w:between w:val="nil"/>
              </w:pBdr>
              <w:spacing w:before="36" w:after="36" w:line="276" w:lineRule="auto"/>
              <w:rPr>
                <w:color w:val="000000"/>
              </w:rPr>
            </w:pPr>
            <w:r>
              <w:rPr>
                <w:color w:val="000000"/>
              </w:rPr>
              <w:t>Battery model</w:t>
            </w:r>
          </w:p>
        </w:tc>
        <w:tc>
          <w:tcPr>
            <w:tcW w:w="3024" w:type="dxa"/>
          </w:tcPr>
          <w:p w14:paraId="2F26A10F" w14:textId="77777777" w:rsidR="006059D1" w:rsidRPr="00085AA7" w:rsidRDefault="006059D1" w:rsidP="00167202">
            <w:pPr>
              <w:pBdr>
                <w:top w:val="nil"/>
                <w:left w:val="nil"/>
                <w:bottom w:val="nil"/>
                <w:right w:val="nil"/>
                <w:between w:val="nil"/>
              </w:pBdr>
              <w:spacing w:before="36" w:after="36" w:line="276" w:lineRule="auto"/>
              <w:rPr>
                <w:color w:val="000000"/>
              </w:rPr>
            </w:pPr>
            <w:r>
              <w:rPr>
                <w:color w:val="000000"/>
              </w:rPr>
              <w:t>1-RC + Hysteresis [11]</w:t>
            </w:r>
          </w:p>
        </w:tc>
        <w:tc>
          <w:tcPr>
            <w:tcW w:w="3024" w:type="dxa"/>
          </w:tcPr>
          <w:p w14:paraId="77FD77F0" w14:textId="77777777" w:rsidR="006059D1" w:rsidRPr="00085AA7" w:rsidRDefault="006059D1" w:rsidP="00167202">
            <w:pPr>
              <w:pBdr>
                <w:top w:val="nil"/>
                <w:left w:val="nil"/>
                <w:bottom w:val="nil"/>
                <w:right w:val="nil"/>
                <w:between w:val="nil"/>
              </w:pBdr>
              <w:spacing w:before="36" w:after="36" w:line="276" w:lineRule="auto"/>
              <w:rPr>
                <w:color w:val="000000"/>
              </w:rPr>
            </w:pPr>
            <w:r>
              <w:rPr>
                <w:color w:val="000000"/>
              </w:rPr>
              <w:t>3.3.4</w:t>
            </w:r>
          </w:p>
        </w:tc>
      </w:tr>
      <w:tr w:rsidR="006059D1" w:rsidRPr="00085AA7" w14:paraId="174EE6AF" w14:textId="77777777" w:rsidTr="00167202">
        <w:trPr>
          <w:jc w:val="center"/>
        </w:trPr>
        <w:tc>
          <w:tcPr>
            <w:tcW w:w="3024" w:type="dxa"/>
          </w:tcPr>
          <w:p w14:paraId="61B4A954" w14:textId="77777777" w:rsidR="006059D1" w:rsidRPr="00085AA7" w:rsidRDefault="006059D1" w:rsidP="00167202">
            <w:pPr>
              <w:pBdr>
                <w:top w:val="nil"/>
                <w:left w:val="nil"/>
                <w:bottom w:val="nil"/>
                <w:right w:val="nil"/>
                <w:between w:val="nil"/>
              </w:pBdr>
              <w:spacing w:before="36" w:after="36" w:line="276" w:lineRule="auto"/>
              <w:rPr>
                <w:color w:val="000000"/>
              </w:rPr>
            </w:pPr>
            <w:r>
              <w:rPr>
                <w:color w:val="000000"/>
              </w:rPr>
              <w:t>Cost scenario</w:t>
            </w:r>
          </w:p>
        </w:tc>
        <w:tc>
          <w:tcPr>
            <w:tcW w:w="3024" w:type="dxa"/>
          </w:tcPr>
          <w:p w14:paraId="6AD0F8CB" w14:textId="77777777" w:rsidR="006059D1" w:rsidRPr="00085AA7" w:rsidRDefault="006059D1" w:rsidP="00167202">
            <w:pPr>
              <w:pBdr>
                <w:top w:val="nil"/>
                <w:left w:val="nil"/>
                <w:bottom w:val="nil"/>
                <w:right w:val="nil"/>
                <w:between w:val="nil"/>
              </w:pBdr>
              <w:spacing w:before="36" w:after="36" w:line="276" w:lineRule="auto"/>
              <w:rPr>
                <w:color w:val="000000"/>
              </w:rPr>
            </w:pPr>
            <w:r>
              <w:rPr>
                <w:color w:val="000000"/>
              </w:rPr>
              <w:t>Germany 2026: € 11/kg H</w:t>
            </w:r>
            <w:r>
              <w:rPr>
                <w:color w:val="000000"/>
                <w:vertAlign w:val="subscript"/>
              </w:rPr>
              <w:t>2</w:t>
            </w:r>
            <w:r>
              <w:rPr>
                <w:color w:val="000000"/>
              </w:rPr>
              <w:t>, € 0.35/kWh</w:t>
            </w:r>
          </w:p>
        </w:tc>
        <w:tc>
          <w:tcPr>
            <w:tcW w:w="3024" w:type="dxa"/>
          </w:tcPr>
          <w:p w14:paraId="6DE5788F" w14:textId="77777777" w:rsidR="006059D1" w:rsidRPr="00085AA7" w:rsidRDefault="006059D1" w:rsidP="00167202">
            <w:pPr>
              <w:pBdr>
                <w:top w:val="nil"/>
                <w:left w:val="nil"/>
                <w:bottom w:val="nil"/>
                <w:right w:val="nil"/>
                <w:between w:val="nil"/>
              </w:pBdr>
              <w:spacing w:before="36" w:after="36" w:line="276" w:lineRule="auto"/>
              <w:rPr>
                <w:color w:val="000000"/>
              </w:rPr>
            </w:pPr>
            <w:r>
              <w:rPr>
                <w:color w:val="000000"/>
              </w:rPr>
              <w:t>3.5</w:t>
            </w:r>
          </w:p>
        </w:tc>
      </w:tr>
      <w:tr w:rsidR="006059D1" w:rsidRPr="00085AA7" w14:paraId="171CFEC4" w14:textId="77777777" w:rsidTr="00167202">
        <w:trPr>
          <w:jc w:val="center"/>
        </w:trPr>
        <w:tc>
          <w:tcPr>
            <w:tcW w:w="3024" w:type="dxa"/>
          </w:tcPr>
          <w:p w14:paraId="48F48E3B" w14:textId="77777777" w:rsidR="006059D1" w:rsidRPr="00085AA7" w:rsidRDefault="006059D1" w:rsidP="00167202">
            <w:pPr>
              <w:pBdr>
                <w:top w:val="nil"/>
                <w:left w:val="nil"/>
                <w:bottom w:val="nil"/>
                <w:right w:val="nil"/>
                <w:between w:val="nil"/>
              </w:pBdr>
              <w:spacing w:before="36" w:after="36" w:line="276" w:lineRule="auto"/>
              <w:rPr>
                <w:color w:val="000000"/>
              </w:rPr>
            </w:pPr>
            <w:r>
              <w:rPr>
                <w:color w:val="000000"/>
              </w:rPr>
              <w:t>EMS strategies</w:t>
            </w:r>
          </w:p>
        </w:tc>
        <w:tc>
          <w:tcPr>
            <w:tcW w:w="3024" w:type="dxa"/>
          </w:tcPr>
          <w:p w14:paraId="69015249" w14:textId="77777777" w:rsidR="006059D1" w:rsidRPr="00085AA7" w:rsidRDefault="006059D1" w:rsidP="00167202">
            <w:pPr>
              <w:pBdr>
                <w:top w:val="nil"/>
                <w:left w:val="nil"/>
                <w:bottom w:val="nil"/>
                <w:right w:val="nil"/>
                <w:between w:val="nil"/>
              </w:pBdr>
              <w:spacing w:before="36" w:after="36" w:line="276" w:lineRule="auto"/>
              <w:rPr>
                <w:color w:val="000000"/>
              </w:rPr>
            </w:pPr>
            <w:r>
              <w:rPr>
                <w:color w:val="000000"/>
              </w:rPr>
              <w:t>DP, A-ECMS, MPC, BLFS</w:t>
            </w:r>
          </w:p>
        </w:tc>
        <w:tc>
          <w:tcPr>
            <w:tcW w:w="3024" w:type="dxa"/>
          </w:tcPr>
          <w:p w14:paraId="72BEA716" w14:textId="77777777" w:rsidR="006059D1" w:rsidRPr="00085AA7" w:rsidRDefault="006059D1" w:rsidP="00167202">
            <w:pPr>
              <w:pBdr>
                <w:top w:val="nil"/>
                <w:left w:val="nil"/>
                <w:bottom w:val="nil"/>
                <w:right w:val="nil"/>
                <w:between w:val="nil"/>
              </w:pBdr>
              <w:spacing w:before="36" w:after="36" w:line="276" w:lineRule="auto"/>
              <w:rPr>
                <w:color w:val="000000"/>
              </w:rPr>
            </w:pPr>
            <w:r>
              <w:rPr>
                <w:color w:val="000000"/>
              </w:rPr>
              <w:t>3.6</w:t>
            </w:r>
          </w:p>
        </w:tc>
      </w:tr>
    </w:tbl>
    <w:p w14:paraId="64B1A58D" w14:textId="4F9D6803" w:rsidR="00F65597" w:rsidRPr="00C53B74" w:rsidRDefault="00167202" w:rsidP="00167202">
      <w:pPr>
        <w:pStyle w:val="Caption"/>
        <w:jc w:val="center"/>
      </w:pPr>
      <w:bookmarkStart w:id="12" w:name="_Toc232098920"/>
      <w:r>
        <w:t xml:space="preserve">Table </w:t>
        <w:fldChar w:fldCharType="begin"/>
        <w:instrText xml:space="preserve"> SEQ Table \* ARABIC </w:instrText>
        <w:fldChar w:fldCharType="separate"/>
      </w:r>
      <w:r>
        <w:rPr>
          <w:noProof/>
        </w:rPr>
        <w:t>1</w:t>
      </w:r>
      <w:r>
        <w:fldChar w:fldCharType="end"/>
        <w:t xml:space="preserve"> Architectural selections of the study.</w:t>
      </w:r>
      <w:bookmarkEnd w:id="12"/>
    </w:p>
    <w:p w14:paraId="22F4813F" w14:textId="77777777" w:rsidR="00303D41" w:rsidRDefault="00303D41" w:rsidP="000B73EE">
      <w:pPr>
        <w:pStyle w:val="Heading2"/>
        <w:spacing w:line="276" w:lineRule="auto"/>
        <w:jc w:val="both"/>
      </w:pPr>
    </w:p>
    <w:p w14:paraId="645355BB" w14:textId="0CA1F0EB" w:rsidR="00C02F7A" w:rsidRDefault="00C02F7A" w:rsidP="00C02F7A">
      <w:pPr>
        <w:pBdr>
          <w:top w:val="nil"/>
          <w:left w:val="nil"/>
          <w:bottom w:val="nil"/>
          <w:right w:val="nil"/>
          <w:between w:val="nil"/>
        </w:pBdr>
        <w:spacing w:before="180" w:after="180" w:line="276" w:lineRule="auto"/>
        <w:jc w:val="both"/>
        <w:rPr>
          <w:color w:val="000000"/>
        </w:rPr>
      </w:pPr>
      <w:r>
        <w:rPr>
          <w:color w:val="000000"/>
        </w:rPr>
        <w:t xml:space="preserve">In the T4 topology the fuel cell stack feeds the DC bus through a unidirectional DC/DC converter, whereas the battery is connected to the bus directly and exchanges power bidirectionally.</w:t>
      </w:r>
      <w:r>
        <w:rPr>
          <w:b/>
          <w:i/>
          <w:color w:val="FF0000"/>
        </w:rPr>
        <w:t xml:space="preserve"> Common FCHEV topologies, including the adopted T4 structure, are compared in Figure 2.</w:t>
      </w:r>
      <w:r>
        <w:t xml:space="preserve"> </w:t>
      </w:r>
    </w:p>
    <w:p w14:paraId="0DEFC82D" w14:textId="77777777" w:rsidR="00D1106F" w:rsidRDefault="00337427" w:rsidP="00D1106F">
      <w:pPr>
        <w:keepNext/>
        <w:pBdr>
          <w:top w:val="nil"/>
          <w:left w:val="nil"/>
          <w:bottom w:val="nil"/>
          <w:right w:val="nil"/>
          <w:between w:val="nil"/>
        </w:pBdr>
        <w:spacing w:before="180" w:after="180" w:line="276" w:lineRule="auto"/>
        <w:jc w:val="center"/>
      </w:pPr>
      <w:bookmarkStart w:id="13" w:name="_Toc232146953"/>
      <w:r>
        <w:drawing>
          <wp:inline distT="0" distB="0" distL="0" distR="0" wp14:anchorId="48E422CF" wp14:editId="73183CC8">
            <wp:extent cx="3567383" cy="2219285"/>
            <wp:effectExtent l="0" t="0" r="1905" b="3810"/>
            <wp:docPr id="838369375" name="Picture 1" descr="A diagram of a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69375" name="Picture 1" descr="A diagram of a machine  AI-generated content may be incorrect."/>
                    <pic:cNvPicPr/>
                  </pic:nvPicPr>
                  <pic:blipFill>
                    <a:blip r:embed="rId10"/>
                    <a:stretch>
                      <a:fillRect/>
                    </a:stretch>
                  </pic:blipFill>
                  <pic:spPr>
                    <a:xfrm>
                      <a:off x="0" y="0"/>
                      <a:ext cx="3673424" cy="2285254"/>
                    </a:xfrm>
                    <a:prstGeom prst="rect">
                      <a:avLst/>
                    </a:prstGeom>
                  </pic:spPr>
                </pic:pic>
              </a:graphicData>
            </a:graphic>
          </wp:inline>
        </w:drawing>
      </w:r>
      <w:bookmarkEnd w:id="13"/>
    </w:p>
    <w:p w14:paraId="07FB809A" w14:textId="7E6E668F" w:rsidR="00337427" w:rsidRPr="00085AA7" w:rsidRDefault="00D1106F" w:rsidP="00D1106F">
      <w:pPr>
        <w:pStyle w:val="Caption"/>
        <w:jc w:val="center"/>
        <w:rPr>
          <w:color w:val="000000"/>
        </w:rPr>
      </w:pPr>
      <w:bookmarkStart w:id="14" w:name="_Toc232147093"/>
      <w:r>
        <w:t xml:space="preserve">Figure </w:t>
        <w:fldChar w:fldCharType="begin"/>
        <w:instrText xml:space="preserve"> SEQ Figure \* ARABIC </w:instrText>
        <w:fldChar w:fldCharType="separate"/>
      </w:r>
      <w:r>
        <w:rPr>
          <w:noProof/>
        </w:rPr>
        <w:t>2</w:t>
      </w:r>
      <w:r>
        <w:fldChar w:fldCharType="end"/>
        <w:t xml:space="preserve"> Some Topologies. (a) Topology T1 (b) Topology T2 (c) Topology T3 (d) Topology T4 (e) Topology T5 [1]</w:t>
      </w:r>
      <w:bookmarkEnd w:id="14"/>
    </w:p>
    <w:p w14:paraId="0A4F4D9C" w14:textId="120A09A9" w:rsidR="000618B9" w:rsidRDefault="000618B9" w:rsidP="000618B9">
      <w:pPr>
        <w:pStyle w:val="Heading2"/>
        <w:spacing w:line="276" w:lineRule="auto"/>
        <w:jc w:val="center"/>
      </w:pPr>
    </w:p>
    <w:p w14:paraId="495ABDE7" w14:textId="2BDB43BF" w:rsidR="00303D41" w:rsidRDefault="00532003" w:rsidP="000B73EE">
      <w:pPr>
        <w:pStyle w:val="Heading2"/>
        <w:spacing w:line="276" w:lineRule="auto"/>
        <w:jc w:val="both"/>
        <w:rPr>
          <w:rFonts w:asciiTheme="minorHAnsi" w:hAnsiTheme="minorHAnsi" w:cstheme="minorHAnsi"/>
          <w:color w:val="000000"/>
          <w:sz w:val="24"/>
          <w:szCs w:val="24"/>
        </w:rPr>
      </w:pPr>
      <w:bookmarkStart w:id="15" w:name="_Toc232147082"/>
      <w:r>
        <w:rPr>
          <w:rFonts w:asciiTheme="minorHAnsi" w:hAnsiTheme="minorHAnsi" w:cstheme="minorHAnsi"/>
          <w:color w:val="000000"/>
          <w:sz w:val="24"/>
          <w:szCs w:val="24"/>
        </w:rPr>
        <w:t>The natural decision variable of the EMS is consequently the power delivered by the DC/DC converter to the bus,</w:t>
      </w:r>
      <w:bookmarkEnd w:id="15"/>
    </w:p>
    <w:p w14:paraId="64C0596F" w14:textId="77777777" w:rsidR="008C5F2D" w:rsidRDefault="008C5F2D" w:rsidP="008C5F2D"/>
    <w:tbl>
      <w:tblPr>
        <w:tblW w:w="9072"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700"/>
        <w:gridCol w:w="7672"/>
        <w:gridCol w:w="700"/>
      </w:tblGrid>
      <w:tr w:rsidR="008C5F2D" w:rsidRPr="00085AA7" w14:paraId="203BDCA5" w14:textId="77777777" w:rsidTr="00D712D5">
        <w:tc>
          <w:tcPr>
            <w:tcW w:w="700" w:type="dxa"/>
            <w:vAlign w:val="center"/>
          </w:tcPr>
          <w:p w14:paraId="63CFCFB9" w14:textId="77777777" w:rsidR="008C5F2D" w:rsidRPr="00085AA7" w:rsidRDefault="008C5F2D" w:rsidP="00D712D5"/>
        </w:tc>
        <w:tc>
          <w:tcPr>
            <w:tcW w:w="7672" w:type="dxa"/>
            <w:vAlign w:val="center"/>
          </w:tcPr>
          <w:p w14:paraId="3660CB4B" w14:textId="77777777" w:rsidR="008C5F2D" w:rsidRPr="00085AA7" w:rsidRDefault="008C5F2D" w:rsidP="00D712D5">
            <w:pPr>
              <w:jc w:val="center"/>
            </w:pPr>
            <m:oMathPara>
              <m:oMath>
                <m:r>
                  <w:rPr>
                    <w:rFonts w:ascii="Cambria Math" w:hAnsi="Cambria Math"/>
                  </w:rPr>
                  <m:t>u(t)≡</m:t>
                </m:r>
                <m:sSub>
                  <m:sSubPr>
                    <m:ctrlPr>
                      <w:rPr>
                        <w:rFonts w:ascii="Cambria Math" w:hAnsi="Cambria Math"/>
                      </w:rPr>
                    </m:ctrlPr>
                  </m:sSubPr>
                  <m:e>
                    <m:r>
                      <w:rPr>
                        <w:rFonts w:ascii="Cambria Math" w:hAnsi="Cambria Math"/>
                      </w:rPr>
                      <m:t>P</m:t>
                    </m:r>
                  </m:e>
                  <m:sub>
                    <m:r>
                      <w:rPr>
                        <w:rFonts w:ascii="Cambria Math" w:hAnsi="Cambria Math"/>
                      </w:rPr>
                      <m:t>dc</m:t>
                    </m:r>
                  </m:sub>
                </m:sSub>
                <m:r>
                  <w:rPr>
                    <w:rFonts w:ascii="Cambria Math" w:hAnsi="Cambria Math"/>
                  </w:rPr>
                  <m:t>(t),</m:t>
                </m:r>
              </m:oMath>
            </m:oMathPara>
          </w:p>
        </w:tc>
        <w:tc>
          <w:tcPr>
            <w:tcW w:w="700" w:type="dxa"/>
            <w:vAlign w:val="center"/>
          </w:tcPr>
          <w:p w14:paraId="3A63C2FB" w14:textId="77777777" w:rsidR="008C5F2D" w:rsidRPr="00085AA7" w:rsidRDefault="008C5F2D" w:rsidP="00D712D5">
            <w:pPr>
              <w:jc w:val="right"/>
            </w:pPr>
            <w:r>
              <w:t>(1)</w:t>
            </w:r>
          </w:p>
        </w:tc>
      </w:tr>
    </w:tbl>
    <w:p w14:paraId="68CEE263" w14:textId="77777777" w:rsidR="008C5F2D" w:rsidRPr="008C5F2D" w:rsidRDefault="008C5F2D" w:rsidP="008C5F2D"/>
    <w:p w14:paraId="0AF7EA18" w14:textId="77777777" w:rsidR="001B6989" w:rsidRPr="00085AA7" w:rsidRDefault="001B6989" w:rsidP="000E3253">
      <w:pPr>
        <w:pBdr>
          <w:top w:val="nil"/>
          <w:left w:val="nil"/>
          <w:bottom w:val="nil"/>
          <w:right w:val="nil"/>
          <w:between w:val="nil"/>
        </w:pBdr>
        <w:spacing w:before="180" w:after="180"/>
        <w:jc w:val="both"/>
        <w:rPr>
          <w:color w:val="000000"/>
        </w:rPr>
      </w:pPr>
      <w:r>
        <w:rPr>
          <w:color w:val="000000"/>
        </w:rPr>
        <w:t>and, once Eq. (1) is fixed, the battery power follows directly from the power balance of the DC bus,</w:t>
      </w:r>
    </w:p>
    <w:tbl>
      <w:tblPr>
        <w:tblW w:w="9072"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700"/>
        <w:gridCol w:w="7672"/>
        <w:gridCol w:w="700"/>
      </w:tblGrid>
      <w:tr w:rsidR="00C33319" w:rsidRPr="00085AA7" w14:paraId="1CDAED6C" w14:textId="77777777" w:rsidTr="00D712D5">
        <w:tc>
          <w:tcPr>
            <w:tcW w:w="700" w:type="dxa"/>
            <w:vAlign w:val="center"/>
          </w:tcPr>
          <w:p w14:paraId="4641C49C" w14:textId="77777777" w:rsidR="00C33319" w:rsidRPr="00085AA7" w:rsidRDefault="00C33319" w:rsidP="00D712D5"/>
        </w:tc>
        <w:tc>
          <w:tcPr>
            <w:tcW w:w="7672" w:type="dxa"/>
            <w:vAlign w:val="center"/>
          </w:tcPr>
          <w:p w14:paraId="642061D9" w14:textId="77777777" w:rsidR="00C33319" w:rsidRPr="00085AA7" w:rsidRDefault="00C33319" w:rsidP="00D712D5">
            <w:pPr>
              <w:jc w:val="center"/>
            </w:pPr>
            <m:oMathPara>
              <m:oMath>
                <m:sSub>
                  <m:sSubPr>
                    <m:ctrlPr>
                      <w:rPr>
                        <w:rFonts w:ascii="Cambria Math" w:hAnsi="Cambria Math"/>
                      </w:rPr>
                    </m:ctrlPr>
                  </m:sSubPr>
                  <m:e>
                    <m:r>
                      <w:rPr>
                        <w:rFonts w:ascii="Cambria Math" w:hAnsi="Cambria Math"/>
                      </w:rPr>
                      <m:t>P</m:t>
                    </m:r>
                  </m:e>
                  <m:sub>
                    <m:r>
                      <w:rPr>
                        <w:rFonts w:ascii="Cambria Math" w:hAnsi="Cambria Math"/>
                      </w:rPr>
                      <m:t>bat</m:t>
                    </m:r>
                  </m:sub>
                </m:sSub>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dc</m:t>
                    </m:r>
                  </m:sub>
                </m:sSub>
                <m:r>
                  <w:rPr>
                    <w:rFonts w:ascii="Cambria Math" w:hAnsi="Cambria Math"/>
                  </w:rPr>
                  <m:t>(t),</m:t>
                </m:r>
              </m:oMath>
            </m:oMathPara>
          </w:p>
        </w:tc>
        <w:tc>
          <w:tcPr>
            <w:tcW w:w="700" w:type="dxa"/>
            <w:vAlign w:val="center"/>
          </w:tcPr>
          <w:p w14:paraId="4956AA95" w14:textId="77777777" w:rsidR="00C33319" w:rsidRPr="00085AA7" w:rsidRDefault="00C33319" w:rsidP="00D712D5">
            <w:pPr>
              <w:jc w:val="right"/>
            </w:pPr>
            <w:r>
              <w:t>(2)</w:t>
            </w:r>
          </w:p>
        </w:tc>
      </w:tr>
    </w:tbl>
    <w:p w14:paraId="6F2CFC63" w14:textId="77777777" w:rsidR="00532003" w:rsidRDefault="00532003" w:rsidP="00532003"/>
    <w:p w14:paraId="0A0C5D8A" w14:textId="0C701FC5" w:rsidR="00C33319" w:rsidRDefault="008A3846" w:rsidP="000E3253">
      <w:pPr>
        <w:jc w:val="both"/>
        <w:rPr>
          <w:color w:val="000000"/>
        </w:rPr>
      </w:pPr>
      <w:r>
        <w:t xml:space="preserve">so that a single decision variable completely determines the power split. </w:t>
      </w:r>
      <w:r>
        <w:rPr>
          <w:color w:val="000000"/>
        </w:rPr>
        <w:t xml:space="preserve">The sign convention adopted in Eq. (2) is that </w:t>
      </w:r>
      <m:oMath>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bat</m:t>
            </m:r>
          </m:sub>
        </m:sSub>
        <m:r>
          <w:rPr>
            <w:rFonts w:ascii="Cambria Math" w:hAnsi="Cambria Math"/>
            <w:color w:val="000000"/>
          </w:rPr>
          <m:t>&gt;0</m:t>
        </m:r>
      </m:oMath>
      <w:r>
        <w:rPr>
          <w:color w:val="000000"/>
        </w:rPr>
        <w:t xml:space="preserve"> indicates battery discharge and </w:t>
      </w:r>
      <m:oMath>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bat</m:t>
            </m:r>
          </m:sub>
        </m:sSub>
        <m:r>
          <w:rPr>
            <w:rFonts w:ascii="Cambria Math" w:hAnsi="Cambria Math"/>
            <w:color w:val="000000"/>
          </w:rPr>
          <m:t>&lt;0</m:t>
        </m:r>
      </m:oMath>
      <w:r>
        <w:rPr>
          <w:color w:val="000000"/>
        </w:rPr>
        <w:t xml:space="preserve"> indicates battery charging, either by regenerative braking or by extra fuel cell power. The unidirectional converter enforces </w:t>
      </w:r>
      <m:oMath>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dc</m:t>
            </m:r>
          </m:sub>
        </m:sSub>
        <m:r>
          <w:rPr>
            <w:rFonts w:ascii="Cambria Math" w:hAnsi="Cambria Math"/>
            <w:color w:val="000000"/>
          </w:rPr>
          <m:t>≥0</m:t>
        </m:r>
      </m:oMath>
      <w:r>
        <w:rPr>
          <w:color w:val="000000"/>
        </w:rPr>
        <w:t xml:space="preserve">. The only memory of the system is the battery state of charge, which is taken as the state variable, </w:t>
      </w:r>
      <m:oMath>
        <m:r>
          <w:rPr>
            <w:rFonts w:ascii="Cambria Math" w:hAnsi="Cambria Math"/>
            <w:color w:val="000000"/>
          </w:rPr>
          <m:t>x(t)≡SoC(t)</m:t>
        </m:r>
      </m:oMath>
      <w:r>
        <w:rPr>
          <w:color w:val="000000"/>
        </w:rPr>
        <w:t>. The hydrogen tank level is a state, because the hydrogen cost enters the running cost directly and no terminal constraint is imposed on the tank; the same simplification is adopted in [4], [5].</w:t>
      </w:r>
    </w:p>
    <w:p w14:paraId="767CB955" w14:textId="77777777" w:rsidR="00745D49" w:rsidRDefault="00745D49" w:rsidP="000E3253">
      <w:pPr>
        <w:jc w:val="both"/>
        <w:rPr>
          <w:color w:val="000000"/>
        </w:rPr>
      </w:pPr>
    </w:p>
    <w:p w14:paraId="6A6F9090" w14:textId="24F44CEA" w:rsidR="00745D49" w:rsidRDefault="00D97803" w:rsidP="000E3253">
      <w:pPr>
        <w:jc w:val="both"/>
      </w:pPr>
      <w:r>
        <w:rPr>
          <w:color w:val="000000"/>
        </w:rPr>
        <w:t>The second-generation Toyota Mirai (2020+) is selected as the reference vehicle, since it is the most selling production fuel cell passenger car for which a complete and recent experimental energy balance is available in the literature [17]. The Toyota Mirai is not a plug-in vehicle; in this study its battery is rescaled to approximately 7.92 kWh to provide the plug-in functionality, while all remaining vehicle parameters are kept at their published values. The vehicle parameters used in the dynamic model are listed in Table 2.</w:t>
      </w:r>
    </w:p>
    <w:p w14:paraId="50ACA3FE" w14:textId="77777777" w:rsidR="00C33319" w:rsidRDefault="00C33319" w:rsidP="00532003"/>
    <w:tbl>
      <w:tblPr>
        <w:tblW w:w="9072" w:type="dxa"/>
        <w:jc w:val="right"/>
        <w:tblBorders>
          <w:top w:val="single" w:sz="8" w:space="0" w:color="000000"/>
          <w:left w:val="nil"/>
          <w:bottom w:val="single" w:sz="8" w:space="0" w:color="000000"/>
          <w:right w:val="nil"/>
          <w:insideH w:val="nil"/>
          <w:insideV w:val="nil"/>
        </w:tblBorders>
        <w:tblLayout w:type="fixed"/>
        <w:tblLook w:val="0000" w:firstRow="0" w:lastRow="0" w:firstColumn="0" w:lastColumn="0" w:noHBand="0" w:noVBand="0"/>
      </w:tblPr>
      <w:tblGrid>
        <w:gridCol w:w="3024"/>
        <w:gridCol w:w="3024"/>
        <w:gridCol w:w="3024"/>
      </w:tblGrid>
      <w:tr w:rsidR="003C6412" w:rsidRPr="00085AA7" w14:paraId="345FE0AA" w14:textId="77777777" w:rsidTr="0055525D">
        <w:trPr>
          <w:jc w:val="right"/>
        </w:trPr>
        <w:tc>
          <w:tcPr>
            <w:tcW w:w="3024" w:type="dxa"/>
            <w:tcBorders>
              <w:bottom w:val="nil"/>
            </w:tcBorders>
            <w:vAlign w:val="bottom"/>
          </w:tcPr>
          <w:p w14:paraId="2C15C49E" w14:textId="77777777" w:rsidR="003C6412" w:rsidRPr="00085AA7" w:rsidRDefault="003C6412" w:rsidP="00FE66CF">
            <w:pPr>
              <w:pBdr>
                <w:top w:val="nil"/>
                <w:left w:val="nil"/>
                <w:bottom w:val="nil"/>
                <w:right w:val="nil"/>
                <w:between w:val="nil"/>
              </w:pBdr>
              <w:spacing w:before="36" w:after="36" w:line="276" w:lineRule="auto"/>
              <w:jc w:val="center"/>
              <w:rPr>
                <w:color w:val="000000"/>
              </w:rPr>
            </w:pPr>
            <w:r>
              <w:rPr>
                <w:color w:val="000000"/>
              </w:rPr>
              <w:t>Parameter</w:t>
            </w:r>
          </w:p>
        </w:tc>
        <w:tc>
          <w:tcPr>
            <w:tcW w:w="3024" w:type="dxa"/>
            <w:tcBorders>
              <w:bottom w:val="nil"/>
            </w:tcBorders>
            <w:vAlign w:val="bottom"/>
          </w:tcPr>
          <w:p w14:paraId="5A24A582" w14:textId="77777777" w:rsidR="003C6412" w:rsidRPr="00085AA7" w:rsidRDefault="003C6412" w:rsidP="0055525D">
            <w:pPr>
              <w:pBdr>
                <w:top w:val="nil"/>
                <w:left w:val="nil"/>
                <w:bottom w:val="nil"/>
                <w:right w:val="nil"/>
                <w:between w:val="nil"/>
              </w:pBdr>
              <w:spacing w:before="36" w:after="36" w:line="276" w:lineRule="auto"/>
              <w:jc w:val="center"/>
              <w:rPr>
                <w:color w:val="000000"/>
              </w:rPr>
            </w:pPr>
            <w:r>
              <w:rPr>
                <w:color w:val="000000"/>
              </w:rPr>
              <w:t>Symbol</w:t>
            </w:r>
          </w:p>
        </w:tc>
        <w:tc>
          <w:tcPr>
            <w:tcW w:w="3024" w:type="dxa"/>
            <w:tcBorders>
              <w:bottom w:val="nil"/>
            </w:tcBorders>
            <w:vAlign w:val="bottom"/>
          </w:tcPr>
          <w:p w14:paraId="4AEE55D6" w14:textId="77777777" w:rsidR="003C6412" w:rsidRPr="00085AA7" w:rsidRDefault="003C6412" w:rsidP="00FE66CF">
            <w:pPr>
              <w:pBdr>
                <w:top w:val="nil"/>
                <w:left w:val="nil"/>
                <w:bottom w:val="nil"/>
                <w:right w:val="nil"/>
                <w:between w:val="nil"/>
              </w:pBdr>
              <w:spacing w:before="36" w:after="36" w:line="276" w:lineRule="auto"/>
              <w:jc w:val="center"/>
              <w:rPr>
                <w:color w:val="000000"/>
              </w:rPr>
            </w:pPr>
            <w:r>
              <w:rPr>
                <w:color w:val="000000"/>
              </w:rPr>
              <w:t>Value</w:t>
            </w:r>
          </w:p>
        </w:tc>
      </w:tr>
      <w:tr w:rsidR="003C6412" w:rsidRPr="00085AA7" w14:paraId="335BBE3C" w14:textId="77777777" w:rsidTr="0055525D">
        <w:trPr>
          <w:jc w:val="right"/>
        </w:trPr>
        <w:tc>
          <w:tcPr>
            <w:tcW w:w="3024" w:type="dxa"/>
          </w:tcPr>
          <w:p w14:paraId="5D3A9F24" w14:textId="77777777" w:rsidR="003C6412" w:rsidRPr="00085AA7" w:rsidRDefault="003C6412" w:rsidP="00FE66CF">
            <w:pPr>
              <w:pBdr>
                <w:top w:val="nil"/>
                <w:left w:val="nil"/>
                <w:bottom w:val="nil"/>
                <w:right w:val="nil"/>
                <w:between w:val="nil"/>
              </w:pBdr>
              <w:spacing w:before="36" w:after="36" w:line="276" w:lineRule="auto"/>
              <w:rPr>
                <w:color w:val="000000"/>
              </w:rPr>
            </w:pPr>
            <w:r>
              <w:rPr>
                <w:color w:val="000000"/>
              </w:rPr>
              <w:t>Total mass (incl. driver)</w:t>
            </w:r>
          </w:p>
        </w:tc>
        <w:tc>
          <w:tcPr>
            <w:tcW w:w="3024" w:type="dxa"/>
          </w:tcPr>
          <w:p w14:paraId="2CF80990" w14:textId="77777777" w:rsidR="003C6412" w:rsidRPr="00085AA7" w:rsidRDefault="003C6412" w:rsidP="0055525D">
            <w:pPr>
              <w:pBdr>
                <w:top w:val="nil"/>
                <w:left w:val="nil"/>
                <w:bottom w:val="nil"/>
                <w:right w:val="nil"/>
                <w:between w:val="nil"/>
              </w:pBdr>
              <w:spacing w:before="36" w:after="36" w:line="276" w:lineRule="auto"/>
              <w:rPr>
                <w:color w:val="000000"/>
              </w:rPr>
            </w:pPr>
            <m:oMathPara>
              <m:oMath>
                <m:sSub>
                  <m:sSubPr>
                    <m:ctrlPr>
                      <w:rPr>
                        <w:rFonts w:ascii="Cambria Math" w:hAnsi="Cambria Math"/>
                        <w:color w:val="000000"/>
                      </w:rPr>
                    </m:ctrlPr>
                  </m:sSubPr>
                  <m:e>
                    <m:r>
                      <w:rPr>
                        <w:rFonts w:ascii="Cambria Math" w:hAnsi="Cambria Math"/>
                        <w:color w:val="000000"/>
                      </w:rPr>
                      <m:t>m</m:t>
                    </m:r>
                  </m:e>
                  <m:sub>
                    <m:r>
                      <w:rPr>
                        <w:rFonts w:ascii="Cambria Math" w:hAnsi="Cambria Math"/>
                        <w:color w:val="000000"/>
                      </w:rPr>
                      <m:t>v</m:t>
                    </m:r>
                  </m:sub>
                </m:sSub>
              </m:oMath>
            </m:oMathPara>
          </w:p>
        </w:tc>
        <w:tc>
          <w:tcPr>
            <w:tcW w:w="3024" w:type="dxa"/>
          </w:tcPr>
          <w:p w14:paraId="429398DA" w14:textId="77777777" w:rsidR="003C6412" w:rsidRPr="00085AA7" w:rsidRDefault="003C6412" w:rsidP="00FE66CF">
            <w:pPr>
              <w:pBdr>
                <w:top w:val="nil"/>
                <w:left w:val="nil"/>
                <w:bottom w:val="nil"/>
                <w:right w:val="nil"/>
                <w:between w:val="nil"/>
              </w:pBdr>
              <w:spacing w:before="36" w:after="36" w:line="276" w:lineRule="auto"/>
              <w:jc w:val="center"/>
              <w:rPr>
                <w:color w:val="000000"/>
              </w:rPr>
            </w:pPr>
            <w:r>
              <w:rPr>
                <w:color w:val="000000"/>
              </w:rPr>
              <w:t>1925 kg</w:t>
            </w:r>
          </w:p>
        </w:tc>
      </w:tr>
      <w:tr w:rsidR="003C6412" w:rsidRPr="00085AA7" w14:paraId="5EF5B7F3" w14:textId="77777777" w:rsidTr="0055525D">
        <w:trPr>
          <w:jc w:val="right"/>
        </w:trPr>
        <w:tc>
          <w:tcPr>
            <w:tcW w:w="3024" w:type="dxa"/>
          </w:tcPr>
          <w:p w14:paraId="619DD1DF" w14:textId="77777777" w:rsidR="003C6412" w:rsidRPr="00085AA7" w:rsidRDefault="003C6412" w:rsidP="00FE66CF">
            <w:pPr>
              <w:pBdr>
                <w:top w:val="nil"/>
                <w:left w:val="nil"/>
                <w:bottom w:val="nil"/>
                <w:right w:val="nil"/>
                <w:between w:val="nil"/>
              </w:pBdr>
              <w:spacing w:before="36" w:after="36" w:line="276" w:lineRule="auto"/>
              <w:rPr>
                <w:color w:val="000000"/>
              </w:rPr>
            </w:pPr>
            <w:r>
              <w:rPr>
                <w:color w:val="000000"/>
              </w:rPr>
              <w:t>Frontal area</w:t>
            </w:r>
          </w:p>
        </w:tc>
        <w:tc>
          <w:tcPr>
            <w:tcW w:w="3024" w:type="dxa"/>
          </w:tcPr>
          <w:p w14:paraId="7E893C30" w14:textId="77777777" w:rsidR="003C6412" w:rsidRPr="00085AA7" w:rsidRDefault="003C6412" w:rsidP="0055525D">
            <w:pPr>
              <w:pBdr>
                <w:top w:val="nil"/>
                <w:left w:val="nil"/>
                <w:bottom w:val="nil"/>
                <w:right w:val="nil"/>
                <w:between w:val="nil"/>
              </w:pBdr>
              <w:spacing w:before="36" w:after="36" w:line="276" w:lineRule="auto"/>
              <w:rPr>
                <w:color w:val="000000"/>
              </w:rPr>
            </w:pPr>
            <m:oMathPara>
              <m:oMath>
                <m:sSub>
                  <m:sSubPr>
                    <m:ctrlPr>
                      <w:rPr>
                        <w:rFonts w:ascii="Cambria Math" w:hAnsi="Cambria Math"/>
                        <w:color w:val="000000"/>
                      </w:rPr>
                    </m:ctrlPr>
                  </m:sSubPr>
                  <m:e>
                    <m:r>
                      <w:rPr>
                        <w:rFonts w:ascii="Cambria Math" w:hAnsi="Cambria Math"/>
                        <w:color w:val="000000"/>
                      </w:rPr>
                      <m:t>A</m:t>
                    </m:r>
                  </m:e>
                  <m:sub>
                    <m:r>
                      <w:rPr>
                        <w:rFonts w:ascii="Cambria Math" w:hAnsi="Cambria Math"/>
                        <w:color w:val="000000"/>
                      </w:rPr>
                      <m:t>f</m:t>
                    </m:r>
                  </m:sub>
                </m:sSub>
              </m:oMath>
            </m:oMathPara>
          </w:p>
        </w:tc>
        <w:tc>
          <w:tcPr>
            <w:tcW w:w="3024" w:type="dxa"/>
          </w:tcPr>
          <w:p w14:paraId="71D6F804" w14:textId="77777777" w:rsidR="003C6412" w:rsidRPr="00085AA7" w:rsidRDefault="003C6412" w:rsidP="00FE66CF">
            <w:pPr>
              <w:pBdr>
                <w:top w:val="nil"/>
                <w:left w:val="nil"/>
                <w:bottom w:val="nil"/>
                <w:right w:val="nil"/>
                <w:between w:val="nil"/>
              </w:pBdr>
              <w:spacing w:before="36" w:after="36" w:line="276" w:lineRule="auto"/>
              <w:jc w:val="center"/>
              <w:rPr>
                <w:color w:val="000000"/>
              </w:rPr>
            </w:pPr>
            <w:r>
              <w:rPr>
                <w:color w:val="000000"/>
              </w:rPr>
              <w:t>2.547 m²</w:t>
            </w:r>
          </w:p>
        </w:tc>
      </w:tr>
      <w:tr w:rsidR="003C6412" w:rsidRPr="00085AA7" w14:paraId="7A77EC0D" w14:textId="77777777" w:rsidTr="0055525D">
        <w:trPr>
          <w:jc w:val="right"/>
        </w:trPr>
        <w:tc>
          <w:tcPr>
            <w:tcW w:w="3024" w:type="dxa"/>
          </w:tcPr>
          <w:p w14:paraId="139EC0EB" w14:textId="77777777" w:rsidR="003C6412" w:rsidRPr="00085AA7" w:rsidRDefault="003C6412" w:rsidP="00FE66CF">
            <w:pPr>
              <w:pBdr>
                <w:top w:val="nil"/>
                <w:left w:val="nil"/>
                <w:bottom w:val="nil"/>
                <w:right w:val="nil"/>
                <w:between w:val="nil"/>
              </w:pBdr>
              <w:spacing w:before="36" w:after="36" w:line="276" w:lineRule="auto"/>
              <w:rPr>
                <w:color w:val="000000"/>
              </w:rPr>
            </w:pPr>
            <w:r>
              <w:rPr>
                <w:color w:val="000000"/>
              </w:rPr>
              <w:t>Aerodynamic drag coefficient</w:t>
            </w:r>
          </w:p>
        </w:tc>
        <w:tc>
          <w:tcPr>
            <w:tcW w:w="3024" w:type="dxa"/>
          </w:tcPr>
          <w:p w14:paraId="4C5BB077" w14:textId="77777777" w:rsidR="003C6412" w:rsidRPr="00085AA7" w:rsidRDefault="003C6412" w:rsidP="0055525D">
            <w:pPr>
              <w:pBdr>
                <w:top w:val="nil"/>
                <w:left w:val="nil"/>
                <w:bottom w:val="nil"/>
                <w:right w:val="nil"/>
                <w:between w:val="nil"/>
              </w:pBdr>
              <w:spacing w:before="36" w:after="36" w:line="276" w:lineRule="auto"/>
              <w:rPr>
                <w:color w:val="000000"/>
              </w:rPr>
            </w:pPr>
            <m:oMathPara>
              <m:oMath>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d</m:t>
                    </m:r>
                  </m:sub>
                </m:sSub>
              </m:oMath>
            </m:oMathPara>
          </w:p>
        </w:tc>
        <w:tc>
          <w:tcPr>
            <w:tcW w:w="3024" w:type="dxa"/>
          </w:tcPr>
          <w:p w14:paraId="748DAECD" w14:textId="77777777" w:rsidR="003C6412" w:rsidRPr="00085AA7" w:rsidRDefault="003C6412" w:rsidP="00FE66CF">
            <w:pPr>
              <w:pBdr>
                <w:top w:val="nil"/>
                <w:left w:val="nil"/>
                <w:bottom w:val="nil"/>
                <w:right w:val="nil"/>
                <w:between w:val="nil"/>
              </w:pBdr>
              <w:spacing w:before="36" w:after="36" w:line="276" w:lineRule="auto"/>
              <w:jc w:val="center"/>
              <w:rPr>
                <w:color w:val="000000"/>
              </w:rPr>
            </w:pPr>
            <w:r>
              <w:rPr>
                <w:color w:val="000000"/>
              </w:rPr>
              <w:t>0.29</w:t>
            </w:r>
          </w:p>
        </w:tc>
      </w:tr>
      <w:tr w:rsidR="003C6412" w:rsidRPr="00085AA7" w14:paraId="47AEBCE9" w14:textId="77777777" w:rsidTr="0055525D">
        <w:trPr>
          <w:jc w:val="right"/>
        </w:trPr>
        <w:tc>
          <w:tcPr>
            <w:tcW w:w="3024" w:type="dxa"/>
          </w:tcPr>
          <w:p w14:paraId="65A7990B" w14:textId="77777777" w:rsidR="003C6412" w:rsidRPr="00085AA7" w:rsidRDefault="003C6412" w:rsidP="00FE66CF">
            <w:pPr>
              <w:pBdr>
                <w:top w:val="nil"/>
                <w:left w:val="nil"/>
                <w:bottom w:val="nil"/>
                <w:right w:val="nil"/>
                <w:between w:val="nil"/>
              </w:pBdr>
              <w:spacing w:before="36" w:after="36" w:line="276" w:lineRule="auto"/>
              <w:rPr>
                <w:color w:val="000000"/>
              </w:rPr>
            </w:pPr>
            <w:r>
              <w:rPr>
                <w:color w:val="000000"/>
              </w:rPr>
              <w:t>Rolling resistance coefficient</w:t>
            </w:r>
          </w:p>
        </w:tc>
        <w:tc>
          <w:tcPr>
            <w:tcW w:w="3024" w:type="dxa"/>
          </w:tcPr>
          <w:p w14:paraId="69A7319B" w14:textId="77777777" w:rsidR="003C6412" w:rsidRPr="00085AA7" w:rsidRDefault="003C6412" w:rsidP="0055525D">
            <w:pPr>
              <w:pBdr>
                <w:top w:val="nil"/>
                <w:left w:val="nil"/>
                <w:bottom w:val="nil"/>
                <w:right w:val="nil"/>
                <w:between w:val="nil"/>
              </w:pBdr>
              <w:spacing w:before="36" w:after="36" w:line="276" w:lineRule="auto"/>
              <w:rPr>
                <w:color w:val="000000"/>
              </w:rPr>
            </w:pPr>
            <m:oMathPara>
              <m:oMath>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r</m:t>
                    </m:r>
                  </m:sub>
                </m:sSub>
              </m:oMath>
            </m:oMathPara>
          </w:p>
        </w:tc>
        <w:tc>
          <w:tcPr>
            <w:tcW w:w="3024" w:type="dxa"/>
          </w:tcPr>
          <w:p w14:paraId="4E26F5C1" w14:textId="77777777" w:rsidR="003C6412" w:rsidRPr="00085AA7" w:rsidRDefault="003C6412" w:rsidP="00FE66CF">
            <w:pPr>
              <w:pBdr>
                <w:top w:val="nil"/>
                <w:left w:val="nil"/>
                <w:bottom w:val="nil"/>
                <w:right w:val="nil"/>
                <w:between w:val="nil"/>
              </w:pBdr>
              <w:spacing w:before="36" w:after="36" w:line="276" w:lineRule="auto"/>
              <w:jc w:val="center"/>
              <w:rPr>
                <w:color w:val="000000"/>
              </w:rPr>
            </w:pPr>
            <w:r>
              <w:rPr>
                <w:color w:val="000000"/>
              </w:rPr>
              <w:t>0.012</w:t>
            </w:r>
          </w:p>
        </w:tc>
      </w:tr>
      <w:tr w:rsidR="003C6412" w:rsidRPr="00085AA7" w14:paraId="38602C75" w14:textId="77777777" w:rsidTr="0055525D">
        <w:trPr>
          <w:jc w:val="right"/>
        </w:trPr>
        <w:tc>
          <w:tcPr>
            <w:tcW w:w="3024" w:type="dxa"/>
          </w:tcPr>
          <w:p w14:paraId="159221A5" w14:textId="77777777" w:rsidR="003C6412" w:rsidRPr="00085AA7" w:rsidRDefault="003C6412" w:rsidP="00FE66CF">
            <w:pPr>
              <w:pBdr>
                <w:top w:val="nil"/>
                <w:left w:val="nil"/>
                <w:bottom w:val="nil"/>
                <w:right w:val="nil"/>
                <w:between w:val="nil"/>
              </w:pBdr>
              <w:spacing w:before="36" w:after="36" w:line="276" w:lineRule="auto"/>
              <w:rPr>
                <w:color w:val="000000"/>
              </w:rPr>
            </w:pPr>
            <w:r>
              <w:rPr>
                <w:color w:val="000000"/>
              </w:rPr>
              <w:t>Air density (20 °C)</w:t>
            </w:r>
          </w:p>
        </w:tc>
        <w:tc>
          <w:tcPr>
            <w:tcW w:w="3024" w:type="dxa"/>
          </w:tcPr>
          <w:p w14:paraId="2221791B" w14:textId="77777777" w:rsidR="003C6412" w:rsidRPr="00085AA7" w:rsidRDefault="003C6412" w:rsidP="0055525D">
            <w:pPr>
              <w:pBdr>
                <w:top w:val="nil"/>
                <w:left w:val="nil"/>
                <w:bottom w:val="nil"/>
                <w:right w:val="nil"/>
                <w:between w:val="nil"/>
              </w:pBdr>
              <w:spacing w:before="36" w:after="36" w:line="276" w:lineRule="auto"/>
              <w:rPr>
                <w:color w:val="000000"/>
              </w:rPr>
            </w:pPr>
            <m:oMathPara>
              <m:oMath>
                <m:sSub>
                  <m:sSubPr>
                    <m:ctrlPr>
                      <w:rPr>
                        <w:rFonts w:ascii="Cambria Math" w:hAnsi="Cambria Math"/>
                        <w:color w:val="000000"/>
                      </w:rPr>
                    </m:ctrlPr>
                  </m:sSubPr>
                  <m:e>
                    <m:r>
                      <w:rPr>
                        <w:rFonts w:ascii="Cambria Math" w:hAnsi="Cambria Math"/>
                      </w:rPr>
                      <m:t>ρ</m:t>
                    </m:r>
                  </m:e>
                  <m:sub>
                    <m:r>
                      <w:rPr>
                        <w:rFonts w:ascii="Cambria Math" w:hAnsi="Cambria Math"/>
                        <w:color w:val="000000"/>
                      </w:rPr>
                      <m:t>air</m:t>
                    </m:r>
                  </m:sub>
                </m:sSub>
              </m:oMath>
            </m:oMathPara>
          </w:p>
        </w:tc>
        <w:tc>
          <w:tcPr>
            <w:tcW w:w="3024" w:type="dxa"/>
          </w:tcPr>
          <w:p w14:paraId="792FC331" w14:textId="77777777" w:rsidR="003C6412" w:rsidRPr="00085AA7" w:rsidRDefault="003C6412" w:rsidP="00FE66CF">
            <w:pPr>
              <w:pBdr>
                <w:top w:val="nil"/>
                <w:left w:val="nil"/>
                <w:bottom w:val="nil"/>
                <w:right w:val="nil"/>
                <w:between w:val="nil"/>
              </w:pBdr>
              <w:spacing w:before="36" w:after="36" w:line="276" w:lineRule="auto"/>
              <w:jc w:val="center"/>
              <w:rPr>
                <w:color w:val="000000"/>
              </w:rPr>
            </w:pPr>
            <w:r>
              <w:rPr>
                <w:color w:val="000000"/>
              </w:rPr>
              <w:t>1.18 kg/m³</w:t>
            </w:r>
          </w:p>
        </w:tc>
      </w:tr>
      <w:tr w:rsidR="003C6412" w:rsidRPr="00085AA7" w14:paraId="7453CB2B" w14:textId="77777777" w:rsidTr="0055525D">
        <w:trPr>
          <w:jc w:val="right"/>
        </w:trPr>
        <w:tc>
          <w:tcPr>
            <w:tcW w:w="3024" w:type="dxa"/>
          </w:tcPr>
          <w:p w14:paraId="5C964F81" w14:textId="77777777" w:rsidR="003C6412" w:rsidRPr="00085AA7" w:rsidRDefault="003C6412" w:rsidP="00FE66CF">
            <w:pPr>
              <w:pBdr>
                <w:top w:val="nil"/>
                <w:left w:val="nil"/>
                <w:bottom w:val="nil"/>
                <w:right w:val="nil"/>
                <w:between w:val="nil"/>
              </w:pBdr>
              <w:spacing w:before="36" w:after="36" w:line="276" w:lineRule="auto"/>
              <w:rPr>
                <w:color w:val="000000"/>
              </w:rPr>
            </w:pPr>
            <w:r>
              <w:rPr>
                <w:color w:val="000000"/>
              </w:rPr>
              <w:t>Drivetrain efficiency</w:t>
            </w:r>
          </w:p>
        </w:tc>
        <w:tc>
          <w:tcPr>
            <w:tcW w:w="3024" w:type="dxa"/>
          </w:tcPr>
          <w:p w14:paraId="0D750140" w14:textId="77777777" w:rsidR="003C6412" w:rsidRPr="00085AA7" w:rsidRDefault="003C6412" w:rsidP="0055525D">
            <w:pPr>
              <w:pBdr>
                <w:top w:val="nil"/>
                <w:left w:val="nil"/>
                <w:bottom w:val="nil"/>
                <w:right w:val="nil"/>
                <w:between w:val="nil"/>
              </w:pBdr>
              <w:spacing w:before="36" w:after="36" w:line="276" w:lineRule="auto"/>
              <w:rPr>
                <w:color w:val="000000"/>
              </w:rPr>
            </w:pPr>
            <m:oMathPara>
              <m:oMath>
                <m:sSub>
                  <m:sSubPr>
                    <m:ctrlPr>
                      <w:rPr>
                        <w:rFonts w:ascii="Cambria Math" w:hAnsi="Cambria Math"/>
                        <w:color w:val="000000"/>
                      </w:rPr>
                    </m:ctrlPr>
                  </m:sSubPr>
                  <m:e>
                    <m:r>
                      <w:rPr>
                        <w:rFonts w:ascii="Cambria Math" w:hAnsi="Cambria Math"/>
                      </w:rPr>
                      <m:t>η</m:t>
                    </m:r>
                  </m:e>
                  <m:sub>
                    <m:r>
                      <w:rPr>
                        <w:rFonts w:ascii="Cambria Math" w:hAnsi="Cambria Math"/>
                        <w:color w:val="000000"/>
                      </w:rPr>
                      <m:t>dt</m:t>
                    </m:r>
                  </m:sub>
                </m:sSub>
              </m:oMath>
            </m:oMathPara>
          </w:p>
        </w:tc>
        <w:tc>
          <w:tcPr>
            <w:tcW w:w="3024" w:type="dxa"/>
          </w:tcPr>
          <w:p w14:paraId="5CBDB19D" w14:textId="77777777" w:rsidR="003C6412" w:rsidRPr="00085AA7" w:rsidRDefault="003C6412" w:rsidP="00FE66CF">
            <w:pPr>
              <w:pBdr>
                <w:top w:val="nil"/>
                <w:left w:val="nil"/>
                <w:bottom w:val="nil"/>
                <w:right w:val="nil"/>
                <w:between w:val="nil"/>
              </w:pBdr>
              <w:spacing w:before="36" w:after="36" w:line="276" w:lineRule="auto"/>
              <w:jc w:val="center"/>
              <w:rPr>
                <w:color w:val="000000"/>
              </w:rPr>
            </w:pPr>
            <w:r>
              <w:rPr>
                <w:color w:val="000000"/>
              </w:rPr>
              <w:t>0.92</w:t>
            </w:r>
          </w:p>
        </w:tc>
      </w:tr>
      <w:tr w:rsidR="003C6412" w:rsidRPr="00085AA7" w14:paraId="7D89BDBD" w14:textId="77777777" w:rsidTr="0055525D">
        <w:trPr>
          <w:jc w:val="right"/>
        </w:trPr>
        <w:tc>
          <w:tcPr>
            <w:tcW w:w="3024" w:type="dxa"/>
          </w:tcPr>
          <w:p w14:paraId="4DA6297B" w14:textId="77777777" w:rsidR="003C6412" w:rsidRPr="00085AA7" w:rsidRDefault="003C6412" w:rsidP="00FE66CF">
            <w:pPr>
              <w:pBdr>
                <w:top w:val="nil"/>
                <w:left w:val="nil"/>
                <w:bottom w:val="nil"/>
                <w:right w:val="nil"/>
                <w:between w:val="nil"/>
              </w:pBdr>
              <w:spacing w:before="36" w:after="36" w:line="276" w:lineRule="auto"/>
              <w:rPr>
                <w:color w:val="000000"/>
              </w:rPr>
            </w:pPr>
            <w:r>
              <w:rPr>
                <w:color w:val="000000"/>
              </w:rPr>
              <w:t>Maximum motor power</w:t>
            </w:r>
          </w:p>
        </w:tc>
        <w:tc>
          <w:tcPr>
            <w:tcW w:w="3024" w:type="dxa"/>
          </w:tcPr>
          <w:p w14:paraId="7A922D12" w14:textId="77777777" w:rsidR="003C6412" w:rsidRPr="00085AA7" w:rsidRDefault="003C6412" w:rsidP="0055525D">
            <w:pPr>
              <w:pBdr>
                <w:top w:val="nil"/>
                <w:left w:val="nil"/>
                <w:bottom w:val="nil"/>
                <w:right w:val="nil"/>
                <w:between w:val="nil"/>
              </w:pBdr>
              <w:spacing w:before="36" w:after="36" w:line="276" w:lineRule="auto"/>
              <w:rPr>
                <w:color w:val="000000"/>
              </w:rPr>
            </w:pPr>
            <m:oMathPara>
              <m:oMath>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m,max</m:t>
                    </m:r>
                  </m:sub>
                </m:sSub>
              </m:oMath>
            </m:oMathPara>
          </w:p>
        </w:tc>
        <w:tc>
          <w:tcPr>
            <w:tcW w:w="3024" w:type="dxa"/>
          </w:tcPr>
          <w:p w14:paraId="54D80020" w14:textId="77777777" w:rsidR="003C6412" w:rsidRPr="00085AA7" w:rsidRDefault="003C6412" w:rsidP="00FE66CF">
            <w:pPr>
              <w:pBdr>
                <w:top w:val="nil"/>
                <w:left w:val="nil"/>
                <w:bottom w:val="nil"/>
                <w:right w:val="nil"/>
                <w:between w:val="nil"/>
              </w:pBdr>
              <w:spacing w:before="36" w:after="36" w:line="276" w:lineRule="auto"/>
              <w:jc w:val="center"/>
              <w:rPr>
                <w:color w:val="000000"/>
              </w:rPr>
            </w:pPr>
            <w:r>
              <w:rPr>
                <w:color w:val="000000"/>
              </w:rPr>
              <w:t>134 kW</w:t>
            </w:r>
          </w:p>
        </w:tc>
      </w:tr>
      <w:tr w:rsidR="003C6412" w:rsidRPr="00085AA7" w14:paraId="7537D967" w14:textId="77777777" w:rsidTr="0055525D">
        <w:trPr>
          <w:jc w:val="right"/>
        </w:trPr>
        <w:tc>
          <w:tcPr>
            <w:tcW w:w="3024" w:type="dxa"/>
          </w:tcPr>
          <w:p w14:paraId="2840EE01" w14:textId="77777777" w:rsidR="003C6412" w:rsidRPr="00085AA7" w:rsidRDefault="003C6412" w:rsidP="00FE66CF">
            <w:pPr>
              <w:pBdr>
                <w:top w:val="nil"/>
                <w:left w:val="nil"/>
                <w:bottom w:val="nil"/>
                <w:right w:val="nil"/>
                <w:between w:val="nil"/>
              </w:pBdr>
              <w:spacing w:before="36" w:after="36" w:line="276" w:lineRule="auto"/>
              <w:rPr>
                <w:color w:val="000000"/>
              </w:rPr>
            </w:pPr>
            <w:r>
              <w:rPr>
                <w:color w:val="000000"/>
              </w:rPr>
              <w:t>Stack net peak power</w:t>
            </w:r>
          </w:p>
        </w:tc>
        <w:tc>
          <w:tcPr>
            <w:tcW w:w="3024" w:type="dxa"/>
          </w:tcPr>
          <w:p w14:paraId="5DF756E1" w14:textId="77777777" w:rsidR="003C6412" w:rsidRPr="00085AA7" w:rsidRDefault="003C6412" w:rsidP="0055525D">
            <w:pPr>
              <w:pBdr>
                <w:top w:val="nil"/>
                <w:left w:val="nil"/>
                <w:bottom w:val="nil"/>
                <w:right w:val="nil"/>
                <w:between w:val="nil"/>
              </w:pBdr>
              <w:spacing w:before="36" w:after="36" w:line="276" w:lineRule="auto"/>
              <w:rPr>
                <w:color w:val="000000"/>
              </w:rPr>
            </w:pPr>
            <m:oMathPara>
              <m:oMath>
                <m:sSubSup>
                  <m:sSubSupPr>
                    <m:ctrlPr>
                      <w:rPr>
                        <w:rFonts w:ascii="Cambria Math" w:hAnsi="Cambria Math"/>
                        <w:color w:val="000000"/>
                      </w:rPr>
                    </m:ctrlPr>
                  </m:sSubSupPr>
                  <m:e>
                    <m:r>
                      <w:rPr>
                        <w:rFonts w:ascii="Cambria Math" w:hAnsi="Cambria Math"/>
                        <w:color w:val="000000"/>
                      </w:rPr>
                      <m:t>P</m:t>
                    </m:r>
                  </m:e>
                  <m:sub>
                    <m:r>
                      <w:rPr>
                        <w:rFonts w:ascii="Cambria Math" w:hAnsi="Cambria Math"/>
                        <w:color w:val="000000"/>
                      </w:rPr>
                      <m:t>fc</m:t>
                    </m:r>
                  </m:sub>
                  <m:sup>
                    <m:r>
                      <w:rPr>
                        <w:rFonts w:ascii="Cambria Math" w:hAnsi="Cambria Math"/>
                        <w:color w:val="000000"/>
                      </w:rPr>
                      <m:t>max</m:t>
                    </m:r>
                  </m:sup>
                </m:sSubSup>
              </m:oMath>
            </m:oMathPara>
          </w:p>
        </w:tc>
        <w:tc>
          <w:tcPr>
            <w:tcW w:w="3024" w:type="dxa"/>
          </w:tcPr>
          <w:p w14:paraId="74CCF09E" w14:textId="77777777" w:rsidR="003C6412" w:rsidRPr="00085AA7" w:rsidRDefault="003C6412" w:rsidP="00FE66CF">
            <w:pPr>
              <w:pBdr>
                <w:top w:val="nil"/>
                <w:left w:val="nil"/>
                <w:bottom w:val="nil"/>
                <w:right w:val="nil"/>
                <w:between w:val="nil"/>
              </w:pBdr>
              <w:spacing w:before="36" w:after="36" w:line="276" w:lineRule="auto"/>
              <w:jc w:val="center"/>
              <w:rPr>
                <w:color w:val="000000"/>
              </w:rPr>
            </w:pPr>
            <w:r>
              <w:rPr>
                <w:color w:val="000000"/>
              </w:rPr>
              <w:t>128 kW (system net 110 kW)</w:t>
            </w:r>
          </w:p>
        </w:tc>
      </w:tr>
      <w:tr w:rsidR="003C6412" w:rsidRPr="00085AA7" w14:paraId="3BBFACBA" w14:textId="77777777" w:rsidTr="0055525D">
        <w:trPr>
          <w:jc w:val="right"/>
        </w:trPr>
        <w:tc>
          <w:tcPr>
            <w:tcW w:w="3024" w:type="dxa"/>
          </w:tcPr>
          <w:p w14:paraId="7A9C35EE" w14:textId="77777777" w:rsidR="003C6412" w:rsidRPr="00085AA7" w:rsidRDefault="003C6412" w:rsidP="00FE66CF">
            <w:pPr>
              <w:pBdr>
                <w:top w:val="nil"/>
                <w:left w:val="nil"/>
                <w:bottom w:val="nil"/>
                <w:right w:val="nil"/>
                <w:between w:val="nil"/>
              </w:pBdr>
              <w:spacing w:before="36" w:after="36" w:line="276" w:lineRule="auto"/>
              <w:rPr>
                <w:color w:val="000000"/>
              </w:rPr>
            </w:pPr>
            <w:r>
              <w:rPr>
                <w:color w:val="000000"/>
              </w:rPr>
              <w:t>DC/DC converter efficiency</w:t>
            </w:r>
          </w:p>
        </w:tc>
        <w:tc>
          <w:tcPr>
            <w:tcW w:w="3024" w:type="dxa"/>
          </w:tcPr>
          <w:p w14:paraId="55CDF2DB" w14:textId="77777777" w:rsidR="003C6412" w:rsidRPr="00085AA7" w:rsidRDefault="003C6412" w:rsidP="0055525D">
            <w:pPr>
              <w:pBdr>
                <w:top w:val="nil"/>
                <w:left w:val="nil"/>
                <w:bottom w:val="nil"/>
                <w:right w:val="nil"/>
                <w:between w:val="nil"/>
              </w:pBdr>
              <w:spacing w:before="36" w:after="36" w:line="276" w:lineRule="auto"/>
              <w:rPr>
                <w:color w:val="000000"/>
              </w:rPr>
            </w:pPr>
            <m:oMathPara>
              <m:oMath>
                <m:sSub>
                  <m:sSubPr>
                    <m:ctrlPr>
                      <w:rPr>
                        <w:rFonts w:ascii="Cambria Math" w:hAnsi="Cambria Math"/>
                        <w:color w:val="000000"/>
                      </w:rPr>
                    </m:ctrlPr>
                  </m:sSubPr>
                  <m:e>
                    <m:r>
                      <w:rPr>
                        <w:rFonts w:ascii="Cambria Math" w:hAnsi="Cambria Math"/>
                      </w:rPr>
                      <m:t>η</m:t>
                    </m:r>
                  </m:e>
                  <m:sub>
                    <m:r>
                      <w:rPr>
                        <w:rFonts w:ascii="Cambria Math" w:hAnsi="Cambria Math"/>
                        <w:color w:val="000000"/>
                      </w:rPr>
                      <m:t>dc</m:t>
                    </m:r>
                  </m:sub>
                </m:sSub>
              </m:oMath>
            </m:oMathPara>
          </w:p>
        </w:tc>
        <w:tc>
          <w:tcPr>
            <w:tcW w:w="3024" w:type="dxa"/>
          </w:tcPr>
          <w:p w14:paraId="58EA9E17" w14:textId="77777777" w:rsidR="003C6412" w:rsidRPr="00085AA7" w:rsidRDefault="003C6412" w:rsidP="00FE66CF">
            <w:pPr>
              <w:keepNext/>
              <w:pBdr>
                <w:top w:val="nil"/>
                <w:left w:val="nil"/>
                <w:bottom w:val="nil"/>
                <w:right w:val="nil"/>
                <w:between w:val="nil"/>
              </w:pBdr>
              <w:spacing w:before="36" w:after="36" w:line="276" w:lineRule="auto"/>
              <w:jc w:val="center"/>
              <w:rPr>
                <w:color w:val="000000"/>
              </w:rPr>
            </w:pPr>
            <w:r>
              <w:rPr>
                <w:color w:val="000000"/>
              </w:rPr>
              <w:t>0.95</w:t>
            </w:r>
          </w:p>
        </w:tc>
      </w:tr>
    </w:tbl>
    <w:p w14:paraId="32FF5D42" w14:textId="12187A5F" w:rsidR="0007361F" w:rsidRDefault="003C6412" w:rsidP="0055525D">
      <w:pPr>
        <w:pStyle w:val="Caption"/>
        <w:jc w:val="center"/>
      </w:pPr>
      <w:r>
        <w:t xml:space="preserve">Table </w:t>
        <w:fldChar w:fldCharType="begin"/>
        <w:instrText xml:space="preserve"> SEQ Table \* ARABIC </w:instrText>
        <w:fldChar w:fldCharType="separate"/>
      </w:r>
      <w:r>
        <w:rPr>
          <w:noProof/>
        </w:rPr>
        <w:t>2</w:t>
      </w:r>
      <w:r>
        <w:fldChar w:fldCharType="end"/>
        <w:t xml:space="preserve"> Second generation Toyota Mirai parameters [17] and Toyota official technical specifications [22].</w:t>
      </w:r>
    </w:p>
    <w:p w14:paraId="741B081C" w14:textId="5DDBE2B4" w:rsidR="00C33319" w:rsidRDefault="00BB091B" w:rsidP="00C96803">
      <w:pPr>
        <w:spacing w:line="276" w:lineRule="auto"/>
        <w:jc w:val="both"/>
        <w:rPr>
          <w:color w:val="000000"/>
        </w:rPr>
      </w:pPr>
      <w:r>
        <w:rPr>
          <w:color w:val="000000"/>
        </w:rPr>
        <w:t xml:space="preserve">The reference trip consists of two consecutive WLTP Class 3b cycles, giving a total duration of </w:t>
      </w:r>
      <m:oMath>
        <m:r>
          <w:rPr>
            <w:rFonts w:ascii="Cambria Math" w:hAnsi="Cambria Math"/>
            <w:color w:val="000000"/>
          </w:rPr>
          <m:t>T=3600</m:t>
        </m:r>
      </m:oMath>
      <w:r>
        <w:rPr>
          <w:color w:val="000000"/>
        </w:rPr>
        <w:t xml:space="preserve"> s and a distance of 46.5 km</w:t>
      </w:r>
      <w:r>
        <w:rPr>
          <w:b/>
          <w:i/>
          <w:color w:val="FF0000"/>
        </w:rPr>
        <w:t xml:space="preserve">; the speed profile of the constituent WLTC Class 3b phases is shown in Figure 3. </w:t>
      </w:r>
      <w:r>
        <w:t xml:space="preserve"/>
      </w:r>
    </w:p>
    <w:p w14:paraId="4AFEFF7A" w14:textId="77777777" w:rsidR="001613F3" w:rsidRDefault="001613F3" w:rsidP="00532003">
      <w:pPr>
        <w:rPr>
          <w:color w:val="000000"/>
        </w:rPr>
      </w:pPr>
    </w:p>
    <w:p w14:paraId="01F6A717" w14:textId="77777777" w:rsidR="008B2335" w:rsidRDefault="000D134B" w:rsidP="008B2335">
      <w:pPr>
        <w:keepNext/>
      </w:pPr>
      <w:r>
        <w:rPr>
          <w:color w:val="000000"/>
        </w:rPr>
        <w:drawing>
          <wp:inline distT="0" distB="0" distL="0" distR="0" wp14:anchorId="7D8A4BCD" wp14:editId="6E7E063B">
            <wp:extent cx="5756910" cy="1253490"/>
            <wp:effectExtent l="0" t="0" r="0" b="3810"/>
            <wp:docPr id="1862026938" name="Picture 1" descr="A graph showing a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26938" name="Picture 1" descr="A graph showing a line  AI-generated content may be incorrect."/>
                    <pic:cNvPicPr/>
                  </pic:nvPicPr>
                  <pic:blipFill>
                    <a:blip r:embed="rId11"/>
                    <a:stretch>
                      <a:fillRect/>
                    </a:stretch>
                  </pic:blipFill>
                  <pic:spPr>
                    <a:xfrm>
                      <a:off x="0" y="0"/>
                      <a:ext cx="5756910" cy="1253490"/>
                    </a:xfrm>
                    <a:prstGeom prst="rect">
                      <a:avLst/>
                    </a:prstGeom>
                  </pic:spPr>
                </pic:pic>
              </a:graphicData>
            </a:graphic>
          </wp:inline>
        </w:drawing>
      </w:r>
    </w:p>
    <w:p w14:paraId="1E4D6E8F" w14:textId="06910C75" w:rsidR="000D134B" w:rsidRDefault="008B2335" w:rsidP="008B2335">
      <w:pPr>
        <w:pStyle w:val="Caption"/>
        <w:jc w:val="center"/>
        <w:rPr>
          <w:color w:val="000000"/>
        </w:rPr>
      </w:pPr>
      <w:bookmarkStart w:id="16" w:name="_Toc232147094"/>
      <w:r>
        <w:t xml:space="preserve">Figure </w:t>
        <w:fldChar w:fldCharType="begin"/>
        <w:instrText xml:space="preserve"> SEQ Figure \* ARABIC </w:instrText>
        <w:fldChar w:fldCharType="separate"/>
      </w:r>
      <w:r>
        <w:rPr>
          <w:noProof/>
        </w:rPr>
        <w:t>3</w:t>
      </w:r>
      <w:r>
        <w:fldChar w:fldCharType="end"/>
        <w:t xml:space="preserve"> WLTC Class 3b Low, Medium, High cycles [21]</w:t>
      </w:r>
      <w:bookmarkEnd w:id="16"/>
    </w:p>
    <w:p w14:paraId="7C5A2B5F" w14:textId="7A6A077C" w:rsidR="001613F3" w:rsidRPr="00BA4709" w:rsidRDefault="00C96803" w:rsidP="00BA4709">
      <w:pPr>
        <w:pBdr>
          <w:top w:val="nil"/>
          <w:left w:val="nil"/>
          <w:bottom w:val="nil"/>
          <w:right w:val="nil"/>
          <w:between w:val="nil"/>
        </w:pBdr>
        <w:spacing w:before="180" w:after="180" w:line="276" w:lineRule="auto"/>
        <w:jc w:val="both"/>
        <w:rPr>
          <w:color w:val="000000"/>
        </w:rPr>
      </w:pPr>
      <w:r>
        <w:rPr>
          <w:color w:val="000000"/>
        </w:rPr>
        <w:t xml:space="preserve">Two cycles are required so that the 7.92 kWh pack can be depleted by a meaningful amount within the trip. Two cycles are required so that the 7.92 kWh pack can be depleted by a </w:t>
        <w:lastRenderedPageBreak/>
        <w:t xml:space="preserve">meaningful amount within the trip. Because the driving cycle is known, the required load power </w:t>
      </w:r>
      <m:oMath>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load</m:t>
            </m:r>
          </m:sub>
        </m:sSub>
        <m:r>
          <w:rPr>
            <w:rFonts w:ascii="Cambria Math" w:hAnsi="Cambria Math"/>
            <w:color w:val="000000"/>
          </w:rPr>
          <m:t xml:space="preserve">(t) </m:t>
        </m:r>
      </m:oMath>
      <w:r>
        <w:rPr>
          <w:color w:val="000000"/>
        </w:rPr>
        <w:t xml:space="preserve">can be calculated in advance, which is exactly what the DP benchmark requires. Furthermore, the simulation is discretized with a time step of </w:t>
      </w:r>
      <m:oMath>
        <m:r>
          <w:rPr>
            <w:rFonts w:ascii="Cambria Math" w:hAnsi="Cambria Math"/>
          </w:rPr>
          <m:t>Δ</m:t>
        </m:r>
        <m:r>
          <w:rPr>
            <w:rFonts w:ascii="Cambria Math" w:hAnsi="Cambria Math"/>
            <w:color w:val="000000"/>
          </w:rPr>
          <m:t>t=1</m:t>
        </m:r>
      </m:oMath>
      <w:r>
        <w:rPr>
          <w:color w:val="000000"/>
        </w:rPr>
        <w:t xml:space="preserve">, resulting in </w:t>
      </w:r>
      <m:oMath>
        <m:r>
          <w:rPr>
            <w:rFonts w:ascii="Cambria Math" w:hAnsi="Cambria Math"/>
            <w:color w:val="000000"/>
          </w:rPr>
          <m:t xml:space="preserve">N=3600 </m:t>
        </m:r>
      </m:oMath>
      <w:r>
        <w:rPr>
          <w:color w:val="000000"/>
        </w:rPr>
        <w:t>decision points.</w:t>
      </w:r>
    </w:p>
    <w:p w14:paraId="3FCAEF05" w14:textId="02974D8A" w:rsidR="00BA4709" w:rsidRDefault="008515F6" w:rsidP="000B73EE">
      <w:pPr>
        <w:pStyle w:val="Heading2"/>
        <w:spacing w:line="276" w:lineRule="auto"/>
        <w:jc w:val="both"/>
      </w:pPr>
      <w:bookmarkStart w:id="17" w:name="_Toc232147083"/>
      <w:r>
        <w:t>3.3. Mathematical Modelling of the Powertrain Components</w:t>
      </w:r>
      <w:bookmarkEnd w:id="17"/>
    </w:p>
    <w:p w14:paraId="190CF2D5" w14:textId="77777777" w:rsidR="00684803" w:rsidRDefault="00684803" w:rsidP="00684803">
      <w:pPr>
        <w:pStyle w:val="Heading3"/>
      </w:pPr>
      <w:bookmarkStart w:id="18" w:name="_Toc231989458"/>
    </w:p>
    <w:p w14:paraId="39AD527D" w14:textId="01865239" w:rsidR="00684803" w:rsidRPr="00085AA7" w:rsidRDefault="00684803" w:rsidP="00146536">
      <w:pPr>
        <w:pStyle w:val="Heading3"/>
        <w:spacing w:line="276" w:lineRule="auto"/>
        <w:jc w:val="both"/>
      </w:pPr>
      <w:bookmarkStart w:id="19" w:name="_Toc232147084"/>
      <w:r>
        <w:t>3.3.1. Longitudinal vehicle dynamics</w:t>
      </w:r>
      <w:bookmarkEnd w:id="18"/>
      <w:bookmarkEnd w:id="19"/>
    </w:p>
    <w:p w14:paraId="42002346" w14:textId="77777777" w:rsidR="007D1063" w:rsidRDefault="007D1063" w:rsidP="007D1063"/>
    <w:p w14:paraId="36A2F46A" w14:textId="77777777" w:rsidR="002B5F9F" w:rsidRPr="00085AA7" w:rsidRDefault="002B5F9F" w:rsidP="002B5F9F">
      <w:pPr>
        <w:pBdr>
          <w:top w:val="nil"/>
          <w:left w:val="nil"/>
          <w:bottom w:val="nil"/>
          <w:right w:val="nil"/>
          <w:between w:val="nil"/>
        </w:pBdr>
        <w:spacing w:before="180" w:after="180" w:line="276" w:lineRule="auto"/>
        <w:jc w:val="both"/>
        <w:rPr>
          <w:color w:val="000000"/>
        </w:rPr>
      </w:pPr>
      <w:r>
        <w:rPr>
          <w:color w:val="000000"/>
        </w:rPr>
        <w:t xml:space="preserve">The power that must be transmitted to the wheels at vehicle speed </w:t>
      </w:r>
      <m:oMath>
        <m:r>
          <w:rPr>
            <w:rFonts w:ascii="Cambria Math" w:hAnsi="Cambria Math"/>
            <w:color w:val="000000"/>
          </w:rPr>
          <m:t>v(t)</m:t>
        </m:r>
      </m:oMath>
      <w:r>
        <w:rPr>
          <w:color w:val="000000"/>
        </w:rPr>
        <w:t xml:space="preserve"> and acceleration </w:t>
      </w:r>
      <m:oMath>
        <m:r>
          <w:rPr>
            <w:rFonts w:ascii="Cambria Math" w:hAnsi="Cambria Math"/>
            <w:color w:val="000000"/>
          </w:rPr>
          <m:t>a(t)=dv/dt</m:t>
        </m:r>
      </m:oMath>
      <w:r>
        <w:rPr>
          <w:color w:val="000000"/>
        </w:rPr>
        <w:t xml:space="preserve"> on a road of grade angle </w:t>
      </w:r>
      <m:oMath>
        <m:r>
          <w:rPr>
            <w:rFonts w:ascii="Cambria Math" w:hAnsi="Cambria Math"/>
          </w:rPr>
          <m:t>α</m:t>
        </m:r>
      </m:oMath>
      <w:r>
        <w:rPr>
          <w:color w:val="000000"/>
        </w:rPr>
        <w:t xml:space="preserve"> is obtained from the classical longitudinal dynamics balance,</w:t>
      </w:r>
    </w:p>
    <w:p w14:paraId="653A08BE" w14:textId="77777777" w:rsidR="00684803" w:rsidRPr="007D1063" w:rsidRDefault="00684803" w:rsidP="007D1063"/>
    <w:tbl>
      <w:tblPr>
        <w:tblW w:w="9072"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700"/>
        <w:gridCol w:w="7672"/>
        <w:gridCol w:w="700"/>
      </w:tblGrid>
      <w:tr w:rsidR="001D026C" w:rsidRPr="00085AA7" w14:paraId="75E99CF5" w14:textId="77777777" w:rsidTr="00D712D5">
        <w:tc>
          <w:tcPr>
            <w:tcW w:w="700" w:type="dxa"/>
            <w:vAlign w:val="center"/>
          </w:tcPr>
          <w:p w14:paraId="5B3A88E4" w14:textId="77777777" w:rsidR="001D026C" w:rsidRPr="00085AA7" w:rsidRDefault="001D026C" w:rsidP="00D712D5"/>
        </w:tc>
        <w:tc>
          <w:tcPr>
            <w:tcW w:w="7672" w:type="dxa"/>
            <w:vAlign w:val="center"/>
          </w:tcPr>
          <w:p w14:paraId="6FA28790" w14:textId="77777777" w:rsidR="001D026C" w:rsidRPr="00085AA7" w:rsidRDefault="001D026C" w:rsidP="00D712D5">
            <w:pPr>
              <w:jc w:val="center"/>
            </w:pPr>
            <m:oMathPara>
              <m:oMath>
                <m:sSub>
                  <m:sSubPr>
                    <m:ctrlPr>
                      <w:rPr>
                        <w:rFonts w:ascii="Cambria Math" w:hAnsi="Cambria Math"/>
                      </w:rPr>
                    </m:ctrlPr>
                  </m:sSubPr>
                  <m:e>
                    <m:r>
                      <w:rPr>
                        <w:rFonts w:ascii="Cambria Math" w:hAnsi="Cambria Math"/>
                      </w:rPr>
                      <m:t>P</m:t>
                    </m:r>
                  </m:e>
                  <m:sub>
                    <m:r>
                      <w:rPr>
                        <w:rFonts w:ascii="Cambria Math" w:hAnsi="Cambria Math"/>
                      </w:rPr>
                      <m:t>wheel</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r>
                  <w:rPr>
                    <w:rFonts w:ascii="Cambria Math" w:hAnsi="Cambria Math"/>
                  </w:rPr>
                  <m:t>a+</m:t>
                </m:r>
                <m:sSub>
                  <m:sSubPr>
                    <m:ctrlPr>
                      <w:rPr>
                        <w:rFonts w:ascii="Cambria Math" w:hAnsi="Cambria Math"/>
                      </w:rPr>
                    </m:ctrlPr>
                  </m:sSubPr>
                  <m:e>
                    <m:r>
                      <w:rPr>
                        <w:rFonts w:ascii="Cambria Math" w:hAnsi="Cambria Math"/>
                      </w:rPr>
                      <m:t>m</m:t>
                    </m:r>
                  </m:e>
                  <m:sub>
                    <m:r>
                      <w:rPr>
                        <w:rFonts w:ascii="Cambria Math" w:hAnsi="Cambria Math"/>
                      </w:rPr>
                      <m:t>v</m:t>
                    </m:r>
                  </m:sub>
                </m:sSub>
                <m:r>
                  <w:rPr>
                    <w:rFonts w:ascii="Cambria Math" w:hAnsi="Cambria Math"/>
                  </w:rPr>
                  <m:t>g</m:t>
                </m:r>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cosα+</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ρ</m:t>
                    </m:r>
                  </m:e>
                  <m:sub>
                    <m:r>
                      <w:rPr>
                        <w:rFonts w:ascii="Cambria Math" w:hAnsi="Cambria Math"/>
                      </w:rPr>
                      <m:t>air</m:t>
                    </m:r>
                  </m:sub>
                </m:sSub>
                <m:sSub>
                  <m:sSubPr>
                    <m:ctrlPr>
                      <w:rPr>
                        <w:rFonts w:ascii="Cambria Math" w:hAnsi="Cambria Math"/>
                      </w:rPr>
                    </m:ctrlPr>
                  </m:sSubPr>
                  <m:e>
                    <m:r>
                      <w:rPr>
                        <w:rFonts w:ascii="Cambria Math" w:hAnsi="Cambria Math"/>
                      </w:rPr>
                      <m:t>C</m:t>
                    </m:r>
                  </m:e>
                  <m:sub>
                    <m:r>
                      <w:rPr>
                        <w:rFonts w:ascii="Cambria Math" w:hAnsi="Cambria Math"/>
                      </w:rPr>
                      <m:t>d</m:t>
                    </m:r>
                  </m:sub>
                </m:sSub>
                <m:sSub>
                  <m:sSubPr>
                    <m:ctrlPr>
                      <w:rPr>
                        <w:rFonts w:ascii="Cambria Math" w:hAnsi="Cambria Math"/>
                      </w:rPr>
                    </m:ctrlPr>
                  </m:sSubPr>
                  <m:e>
                    <m:r>
                      <w:rPr>
                        <w:rFonts w:ascii="Cambria Math" w:hAnsi="Cambria Math"/>
                      </w:rPr>
                      <m:t>A</m:t>
                    </m:r>
                  </m:e>
                  <m:sub>
                    <m:r>
                      <w:rPr>
                        <w:rFonts w:ascii="Cambria Math" w:hAnsi="Cambria Math"/>
                      </w:rPr>
                      <m:t>f</m:t>
                    </m:r>
                  </m:sub>
                </m:sSub>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r>
                  <w:rPr>
                    <w:rFonts w:ascii="Cambria Math" w:hAnsi="Cambria Math"/>
                  </w:rPr>
                  <m:t>gsinα] v,</m:t>
                </m:r>
              </m:oMath>
            </m:oMathPara>
          </w:p>
        </w:tc>
        <w:tc>
          <w:tcPr>
            <w:tcW w:w="700" w:type="dxa"/>
            <w:vAlign w:val="center"/>
          </w:tcPr>
          <w:p w14:paraId="49379F5D" w14:textId="77777777" w:rsidR="001D026C" w:rsidRPr="00085AA7" w:rsidRDefault="001D026C" w:rsidP="00D712D5">
            <w:pPr>
              <w:jc w:val="right"/>
            </w:pPr>
            <w:r>
              <w:t>(3)</w:t>
            </w:r>
          </w:p>
        </w:tc>
      </w:tr>
    </w:tbl>
    <w:p w14:paraId="2C282B21" w14:textId="77777777" w:rsidR="00BA4709" w:rsidRDefault="00BA4709" w:rsidP="000B73EE">
      <w:pPr>
        <w:pStyle w:val="Heading2"/>
        <w:spacing w:line="276" w:lineRule="auto"/>
        <w:jc w:val="both"/>
      </w:pPr>
    </w:p>
    <w:p w14:paraId="6FCCF98D" w14:textId="77777777" w:rsidR="00C62DF3" w:rsidRDefault="00EF29FD" w:rsidP="00C62DF3">
      <w:pPr>
        <w:pBdr>
          <w:top w:val="nil"/>
          <w:left w:val="nil"/>
          <w:bottom w:val="nil"/>
          <w:right w:val="nil"/>
          <w:between w:val="nil"/>
        </w:pBdr>
        <w:spacing w:before="180" w:after="180" w:line="276" w:lineRule="auto"/>
        <w:jc w:val="both"/>
        <w:rPr>
          <w:color w:val="000000"/>
        </w:rPr>
      </w:pPr>
      <w:r>
        <w:rPr>
          <w:color w:val="000000"/>
        </w:rPr>
        <w:t xml:space="preserve">in which the four terms represent the inertial force, the rolling resistance, the aerodynamic drag and the grade force, respectively; for the WLTP cycle a level road, </w:t>
      </w:r>
      <m:oMath>
        <m:r>
          <w:rPr>
            <w:rFonts w:ascii="Cambria Math" w:hAnsi="Cambria Math"/>
          </w:rPr>
          <m:t>α</m:t>
        </m:r>
        <m:r>
          <w:rPr>
            <w:rFonts w:ascii="Cambria Math" w:hAnsi="Cambria Math"/>
            <w:color w:val="000000"/>
          </w:rPr>
          <m:t>=0</m:t>
        </m:r>
      </m:oMath>
      <w:r>
        <w:rPr>
          <w:color w:val="000000"/>
        </w:rPr>
        <w:t>, is assumed. The power demanded on the DC bus is then obtained from Eq. (3) through the drivetrain efficiency in a direction-dependent manner,</w:t>
      </w:r>
    </w:p>
    <w:p w14:paraId="7AB364A2" w14:textId="77777777" w:rsidR="00E84A4C" w:rsidRPr="00085AA7" w:rsidRDefault="00E84A4C" w:rsidP="00C62DF3">
      <w:pPr>
        <w:pBdr>
          <w:top w:val="nil"/>
          <w:left w:val="nil"/>
          <w:bottom w:val="nil"/>
          <w:right w:val="nil"/>
          <w:between w:val="nil"/>
        </w:pBdr>
        <w:spacing w:before="180" w:after="180" w:line="276" w:lineRule="auto"/>
        <w:jc w:val="both"/>
        <w:rPr>
          <w:color w:val="000000"/>
        </w:rPr>
      </w:pPr>
    </w:p>
    <w:tbl>
      <w:tblPr>
        <w:tblW w:w="9072"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700"/>
        <w:gridCol w:w="7672"/>
        <w:gridCol w:w="700"/>
      </w:tblGrid>
      <w:tr w:rsidR="00FF6A96" w:rsidRPr="00085AA7" w14:paraId="4733DCBD" w14:textId="77777777" w:rsidTr="00D712D5">
        <w:tc>
          <w:tcPr>
            <w:tcW w:w="700" w:type="dxa"/>
            <w:vAlign w:val="center"/>
          </w:tcPr>
          <w:p w14:paraId="73E28FFC" w14:textId="77777777" w:rsidR="00FF6A96" w:rsidRPr="00085AA7" w:rsidRDefault="00FF6A96" w:rsidP="00D712D5"/>
        </w:tc>
        <w:tc>
          <w:tcPr>
            <w:tcW w:w="7672" w:type="dxa"/>
            <w:vAlign w:val="center"/>
          </w:tcPr>
          <w:p w14:paraId="55BAA990" w14:textId="77777777" w:rsidR="00FF6A96" w:rsidRPr="00085AA7" w:rsidRDefault="00FF6A96" w:rsidP="00D712D5">
            <w:pPr>
              <w:jc w:val="center"/>
            </w:pPr>
            <m:oMathPara>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wheel</m:t>
                    </m:r>
                  </m:sub>
                </m:sSub>
                <m:r>
                  <w:rPr>
                    <w:rFonts w:ascii="Cambria Math" w:hAnsi="Cambria Math"/>
                  </w:rPr>
                  <m:t>(t)/</m:t>
                </m:r>
                <m:sSub>
                  <m:sSubPr>
                    <m:ctrlPr>
                      <w:rPr>
                        <w:rFonts w:ascii="Cambria Math" w:hAnsi="Cambria Math"/>
                      </w:rPr>
                    </m:ctrlPr>
                  </m:sSubPr>
                  <m:e>
                    <m:r>
                      <w:rPr>
                        <w:rFonts w:ascii="Cambria Math" w:hAnsi="Cambria Math"/>
                      </w:rPr>
                      <m:t>η</m:t>
                    </m:r>
                  </m:e>
                  <m:sub>
                    <m:r>
                      <w:rPr>
                        <w:rFonts w:ascii="Cambria Math" w:hAnsi="Cambria Math"/>
                      </w:rPr>
                      <m:t>dt</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wheel</m:t>
                    </m:r>
                  </m:sub>
                </m:sSub>
                <m:r>
                  <w:rPr>
                    <w:rFonts w:ascii="Cambria Math" w:hAnsi="Cambria Math"/>
                  </w:rPr>
                  <m:t xml:space="preserve">(t)≥0 (traction), </m:t>
                </m:r>
                <m:sSub>
                  <m:sSubPr>
                    <m:ctrlPr>
                      <w:rPr>
                        <w:rFonts w:ascii="Cambria Math" w:hAnsi="Cambria Math"/>
                      </w:rPr>
                    </m:ctrlPr>
                  </m:sSubPr>
                  <m:e>
                    <m:r>
                      <w:rPr>
                        <w:rFonts w:ascii="Cambria Math" w:hAnsi="Cambria Math"/>
                      </w:rPr>
                      <m:t>P</m:t>
                    </m:r>
                  </m:e>
                  <m:sub>
                    <m:r>
                      <w:rPr>
                        <w:rFonts w:ascii="Cambria Math" w:hAnsi="Cambria Math"/>
                      </w:rPr>
                      <m:t>wheel</m:t>
                    </m:r>
                  </m:sub>
                </m:sSub>
                <m:r>
                  <w:rPr>
                    <w:rFonts w:ascii="Cambria Math" w:hAnsi="Cambria Math"/>
                  </w:rPr>
                  <m:t>(t) </m:t>
                </m:r>
                <m:sSub>
                  <m:sSubPr>
                    <m:ctrlPr>
                      <w:rPr>
                        <w:rFonts w:ascii="Cambria Math" w:hAnsi="Cambria Math"/>
                      </w:rPr>
                    </m:ctrlPr>
                  </m:sSubPr>
                  <m:e>
                    <m:r>
                      <w:rPr>
                        <w:rFonts w:ascii="Cambria Math" w:hAnsi="Cambria Math"/>
                      </w:rPr>
                      <m:t>η</m:t>
                    </m:r>
                  </m:e>
                  <m:sub>
                    <m:r>
                      <w:rPr>
                        <w:rFonts w:ascii="Cambria Math" w:hAnsi="Cambria Math"/>
                      </w:rPr>
                      <m:t>dt</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wheel</m:t>
                    </m:r>
                  </m:sub>
                </m:sSub>
                <m:r>
                  <w:rPr>
                    <w:rFonts w:ascii="Cambria Math" w:hAnsi="Cambria Math"/>
                  </w:rPr>
                  <m:t xml:space="preserve">(t)&lt;0 (regenerative braking), </m:t>
                </m:r>
              </m:oMath>
            </m:oMathPara>
          </w:p>
        </w:tc>
        <w:tc>
          <w:tcPr>
            <w:tcW w:w="700" w:type="dxa"/>
            <w:vAlign w:val="center"/>
          </w:tcPr>
          <w:p w14:paraId="7507CC41" w14:textId="77777777" w:rsidR="00FF6A96" w:rsidRPr="00085AA7" w:rsidRDefault="00FF6A96" w:rsidP="00D712D5">
            <w:pPr>
              <w:jc w:val="right"/>
            </w:pPr>
            <w:r>
              <w:t>(4)</w:t>
            </w:r>
          </w:p>
        </w:tc>
      </w:tr>
    </w:tbl>
    <w:p w14:paraId="5162683C" w14:textId="258E8E56" w:rsidR="00D32BB8" w:rsidRPr="00D32BB8" w:rsidRDefault="00D32BB8" w:rsidP="0069328B">
      <w:pPr>
        <w:spacing w:line="276" w:lineRule="auto"/>
        <w:jc w:val="both"/>
      </w:pPr>
    </w:p>
    <w:p w14:paraId="4D90F3AE" w14:textId="77777777" w:rsidR="007D0ADA" w:rsidRDefault="007D0ADA" w:rsidP="000B73EE">
      <w:pPr>
        <w:pStyle w:val="Heading2"/>
        <w:spacing w:line="276" w:lineRule="auto"/>
        <w:jc w:val="both"/>
      </w:pPr>
    </w:p>
    <w:p w14:paraId="5A068475" w14:textId="728BFC3D" w:rsidR="00533F84" w:rsidRDefault="00533F84" w:rsidP="00B72900">
      <w:pPr>
        <w:pBdr>
          <w:top w:val="nil"/>
          <w:left w:val="nil"/>
          <w:bottom w:val="nil"/>
          <w:right w:val="nil"/>
          <w:between w:val="nil"/>
        </w:pBdr>
        <w:spacing w:before="180" w:after="180" w:line="276" w:lineRule="auto"/>
        <w:jc w:val="both"/>
        <w:rPr>
          <w:color w:val="000000"/>
        </w:rPr>
      </w:pPr>
      <w:r>
        <w:rPr>
          <w:color w:val="000000"/>
        </w:rPr>
        <w:t>since the drivetrain losses increase the during electrical demand and reduce the recoverable power during braking. Eq. (4) is evaluated over the entire cycle to produce the load trajectory used by all strategies.</w:t>
      </w:r>
    </w:p>
    <w:p w14:paraId="7BE219FB" w14:textId="77777777" w:rsidR="00CB5BAA" w:rsidRDefault="00CB5BAA" w:rsidP="00B72900">
      <w:pPr>
        <w:pBdr>
          <w:top w:val="nil"/>
          <w:left w:val="nil"/>
          <w:bottom w:val="nil"/>
          <w:right w:val="nil"/>
          <w:between w:val="nil"/>
        </w:pBdr>
        <w:spacing w:before="180" w:after="180" w:line="276" w:lineRule="auto"/>
        <w:jc w:val="both"/>
        <w:rPr>
          <w:color w:val="000000"/>
        </w:rPr>
      </w:pPr>
    </w:p>
    <w:p w14:paraId="0CF53B95" w14:textId="77777777" w:rsidR="00146536" w:rsidRPr="00085AA7" w:rsidRDefault="00146536" w:rsidP="00146536">
      <w:pPr>
        <w:pStyle w:val="Heading3"/>
        <w:spacing w:line="276" w:lineRule="auto"/>
        <w:jc w:val="both"/>
      </w:pPr>
      <w:bookmarkStart w:id="20" w:name="_Toc231989459"/>
      <w:bookmarkStart w:id="21" w:name="_Toc232147085"/>
      <w:r>
        <w:t>3.3.2. PEMFC stack model: Mann–Amphlett GSSEM</w:t>
      </w:r>
      <w:bookmarkEnd w:id="20"/>
      <w:bookmarkEnd w:id="21"/>
    </w:p>
    <w:p w14:paraId="3DD8BD01" w14:textId="77777777" w:rsidR="004572CC" w:rsidRDefault="004572CC" w:rsidP="004572CC">
      <w:pPr>
        <w:pBdr>
          <w:top w:val="nil"/>
          <w:left w:val="nil"/>
          <w:bottom w:val="nil"/>
          <w:right w:val="nil"/>
          <w:between w:val="nil"/>
        </w:pBdr>
        <w:spacing w:before="180" w:after="180" w:line="276" w:lineRule="auto"/>
        <w:jc w:val="both"/>
        <w:rPr>
          <w:color w:val="000000"/>
        </w:rPr>
      </w:pPr>
      <w:r>
        <w:rPr>
          <w:color w:val="000000"/>
        </w:rPr>
        <w:t>In the GSSEM, the voltage of a single cell is written as the thermodynamic potential reduced by three loss terms [6],</w:t>
      </w:r>
      <w:r>
        <w:rPr>
          <w:b/>
          <w:i/>
          <w:color w:val="FF0000"/>
        </w:rPr>
        <w:t xml:space="preserve"> whose effect on the cell voltage is illustrated by the typical polarisation curve in Figure 4,</w:t>
      </w:r>
      <w:r>
        <w:t xml:space="preserve"/>
      </w:r>
    </w:p>
    <w:p w14:paraId="4B47A0A9" w14:textId="77777777" w:rsidR="00E84A4C" w:rsidRPr="00085AA7" w:rsidRDefault="00E84A4C" w:rsidP="004572CC">
      <w:pPr>
        <w:pBdr>
          <w:top w:val="nil"/>
          <w:left w:val="nil"/>
          <w:bottom w:val="nil"/>
          <w:right w:val="nil"/>
          <w:between w:val="nil"/>
        </w:pBdr>
        <w:spacing w:before="180" w:after="180" w:line="276" w:lineRule="auto"/>
        <w:jc w:val="both"/>
        <w:rPr>
          <w:color w:val="000000"/>
        </w:rPr>
      </w:pPr>
    </w:p>
    <w:tbl>
      <w:tblPr>
        <w:tblW w:w="9072"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700"/>
        <w:gridCol w:w="7672"/>
        <w:gridCol w:w="700"/>
      </w:tblGrid>
      <w:tr w:rsidR="00300340" w:rsidRPr="00085AA7" w14:paraId="29FF7950" w14:textId="77777777" w:rsidTr="00D712D5">
        <w:tc>
          <w:tcPr>
            <w:tcW w:w="700" w:type="dxa"/>
            <w:vAlign w:val="center"/>
          </w:tcPr>
          <w:p w14:paraId="637120CF" w14:textId="77777777" w:rsidR="00300340" w:rsidRPr="00085AA7" w:rsidRDefault="00300340" w:rsidP="00D712D5"/>
        </w:tc>
        <w:tc>
          <w:tcPr>
            <w:tcW w:w="7672" w:type="dxa"/>
            <w:vAlign w:val="center"/>
          </w:tcPr>
          <w:p w14:paraId="06048E67" w14:textId="77777777" w:rsidR="00300340" w:rsidRPr="00085AA7" w:rsidRDefault="00300340" w:rsidP="00D712D5">
            <w:pPr>
              <w:jc w:val="center"/>
            </w:pPr>
            <m:oMathPara>
              <m:oMath>
                <m:sSub>
                  <m:sSubPr>
                    <m:ctrlPr>
                      <w:rPr>
                        <w:rFonts w:ascii="Cambria Math" w:hAnsi="Cambria Math"/>
                      </w:rPr>
                    </m:ctrlPr>
                  </m:sSubPr>
                  <m:e>
                    <m:r>
                      <w:rPr>
                        <w:rFonts w:ascii="Cambria Math" w:hAnsi="Cambria Math"/>
                      </w:rPr>
                      <m:t>V</m:t>
                    </m:r>
                  </m:e>
                  <m:sub>
                    <m:r>
                      <w:rPr>
                        <w:rFonts w:ascii="Cambria Math" w:hAnsi="Cambria Math"/>
                      </w:rPr>
                      <m:t>FC</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Nernst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act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ohm</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con</m:t>
                    </m:r>
                  </m:sub>
                </m:sSub>
                <m:r>
                  <w:rPr>
                    <w:rFonts w:ascii="Cambria Math" w:hAnsi="Cambria Math"/>
                  </w:rPr>
                  <m:t>.</m:t>
                </m:r>
              </m:oMath>
            </m:oMathPara>
          </w:p>
        </w:tc>
        <w:tc>
          <w:tcPr>
            <w:tcW w:w="700" w:type="dxa"/>
            <w:vAlign w:val="center"/>
          </w:tcPr>
          <w:p w14:paraId="77D7B9CA" w14:textId="77777777" w:rsidR="00300340" w:rsidRPr="00085AA7" w:rsidRDefault="00300340" w:rsidP="00D712D5">
            <w:pPr>
              <w:jc w:val="right"/>
            </w:pPr>
            <w:r>
              <w:t>(5)</w:t>
            </w:r>
          </w:p>
        </w:tc>
      </w:tr>
    </w:tbl>
    <w:p w14:paraId="32DABF9A" w14:textId="77777777" w:rsidR="00146536" w:rsidRDefault="00146536" w:rsidP="00B72900">
      <w:pPr>
        <w:pBdr>
          <w:top w:val="nil"/>
          <w:left w:val="nil"/>
          <w:bottom w:val="nil"/>
          <w:right w:val="nil"/>
          <w:between w:val="nil"/>
        </w:pBdr>
        <w:spacing w:before="180" w:after="180" w:line="276" w:lineRule="auto"/>
        <w:jc w:val="both"/>
        <w:rPr>
          <w:color w:val="000000"/>
        </w:rPr>
      </w:pPr>
    </w:p>
    <w:p w14:paraId="54FB0A49" w14:textId="77777777" w:rsidR="004557C1" w:rsidRDefault="00ED2178" w:rsidP="004557C1">
      <w:pPr>
        <w:keepNext/>
        <w:pBdr>
          <w:top w:val="nil"/>
          <w:left w:val="nil"/>
          <w:bottom w:val="nil"/>
          <w:right w:val="nil"/>
          <w:between w:val="nil"/>
        </w:pBdr>
        <w:spacing w:before="180" w:after="180" w:line="276" w:lineRule="auto"/>
        <w:jc w:val="center"/>
      </w:pPr>
      <w:r>
        <w:rPr>
          <w:color w:val="000000"/>
        </w:rPr>
        <w:lastRenderedPageBreak/>
        <w:drawing>
          <wp:inline distT="0" distB="0" distL="0" distR="0" wp14:anchorId="50BDECB0" wp14:editId="3DB4F02C">
            <wp:extent cx="2690564" cy="1905000"/>
            <wp:effectExtent l="0" t="0" r="1905" b="0"/>
            <wp:docPr id="674972057" name="Picture 1" descr="Diagram of voltage and power densit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72057" name="Picture 1" descr="Diagram of voltage and power density  AI-generated content may be incorrect."/>
                    <pic:cNvPicPr/>
                  </pic:nvPicPr>
                  <pic:blipFill>
                    <a:blip r:embed="rId12"/>
                    <a:stretch>
                      <a:fillRect/>
                    </a:stretch>
                  </pic:blipFill>
                  <pic:spPr>
                    <a:xfrm>
                      <a:off x="0" y="0"/>
                      <a:ext cx="2721186" cy="1926681"/>
                    </a:xfrm>
                    <a:prstGeom prst="rect">
                      <a:avLst/>
                    </a:prstGeom>
                  </pic:spPr>
                </pic:pic>
              </a:graphicData>
            </a:graphic>
          </wp:inline>
        </w:drawing>
      </w:r>
    </w:p>
    <w:p w14:paraId="7F3845E1" w14:textId="629CAA57" w:rsidR="00E84A4C" w:rsidRDefault="004557C1" w:rsidP="004557C1">
      <w:pPr>
        <w:pStyle w:val="Caption"/>
        <w:jc w:val="center"/>
        <w:rPr>
          <w:color w:val="000000"/>
        </w:rPr>
      </w:pPr>
      <w:r>
        <w:t xml:space="preserve">Figure </w:t>
        <w:fldChar w:fldCharType="begin"/>
        <w:instrText xml:space="preserve"> SEQ Figure \* ARABIC </w:instrText>
        <w:fldChar w:fldCharType="separate"/>
      </w:r>
      <w:r>
        <w:rPr>
          <w:noProof/>
        </w:rPr>
        <w:t>4</w:t>
      </w:r>
      <w:r>
        <w:fldChar w:fldCharType="end"/>
        <w:t xml:space="preserve"> </w:t>
      </w:r>
      <w:r>
        <w:rPr>
          <w:b/>
          <w:i/>
          <w:color w:val="FF0000"/>
        </w:rPr>
        <w:t xml:space="preserve">Typical polarisation curve (adapted from [7]).</w:t>
      </w:r>
      <w:r>
        <w:t xml:space="preserve"/>
      </w:r>
    </w:p>
    <w:p w14:paraId="5286E1E7" w14:textId="77777777" w:rsidR="00E84A4C" w:rsidRDefault="00E84A4C" w:rsidP="009D6593">
      <w:pPr>
        <w:pBdr>
          <w:top w:val="nil"/>
          <w:left w:val="nil"/>
          <w:bottom w:val="nil"/>
          <w:right w:val="nil"/>
          <w:between w:val="nil"/>
        </w:pBdr>
        <w:spacing w:before="180" w:after="180" w:line="276" w:lineRule="auto"/>
        <w:jc w:val="both"/>
        <w:rPr>
          <w:color w:val="000000"/>
        </w:rPr>
      </w:pPr>
    </w:p>
    <w:p w14:paraId="5AA84426" w14:textId="2CDDC2CC" w:rsidR="00E84A4C" w:rsidRDefault="009D6593" w:rsidP="009D6593">
      <w:pPr>
        <w:pBdr>
          <w:top w:val="nil"/>
          <w:left w:val="nil"/>
          <w:bottom w:val="nil"/>
          <w:right w:val="nil"/>
          <w:between w:val="nil"/>
        </w:pBdr>
        <w:spacing w:before="180" w:after="180" w:line="276" w:lineRule="auto"/>
        <w:jc w:val="both"/>
        <w:rPr>
          <w:color w:val="000000"/>
        </w:rPr>
      </w:pPr>
      <w:r>
        <w:rPr>
          <w:color w:val="000000"/>
        </w:rPr>
        <w:t xml:space="preserve">The Nernst potential in Eq. (5)</w:t>
      </w:r>
      <w:r>
        <w:rPr>
          <w:b/>
          <w:i/>
          <w:color w:val="FF0000"/>
        </w:rPr>
        <w:t xml:space="preserve"> is evaluated as</w:t>
      </w:r>
      <w:r>
        <w:t xml:space="preserve"> </w:t>
      </w:r>
    </w:p>
    <w:p w14:paraId="45F62992" w14:textId="77777777" w:rsidR="00E84A4C" w:rsidRPr="00085AA7" w:rsidRDefault="00E84A4C" w:rsidP="009D6593">
      <w:pPr>
        <w:pBdr>
          <w:top w:val="nil"/>
          <w:left w:val="nil"/>
          <w:bottom w:val="nil"/>
          <w:right w:val="nil"/>
          <w:between w:val="nil"/>
        </w:pBdr>
        <w:spacing w:before="180" w:after="180" w:line="276" w:lineRule="auto"/>
        <w:jc w:val="both"/>
        <w:rPr>
          <w:color w:val="000000"/>
        </w:rPr>
      </w:pPr>
    </w:p>
    <w:tbl>
      <w:tblPr>
        <w:tblW w:w="9072"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700"/>
        <w:gridCol w:w="7672"/>
        <w:gridCol w:w="700"/>
      </w:tblGrid>
      <w:tr w:rsidR="00BA257C" w:rsidRPr="00085AA7" w14:paraId="2D32100E" w14:textId="77777777" w:rsidTr="00D712D5">
        <w:tc>
          <w:tcPr>
            <w:tcW w:w="700" w:type="dxa"/>
            <w:vAlign w:val="center"/>
          </w:tcPr>
          <w:p w14:paraId="6A7884AB" w14:textId="77777777" w:rsidR="00BA257C" w:rsidRPr="00085AA7" w:rsidRDefault="00BA257C" w:rsidP="00D712D5"/>
        </w:tc>
        <w:tc>
          <w:tcPr>
            <w:tcW w:w="7672" w:type="dxa"/>
            <w:vAlign w:val="center"/>
          </w:tcPr>
          <w:p w14:paraId="60ED6128" w14:textId="77777777" w:rsidR="00BA257C" w:rsidRPr="00E84A4C" w:rsidRDefault="00BA257C" w:rsidP="00D712D5">
            <w:pPr>
              <w:jc w:val="center"/>
              <w:rPr>
                <w:rFonts w:eastAsiaTheme="minorEastAsia"/>
              </w:rPr>
            </w:pPr>
            <m:oMathPara>
              <m:oMath>
                <m:sSub>
                  <m:sSubPr>
                    <m:ctrlPr>
                      <w:rPr>
                        <w:rFonts w:ascii="Cambria Math" w:hAnsi="Cambria Math"/>
                      </w:rPr>
                    </m:ctrlPr>
                  </m:sSubPr>
                  <m:e>
                    <m:r>
                      <w:rPr>
                        <w:rFonts w:ascii="Cambria Math" w:hAnsi="Cambria Math"/>
                      </w:rPr>
                      <m:t>E</m:t>
                    </m:r>
                  </m:e>
                  <m:sub>
                    <m:r>
                      <w:rPr>
                        <w:rFonts w:ascii="Cambria Math" w:hAnsi="Cambria Math"/>
                      </w:rPr>
                      <m:t>Nernst</m:t>
                    </m:r>
                  </m:sub>
                </m:sSub>
                <m:r>
                  <w:rPr>
                    <w:rFonts w:ascii="Cambria Math" w:hAnsi="Cambria Math"/>
                  </w:rPr>
                  <m:t>=1.229-8.5×</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(T-298.15)+4.308×</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 T(ln</m:t>
                </m:r>
                <m:sSubSup>
                  <m:sSubSupPr>
                    <m:ctrlPr>
                      <w:rPr>
                        <w:rFonts w:ascii="Cambria Math" w:hAnsi="Cambria Math"/>
                      </w:rPr>
                    </m:ctrlPr>
                  </m:sSubSupPr>
                  <m:e>
                    <m:r>
                      <w:rPr>
                        <w:rFonts w:ascii="Cambria Math" w:hAnsi="Cambria Math"/>
                      </w:rPr>
                      <m:t>p</m:t>
                    </m:r>
                  </m:e>
                  <m:sub>
                    <m:sSub>
                      <m:sSubPr>
                        <m:ctrlPr>
                          <w:rPr>
                            <w:rFonts w:ascii="Cambria Math" w:hAnsi="Cambria Math"/>
                          </w:rPr>
                        </m:ctrlPr>
                      </m:sSubPr>
                      <m:e>
                        <m:r>
                          <w:rPr>
                            <w:rFonts w:ascii="Cambria Math" w:hAnsi="Cambria Math"/>
                          </w:rPr>
                          <m:t>H</m:t>
                        </m:r>
                      </m:e>
                      <m:sub>
                        <m:r>
                          <w:rPr>
                            <w:rFonts w:ascii="Cambria Math" w:hAnsi="Cambria Math"/>
                          </w:rPr>
                          <m:t>2</m:t>
                        </m:r>
                      </m:sub>
                    </m:sSub>
                  </m:sub>
                  <m:sup>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ln</m:t>
                </m:r>
                <m:sSubSup>
                  <m:sSubSupPr>
                    <m:ctrlPr>
                      <w:rPr>
                        <w:rFonts w:ascii="Cambria Math" w:hAnsi="Cambria Math"/>
                      </w:rPr>
                    </m:ctrlPr>
                  </m:sSubSupPr>
                  <m:e>
                    <m:r>
                      <w:rPr>
                        <w:rFonts w:ascii="Cambria Math" w:hAnsi="Cambria Math"/>
                      </w:rPr>
                      <m:t>p</m:t>
                    </m:r>
                  </m:e>
                  <m:sub>
                    <m:sSub>
                      <m:sSubPr>
                        <m:ctrlPr>
                          <w:rPr>
                            <w:rFonts w:ascii="Cambria Math" w:hAnsi="Cambria Math"/>
                          </w:rPr>
                        </m:ctrlPr>
                      </m:sSubPr>
                      <m:e>
                        <m:r>
                          <w:rPr>
                            <w:rFonts w:ascii="Cambria Math" w:hAnsi="Cambria Math"/>
                          </w:rPr>
                          <m:t>O</m:t>
                        </m:r>
                      </m:e>
                      <m:sub>
                        <m:r>
                          <w:rPr>
                            <w:rFonts w:ascii="Cambria Math" w:hAnsi="Cambria Math"/>
                          </w:rPr>
                          <m:t>2</m:t>
                        </m:r>
                      </m:sub>
                    </m:sSub>
                  </m:sub>
                  <m:sup>
                    <m:r>
                      <w:rPr>
                        <w:rFonts w:ascii="Cambria Math" w:hAnsi="Cambria Math"/>
                      </w:rPr>
                      <m:t>*</m:t>
                    </m:r>
                  </m:sup>
                </m:sSubSup>
                <m:r>
                  <w:rPr>
                    <w:rFonts w:ascii="Cambria Math" w:hAnsi="Cambria Math"/>
                  </w:rPr>
                  <m:t>),</m:t>
                </m:r>
              </m:oMath>
            </m:oMathPara>
          </w:p>
          <w:p w14:paraId="2C868B69" w14:textId="77777777" w:rsidR="00E84A4C" w:rsidRPr="00085AA7" w:rsidRDefault="00E84A4C" w:rsidP="00D712D5">
            <w:pPr>
              <w:jc w:val="center"/>
            </w:pPr>
          </w:p>
        </w:tc>
        <w:tc>
          <w:tcPr>
            <w:tcW w:w="700" w:type="dxa"/>
            <w:vAlign w:val="center"/>
          </w:tcPr>
          <w:p w14:paraId="409EF537" w14:textId="77777777" w:rsidR="00BA257C" w:rsidRPr="00085AA7" w:rsidRDefault="00BA257C" w:rsidP="00D712D5">
            <w:pPr>
              <w:jc w:val="right"/>
            </w:pPr>
            <w:r>
              <w:t>(6)</w:t>
            </w:r>
          </w:p>
        </w:tc>
      </w:tr>
    </w:tbl>
    <w:p w14:paraId="42594A03" w14:textId="122F50B2" w:rsidR="00194D14" w:rsidRDefault="00F0009A" w:rsidP="00E23721">
      <w:pPr>
        <w:pBdr>
          <w:top w:val="nil"/>
          <w:left w:val="nil"/>
          <w:bottom w:val="nil"/>
          <w:right w:val="nil"/>
          <w:between w:val="nil"/>
        </w:pBdr>
        <w:spacing w:before="180" w:after="180" w:line="276" w:lineRule="auto"/>
        <w:jc w:val="both"/>
        <w:rPr>
          <w:color w:val="000000"/>
        </w:rPr>
      </w:pPr>
      <w:r>
        <w:rPr>
          <w:color w:val="000000"/>
        </w:rPr>
        <w:t xml:space="preserve">where </w:t>
      </w:r>
      <m:oMath>
        <m:r>
          <w:rPr>
            <w:rFonts w:ascii="Cambria Math" w:hAnsi="Cambria Math"/>
            <w:color w:val="000000"/>
          </w:rPr>
          <m:t>T</m:t>
        </m:r>
      </m:oMath>
      <w:r>
        <w:rPr>
          <w:color w:val="000000"/>
        </w:rPr>
        <w:t xml:space="preserve"> is the stack temperature in kelvin and </w:t>
      </w:r>
      <m:oMath>
        <m:sSubSup>
          <m:sSubSupPr>
            <m:ctrlPr>
              <w:rPr>
                <w:rFonts w:ascii="Cambria Math" w:hAnsi="Cambria Math"/>
                <w:color w:val="000000"/>
              </w:rPr>
            </m:ctrlPr>
          </m:sSubSupPr>
          <m:e>
            <m:r>
              <w:rPr>
                <w:rFonts w:ascii="Cambria Math" w:hAnsi="Cambria Math"/>
                <w:color w:val="000000"/>
              </w:rPr>
              <m:t>p</m:t>
            </m:r>
          </m:e>
          <m:sub>
            <m:sSub>
              <m:sSubPr>
                <m:ctrlPr>
                  <w:rPr>
                    <w:rFonts w:ascii="Cambria Math" w:hAnsi="Cambria Math"/>
                    <w:color w:val="000000"/>
                  </w:rPr>
                </m:ctrlPr>
              </m:sSubPr>
              <m:e>
                <m:r>
                  <w:rPr>
                    <w:rFonts w:ascii="Cambria Math" w:hAnsi="Cambria Math"/>
                    <w:color w:val="000000"/>
                  </w:rPr>
                  <m:t>H</m:t>
                </m:r>
              </m:e>
              <m:sub>
                <m:r>
                  <w:rPr>
                    <w:rFonts w:ascii="Cambria Math" w:hAnsi="Cambria Math"/>
                    <w:color w:val="000000"/>
                  </w:rPr>
                  <m:t>2</m:t>
                </m:r>
              </m:sub>
            </m:sSub>
          </m:sub>
          <m:sup>
            <m:r>
              <w:rPr>
                <w:rFonts w:ascii="Cambria Math" w:hAnsi="Cambria Math"/>
                <w:color w:val="000000"/>
              </w:rPr>
              <m:t>*</m:t>
            </m:r>
          </m:sup>
        </m:sSubSup>
      </m:oMath>
      <w:r>
        <w:rPr>
          <w:color w:val="000000"/>
        </w:rPr>
        <w:t xml:space="preserve">, </w:t>
      </w:r>
      <m:oMath>
        <m:sSubSup>
          <m:sSubSupPr>
            <m:ctrlPr>
              <w:rPr>
                <w:rFonts w:ascii="Cambria Math" w:hAnsi="Cambria Math"/>
                <w:color w:val="000000"/>
              </w:rPr>
            </m:ctrlPr>
          </m:sSubSupPr>
          <m:e>
            <m:r>
              <w:rPr>
                <w:rFonts w:ascii="Cambria Math" w:hAnsi="Cambria Math"/>
                <w:color w:val="000000"/>
              </w:rPr>
              <m:t>p</m:t>
            </m:r>
          </m:e>
          <m:sub>
            <m:sSub>
              <m:sSubPr>
                <m:ctrlPr>
                  <w:rPr>
                    <w:rFonts w:ascii="Cambria Math" w:hAnsi="Cambria Math"/>
                    <w:color w:val="000000"/>
                  </w:rPr>
                </m:ctrlPr>
              </m:sSubPr>
              <m:e>
                <m:r>
                  <w:rPr>
                    <w:rFonts w:ascii="Cambria Math" w:hAnsi="Cambria Math"/>
                    <w:color w:val="000000"/>
                  </w:rPr>
                  <m:t>O</m:t>
                </m:r>
              </m:e>
              <m:sub>
                <m:r>
                  <w:rPr>
                    <w:rFonts w:ascii="Cambria Math" w:hAnsi="Cambria Math"/>
                    <w:color w:val="000000"/>
                  </w:rPr>
                  <m:t>2</m:t>
                </m:r>
              </m:sub>
            </m:sSub>
          </m:sub>
          <m:sup>
            <m:r>
              <w:rPr>
                <w:rFonts w:ascii="Cambria Math" w:hAnsi="Cambria Math"/>
                <w:color w:val="000000"/>
              </w:rPr>
              <m:t>*</m:t>
            </m:r>
          </m:sup>
        </m:sSubSup>
      </m:oMath>
      <w:r>
        <w:rPr>
          <w:color w:val="000000"/>
        </w:rPr>
        <w:t xml:space="preserve"> are the partial pressures of the reactants at the catalyst interfaces. The activation overvoltage represents as the semi-empirical Tafel-type expression</w:t>
      </w:r>
    </w:p>
    <w:p w14:paraId="61AEDEB5" w14:textId="77777777" w:rsidR="00E84A4C" w:rsidRDefault="00E84A4C" w:rsidP="00E23721">
      <w:pPr>
        <w:pBdr>
          <w:top w:val="nil"/>
          <w:left w:val="nil"/>
          <w:bottom w:val="nil"/>
          <w:right w:val="nil"/>
          <w:between w:val="nil"/>
        </w:pBdr>
        <w:spacing w:before="180" w:after="180" w:line="276" w:lineRule="auto"/>
        <w:jc w:val="both"/>
        <w:rPr>
          <w:color w:val="000000"/>
        </w:rPr>
      </w:pPr>
    </w:p>
    <w:tbl>
      <w:tblPr>
        <w:tblW w:w="9072"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700"/>
        <w:gridCol w:w="7672"/>
        <w:gridCol w:w="700"/>
      </w:tblGrid>
      <w:tr w:rsidR="00194D14" w:rsidRPr="00085AA7" w14:paraId="3E7812CC" w14:textId="77777777" w:rsidTr="00D712D5">
        <w:tc>
          <w:tcPr>
            <w:tcW w:w="700" w:type="dxa"/>
            <w:vAlign w:val="center"/>
          </w:tcPr>
          <w:p w14:paraId="1423DB83" w14:textId="77777777" w:rsidR="00194D14" w:rsidRPr="00085AA7" w:rsidRDefault="00194D14" w:rsidP="00D712D5"/>
        </w:tc>
        <w:tc>
          <w:tcPr>
            <w:tcW w:w="7672" w:type="dxa"/>
            <w:vAlign w:val="center"/>
          </w:tcPr>
          <w:p w14:paraId="3EA8E03F" w14:textId="77777777" w:rsidR="00194D14" w:rsidRPr="00085AA7" w:rsidRDefault="00194D14" w:rsidP="00D712D5">
            <w:pPr>
              <w:jc w:val="center"/>
            </w:pPr>
            <m:oMathPara>
              <m:oMath>
                <m:sSub>
                  <m:sSubPr>
                    <m:ctrlPr>
                      <w:rPr>
                        <w:rFonts w:ascii="Cambria Math" w:hAnsi="Cambria Math"/>
                      </w:rPr>
                    </m:ctrlPr>
                  </m:sSubPr>
                  <m:e>
                    <m:r>
                      <w:rPr>
                        <w:rFonts w:ascii="Cambria Math" w:hAnsi="Cambria Math"/>
                      </w:rPr>
                      <m:t>V</m:t>
                    </m:r>
                  </m:e>
                  <m:sub>
                    <m:r>
                      <w:rPr>
                        <w:rFonts w:ascii="Cambria Math" w:hAnsi="Cambria Math"/>
                      </w:rPr>
                      <m:t>act</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w:rPr>
                    <w:rFonts w:ascii="Cambria Math" w:hAnsi="Cambria Math"/>
                  </w:rPr>
                  <m:t>T+</m:t>
                </m:r>
                <m:sSub>
                  <m:sSubPr>
                    <m:ctrlPr>
                      <w:rPr>
                        <w:rFonts w:ascii="Cambria Math" w:hAnsi="Cambria Math"/>
                      </w:rPr>
                    </m:ctrlPr>
                  </m:sSubPr>
                  <m:e>
                    <m:r>
                      <w:rPr>
                        <w:rFonts w:ascii="Cambria Math" w:hAnsi="Cambria Math"/>
                      </w:rPr>
                      <m:t>ξ</m:t>
                    </m:r>
                  </m:e>
                  <m:sub>
                    <m:r>
                      <w:rPr>
                        <w:rFonts w:ascii="Cambria Math" w:hAnsi="Cambria Math"/>
                      </w:rPr>
                      <m:t>3</m:t>
                    </m:r>
                  </m:sub>
                </m:sSub>
                <m:r>
                  <w:rPr>
                    <w:rFonts w:ascii="Cambria Math" w:hAnsi="Cambria Math"/>
                  </w:rPr>
                  <m:t>Tln</m:t>
                </m:r>
                <m:sSubSup>
                  <m:sSubSupPr>
                    <m:ctrlPr>
                      <w:rPr>
                        <w:rFonts w:ascii="Cambria Math" w:hAnsi="Cambria Math"/>
                      </w:rPr>
                    </m:ctrlPr>
                  </m:sSubSupPr>
                  <m:e>
                    <m:r>
                      <w:rPr>
                        <w:rFonts w:ascii="Cambria Math" w:hAnsi="Cambria Math"/>
                      </w:rPr>
                      <m:t>C</m:t>
                    </m:r>
                  </m:e>
                  <m:sub>
                    <m:sSub>
                      <m:sSubPr>
                        <m:ctrlPr>
                          <w:rPr>
                            <w:rFonts w:ascii="Cambria Math" w:hAnsi="Cambria Math"/>
                          </w:rPr>
                        </m:ctrlPr>
                      </m:sSubPr>
                      <m:e>
                        <m:r>
                          <w:rPr>
                            <w:rFonts w:ascii="Cambria Math" w:hAnsi="Cambria Math"/>
                          </w:rPr>
                          <m:t>O</m:t>
                        </m:r>
                      </m:e>
                      <m:sub>
                        <m:r>
                          <w:rPr>
                            <w:rFonts w:ascii="Cambria Math" w:hAnsi="Cambria Math"/>
                          </w:rPr>
                          <m:t>2</m:t>
                        </m:r>
                      </m:sub>
                    </m:sSub>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4</m:t>
                    </m:r>
                  </m:sub>
                </m:sSub>
                <m:r>
                  <w:rPr>
                    <w:rFonts w:ascii="Cambria Math" w:hAnsi="Cambria Math"/>
                  </w:rPr>
                  <m:t>Tlni],</m:t>
                </m:r>
              </m:oMath>
            </m:oMathPara>
          </w:p>
        </w:tc>
        <w:tc>
          <w:tcPr>
            <w:tcW w:w="700" w:type="dxa"/>
            <w:vAlign w:val="center"/>
          </w:tcPr>
          <w:p w14:paraId="6FAF9871" w14:textId="77777777" w:rsidR="00194D14" w:rsidRPr="00085AA7" w:rsidRDefault="00194D14" w:rsidP="00D712D5">
            <w:pPr>
              <w:jc w:val="right"/>
            </w:pPr>
            <w:r>
              <w:t>(7)</w:t>
            </w:r>
          </w:p>
        </w:tc>
      </w:tr>
    </w:tbl>
    <w:p w14:paraId="5E5B5AC7" w14:textId="77777777" w:rsidR="00C15325" w:rsidRPr="00085AA7" w:rsidRDefault="00C15325" w:rsidP="00E23721">
      <w:pPr>
        <w:pBdr>
          <w:top w:val="nil"/>
          <w:left w:val="nil"/>
          <w:bottom w:val="nil"/>
          <w:right w:val="nil"/>
          <w:between w:val="nil"/>
        </w:pBdr>
        <w:spacing w:before="180" w:after="180" w:line="276" w:lineRule="auto"/>
        <w:jc w:val="both"/>
        <w:rPr>
          <w:color w:val="000000"/>
        </w:rPr>
      </w:pPr>
    </w:p>
    <w:p w14:paraId="3C0CB67C" w14:textId="76A52E1A" w:rsidR="000038C1" w:rsidRPr="00085AA7" w:rsidRDefault="00385E32" w:rsidP="000038C1">
      <w:pPr>
        <w:pBdr>
          <w:top w:val="nil"/>
          <w:left w:val="nil"/>
          <w:bottom w:val="nil"/>
          <w:right w:val="nil"/>
          <w:between w:val="nil"/>
        </w:pBdr>
        <w:spacing w:before="180" w:after="180" w:line="276" w:lineRule="auto"/>
        <w:jc w:val="both"/>
        <w:rPr>
          <w:color w:val="000000"/>
        </w:rPr>
      </w:pPr>
      <w:r>
        <w:rPr>
          <w:color w:val="000000"/>
        </w:rPr>
        <w:t xml:space="preserve">in which  </w:t>
      </w:r>
      <m:oMath>
        <m:sSub>
          <m:sSubPr>
            <m:ctrlPr>
              <w:rPr>
                <w:rFonts w:ascii="Cambria Math" w:hAnsi="Cambria Math"/>
                <w:color w:val="000000"/>
              </w:rPr>
            </m:ctrlPr>
          </m:sSubPr>
          <m:e>
            <m:r>
              <w:rPr>
                <w:rFonts w:ascii="Cambria Math" w:hAnsi="Cambria Math"/>
              </w:rPr>
              <m:t>ξ</m:t>
            </m:r>
          </m:e>
          <m:sub>
            <m:r>
              <w:rPr>
                <w:rFonts w:ascii="Cambria Math" w:hAnsi="Cambria Math"/>
                <w:color w:val="000000"/>
              </w:rPr>
              <m:t>1</m:t>
            </m:r>
          </m:sub>
        </m:sSub>
        <m:r>
          <w:rPr>
            <w:rFonts w:ascii="Cambria Math" w:hAnsi="Cambria Math"/>
            <w:color w:val="000000"/>
          </w:rPr>
          <m:t>,</m:t>
        </m:r>
        <m:sSub>
          <m:sSubPr>
            <m:ctrlPr>
              <w:rPr>
                <w:rFonts w:ascii="Cambria Math" w:hAnsi="Cambria Math"/>
                <w:color w:val="000000"/>
              </w:rPr>
            </m:ctrlPr>
          </m:sSubPr>
          <m:e>
            <m:r>
              <w:rPr>
                <w:rFonts w:ascii="Cambria Math" w:hAnsi="Cambria Math"/>
              </w:rPr>
              <m:t>ξ</m:t>
            </m:r>
          </m:e>
          <m:sub>
            <m:r>
              <w:rPr>
                <w:rFonts w:ascii="Cambria Math" w:hAnsi="Cambria Math"/>
                <w:color w:val="000000"/>
              </w:rPr>
              <m:t>2</m:t>
            </m:r>
          </m:sub>
        </m:sSub>
        <m:r>
          <w:rPr>
            <w:rFonts w:ascii="Cambria Math" w:hAnsi="Cambria Math"/>
            <w:color w:val="000000"/>
          </w:rPr>
          <m:t>,</m:t>
        </m:r>
        <m:sSub>
          <m:sSubPr>
            <m:ctrlPr>
              <w:rPr>
                <w:rFonts w:ascii="Cambria Math" w:hAnsi="Cambria Math"/>
                <w:color w:val="000000"/>
              </w:rPr>
            </m:ctrlPr>
          </m:sSubPr>
          <m:e>
            <m:r>
              <w:rPr>
                <w:rFonts w:ascii="Cambria Math" w:hAnsi="Cambria Math"/>
              </w:rPr>
              <m:t>ξ</m:t>
            </m:r>
          </m:e>
          <m:sub>
            <m:r>
              <w:rPr>
                <w:rFonts w:ascii="Cambria Math" w:hAnsi="Cambria Math"/>
                <w:color w:val="000000"/>
              </w:rPr>
              <m:t>3</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ξ</m:t>
            </m:r>
          </m:e>
          <m:sub>
            <m:r>
              <w:rPr>
                <w:rFonts w:ascii="Cambria Math" w:hAnsi="Cambria Math"/>
                <w:color w:val="000000"/>
              </w:rPr>
              <m:t>4</m:t>
            </m:r>
          </m:sub>
        </m:sSub>
      </m:oMath>
      <w:r>
        <w:rPr>
          <w:color w:val="000000"/>
        </w:rPr>
        <w:t xml:space="preserve">  are the stack-specific semi-empirical coefficients and </w:t>
      </w:r>
      <m:oMath>
        <m:sSubSup>
          <m:sSubSupPr>
            <m:ctrlPr>
              <w:rPr>
                <w:rFonts w:ascii="Cambria Math" w:hAnsi="Cambria Math"/>
                <w:color w:val="000000"/>
              </w:rPr>
            </m:ctrlPr>
          </m:sSubSupPr>
          <m:e>
            <m:r>
              <w:rPr>
                <w:rFonts w:ascii="Cambria Math" w:hAnsi="Cambria Math"/>
                <w:color w:val="000000"/>
              </w:rPr>
              <m:t>C</m:t>
            </m:r>
          </m:e>
          <m:sub>
            <m:sSub>
              <m:sSubPr>
                <m:ctrlPr>
                  <w:rPr>
                    <w:rFonts w:ascii="Cambria Math" w:hAnsi="Cambria Math"/>
                    <w:color w:val="000000"/>
                  </w:rPr>
                </m:ctrlPr>
              </m:sSubPr>
              <m:e>
                <m:r>
                  <w:rPr>
                    <w:rFonts w:ascii="Cambria Math" w:hAnsi="Cambria Math"/>
                    <w:color w:val="000000"/>
                  </w:rPr>
                  <m:t>O</m:t>
                </m:r>
              </m:e>
              <m:sub>
                <m:r>
                  <w:rPr>
                    <w:rFonts w:ascii="Cambria Math" w:hAnsi="Cambria Math"/>
                    <w:color w:val="000000"/>
                  </w:rPr>
                  <m:t>2</m:t>
                </m:r>
              </m:sub>
            </m:sSub>
          </m:sub>
          <m:sup>
            <m:r>
              <w:rPr>
                <w:rFonts w:ascii="Cambria Math" w:hAnsi="Cambria Math"/>
                <w:color w:val="000000"/>
              </w:rPr>
              <m:t>*</m:t>
            </m:r>
          </m:sup>
        </m:sSubSup>
      </m:oMath>
      <w:r>
        <w:rPr>
          <w:color w:val="000000"/>
        </w:rPr>
        <w:t xml:space="preserve"> is the dissolved oxygen concentration. The ohmic loss is expressed over the membrane and contact resistances as</w:t>
      </w:r>
    </w:p>
    <w:tbl>
      <w:tblPr>
        <w:tblW w:w="9072"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700"/>
        <w:gridCol w:w="7672"/>
        <w:gridCol w:w="700"/>
      </w:tblGrid>
      <w:tr w:rsidR="00FF6AB9" w:rsidRPr="00085AA7" w14:paraId="4720C6E7" w14:textId="77777777" w:rsidTr="00D712D5">
        <w:tc>
          <w:tcPr>
            <w:tcW w:w="700" w:type="dxa"/>
            <w:vAlign w:val="center"/>
          </w:tcPr>
          <w:p w14:paraId="33146092" w14:textId="77777777" w:rsidR="00FF6AB9" w:rsidRPr="00085AA7" w:rsidRDefault="00FF6AB9" w:rsidP="00D712D5"/>
        </w:tc>
        <w:tc>
          <w:tcPr>
            <w:tcW w:w="7672" w:type="dxa"/>
            <w:vAlign w:val="center"/>
          </w:tcPr>
          <w:p w14:paraId="2FC98E4B" w14:textId="77777777" w:rsidR="00FF6AB9" w:rsidRPr="00085AA7" w:rsidRDefault="00FF6AB9" w:rsidP="00D712D5">
            <w:pPr>
              <w:jc w:val="center"/>
            </w:pPr>
            <m:oMathPara>
              <m:oMath>
                <m:sSub>
                  <m:sSubPr>
                    <m:ctrlPr>
                      <w:rPr>
                        <w:rFonts w:ascii="Cambria Math" w:hAnsi="Cambria Math"/>
                      </w:rPr>
                    </m:ctrlPr>
                  </m:sSubPr>
                  <m:e>
                    <m:r>
                      <w:rPr>
                        <w:rFonts w:ascii="Cambria Math" w:hAnsi="Cambria Math"/>
                      </w:rPr>
                      <m:t>V</m:t>
                    </m:r>
                  </m:e>
                  <m:sub>
                    <m:r>
                      <w:rPr>
                        <w:rFonts w:ascii="Cambria Math" w:hAnsi="Cambria Math"/>
                      </w:rPr>
                      <m:t>ohm</m:t>
                    </m:r>
                  </m:sub>
                </m:sSub>
                <m:r>
                  <w:rPr>
                    <w:rFonts w:ascii="Cambria Math" w:hAnsi="Cambria Math"/>
                  </w:rPr>
                  <m:t>=i (</m:t>
                </m:r>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M</m:t>
                    </m:r>
                  </m:sub>
                </m:sSub>
                <m:f>
                  <m:fPr>
                    <m:ctrlPr>
                      <w:rPr>
                        <w:rFonts w:ascii="Cambria Math" w:hAnsi="Cambria Math"/>
                      </w:rPr>
                    </m:ctrlPr>
                  </m:fPr>
                  <m:num>
                    <m:r>
                      <w:rPr>
                        <w:rFonts w:ascii="Cambria Math" w:hAnsi="Cambria Math"/>
                      </w:rPr>
                      <m:t>l</m:t>
                    </m:r>
                  </m:num>
                  <m:den>
                    <m:r>
                      <w:rPr>
                        <w:rFonts w:ascii="Cambria Math" w:hAnsi="Cambria Math"/>
                      </w:rPr>
                      <m:t>A</m:t>
                    </m:r>
                  </m:den>
                </m:f>
                <m:r>
                  <w:rPr>
                    <w:rFonts w:ascii="Cambria Math" w:hAnsi="Cambria Math"/>
                  </w:rPr>
                  <m:t>,</m:t>
                </m:r>
              </m:oMath>
            </m:oMathPara>
          </w:p>
        </w:tc>
        <w:tc>
          <w:tcPr>
            <w:tcW w:w="700" w:type="dxa"/>
            <w:vAlign w:val="center"/>
          </w:tcPr>
          <w:p w14:paraId="62649123" w14:textId="77777777" w:rsidR="00FF6AB9" w:rsidRPr="00085AA7" w:rsidRDefault="00FF6AB9" w:rsidP="00D712D5">
            <w:pPr>
              <w:jc w:val="right"/>
            </w:pPr>
            <w:r>
              <w:t>(8)</w:t>
            </w:r>
          </w:p>
        </w:tc>
      </w:tr>
    </w:tbl>
    <w:p w14:paraId="1424DA54" w14:textId="77777777" w:rsidR="00E84A4C" w:rsidRDefault="00E84A4C" w:rsidP="0025278C">
      <w:pPr>
        <w:pBdr>
          <w:top w:val="nil"/>
          <w:left w:val="nil"/>
          <w:bottom w:val="nil"/>
          <w:right w:val="nil"/>
          <w:between w:val="nil"/>
        </w:pBdr>
        <w:spacing w:before="180" w:after="180" w:line="276" w:lineRule="auto"/>
        <w:jc w:val="both"/>
        <w:rPr>
          <w:color w:val="000000"/>
        </w:rPr>
      </w:pPr>
    </w:p>
    <w:p w14:paraId="135548C0" w14:textId="1454CC0D" w:rsidR="0025278C" w:rsidRDefault="00762294" w:rsidP="0025278C">
      <w:pPr>
        <w:pBdr>
          <w:top w:val="nil"/>
          <w:left w:val="nil"/>
          <w:bottom w:val="nil"/>
          <w:right w:val="nil"/>
          <w:between w:val="nil"/>
        </w:pBdr>
        <w:spacing w:before="180" w:after="180" w:line="276" w:lineRule="auto"/>
        <w:jc w:val="both"/>
        <w:rPr>
          <w:color w:val="000000"/>
        </w:rPr>
      </w:pPr>
      <w:r>
        <w:rPr>
          <w:color w:val="000000"/>
        </w:rPr>
        <w:t xml:space="preserve">where the membrane specific resistivity </w:t>
      </w:r>
      <m:oMath>
        <m:sSub>
          <m:sSubPr>
            <m:ctrlPr>
              <w:rPr>
                <w:rFonts w:ascii="Cambria Math" w:hAnsi="Cambria Math"/>
                <w:color w:val="000000"/>
              </w:rPr>
            </m:ctrlPr>
          </m:sSubPr>
          <m:e>
            <m:r>
              <w:rPr>
                <w:rFonts w:ascii="Cambria Math" w:hAnsi="Cambria Math"/>
              </w:rPr>
              <m:t>ρ</m:t>
            </m:r>
          </m:e>
          <m:sub>
            <m:r>
              <w:rPr>
                <w:rFonts w:ascii="Cambria Math" w:hAnsi="Cambria Math"/>
                <w:color w:val="000000"/>
              </w:rPr>
              <m:t>M</m:t>
            </m:r>
          </m:sub>
        </m:sSub>
      </m:oMath>
      <w:r>
        <w:rPr>
          <w:color w:val="000000"/>
        </w:rPr>
        <w:t xml:space="preserve"> depends on the effective water content </w:t>
      </w:r>
      <m:oMath>
        <m:r>
          <w:rPr>
            <w:rFonts w:ascii="Cambria Math" w:hAnsi="Cambria Math"/>
          </w:rPr>
          <m:t>λ</m:t>
        </m:r>
      </m:oMath>
      <w:r>
        <w:rPr>
          <w:color w:val="000000"/>
        </w:rPr>
        <w:t>, the current density and the temperature according to the correlation of Mann et al. [6]. The concentration loss caused by reactant depletion at high current densities is modelled as</w:t>
      </w:r>
    </w:p>
    <w:p w14:paraId="159D7653" w14:textId="77777777" w:rsidR="00E84A4C" w:rsidRPr="00085AA7" w:rsidRDefault="00E84A4C" w:rsidP="0025278C">
      <w:pPr>
        <w:pBdr>
          <w:top w:val="nil"/>
          <w:left w:val="nil"/>
          <w:bottom w:val="nil"/>
          <w:right w:val="nil"/>
          <w:between w:val="nil"/>
        </w:pBdr>
        <w:spacing w:before="180" w:after="180" w:line="276" w:lineRule="auto"/>
        <w:jc w:val="both"/>
        <w:rPr>
          <w:color w:val="000000"/>
        </w:rPr>
      </w:pPr>
    </w:p>
    <w:tbl>
      <w:tblPr>
        <w:tblW w:w="9072"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700"/>
        <w:gridCol w:w="7672"/>
        <w:gridCol w:w="700"/>
      </w:tblGrid>
      <w:tr w:rsidR="008E3D51" w:rsidRPr="00085AA7" w14:paraId="0B40E5B6" w14:textId="77777777" w:rsidTr="00D712D5">
        <w:tc>
          <w:tcPr>
            <w:tcW w:w="700" w:type="dxa"/>
            <w:vAlign w:val="center"/>
          </w:tcPr>
          <w:p w14:paraId="65CCB1BC" w14:textId="77777777" w:rsidR="008E3D51" w:rsidRPr="00085AA7" w:rsidRDefault="008E3D51" w:rsidP="00D712D5"/>
        </w:tc>
        <w:tc>
          <w:tcPr>
            <w:tcW w:w="7672" w:type="dxa"/>
            <w:vAlign w:val="center"/>
          </w:tcPr>
          <w:p w14:paraId="78CB6830" w14:textId="77777777" w:rsidR="008E3D51" w:rsidRPr="00085AA7" w:rsidRDefault="008E3D51" w:rsidP="00D712D5">
            <w:pPr>
              <w:jc w:val="center"/>
            </w:pPr>
            <m:oMathPara>
              <m:oMath>
                <m:sSub>
                  <m:sSubPr>
                    <m:ctrlPr>
                      <w:rPr>
                        <w:rFonts w:ascii="Cambria Math" w:hAnsi="Cambria Math"/>
                      </w:rPr>
                    </m:ctrlPr>
                  </m:sSubPr>
                  <m:e>
                    <m:r>
                      <w:rPr>
                        <w:rFonts w:ascii="Cambria Math" w:hAnsi="Cambria Math"/>
                      </w:rPr>
                      <m:t>V</m:t>
                    </m:r>
                  </m:e>
                  <m:sub>
                    <m:r>
                      <w:rPr>
                        <w:rFonts w:ascii="Cambria Math" w:hAnsi="Cambria Math"/>
                      </w:rPr>
                      <m:t>con</m:t>
                    </m:r>
                  </m:sub>
                </m:sSub>
                <m:r>
                  <w:rPr>
                    <w:rFonts w:ascii="Cambria Math" w:hAnsi="Cambria Math"/>
                  </w:rPr>
                  <m:t>=-βln(1-</m:t>
                </m:r>
                <m:f>
                  <m:fPr>
                    <m:ctrlPr>
                      <w:rPr>
                        <w:rFonts w:ascii="Cambria Math" w:hAnsi="Cambria Math"/>
                      </w:rPr>
                    </m:ctrlPr>
                  </m:fPr>
                  <m:num>
                    <m:r>
                      <w:rPr>
                        <w:rFonts w:ascii="Cambria Math" w:hAnsi="Cambria Math"/>
                      </w:rPr>
                      <m:t>J</m:t>
                    </m:r>
                  </m:num>
                  <m:den>
                    <m:sSub>
                      <m:sSubPr>
                        <m:ctrlPr>
                          <w:rPr>
                            <w:rFonts w:ascii="Cambria Math" w:hAnsi="Cambria Math"/>
                          </w:rPr>
                        </m:ctrlPr>
                      </m:sSubPr>
                      <m:e>
                        <m:r>
                          <w:rPr>
                            <w:rFonts w:ascii="Cambria Math" w:hAnsi="Cambria Math"/>
                          </w:rPr>
                          <m:t>J</m:t>
                        </m:r>
                      </m:e>
                      <m:sub>
                        <m:r>
                          <w:rPr>
                            <w:rFonts w:ascii="Cambria Math" w:hAnsi="Cambria Math"/>
                          </w:rPr>
                          <m:t>max</m:t>
                        </m:r>
                      </m:sub>
                    </m:sSub>
                  </m:den>
                </m:f>
                <m:r>
                  <w:rPr>
                    <w:rFonts w:ascii="Cambria Math" w:hAnsi="Cambria Math"/>
                  </w:rPr>
                  <m:t>),</m:t>
                </m:r>
              </m:oMath>
            </m:oMathPara>
          </w:p>
        </w:tc>
        <w:tc>
          <w:tcPr>
            <w:tcW w:w="700" w:type="dxa"/>
            <w:vAlign w:val="center"/>
          </w:tcPr>
          <w:p w14:paraId="2E68F30C" w14:textId="77777777" w:rsidR="008E3D51" w:rsidRPr="00085AA7" w:rsidRDefault="008E3D51" w:rsidP="00D712D5">
            <w:pPr>
              <w:jc w:val="right"/>
            </w:pPr>
            <w:r>
              <w:t>(9)</w:t>
            </w:r>
          </w:p>
        </w:tc>
      </w:tr>
    </w:tbl>
    <w:p w14:paraId="71243010" w14:textId="77777777" w:rsidR="00E84A4C" w:rsidRDefault="00E84A4C" w:rsidP="00A012DC">
      <w:pPr>
        <w:pBdr>
          <w:top w:val="nil"/>
          <w:left w:val="nil"/>
          <w:bottom w:val="nil"/>
          <w:right w:val="nil"/>
          <w:between w:val="nil"/>
        </w:pBdr>
        <w:spacing w:before="180" w:after="180" w:line="276" w:lineRule="auto"/>
        <w:jc w:val="both"/>
        <w:rPr>
          <w:color w:val="000000"/>
        </w:rPr>
      </w:pPr>
    </w:p>
    <w:p w14:paraId="760C301D" w14:textId="22CAF087" w:rsidR="00836DE4" w:rsidRPr="00836DE4" w:rsidRDefault="00A012DC" w:rsidP="00094C5F">
      <w:pPr>
        <w:pBdr>
          <w:top w:val="nil"/>
          <w:left w:val="nil"/>
          <w:bottom w:val="nil"/>
          <w:right w:val="nil"/>
          <w:between w:val="nil"/>
        </w:pBdr>
        <w:spacing w:before="180" w:after="180" w:line="276" w:lineRule="auto"/>
        <w:jc w:val="both"/>
        <w:rPr>
          <w:color w:val="000000"/>
        </w:rPr>
      </w:pPr>
      <w:r>
        <w:rPr>
          <w:color w:val="000000"/>
        </w:rPr>
        <w:t xml:space="preserve">with </w:t>
      </w:r>
      <m:oMath>
        <m:r>
          <w:rPr>
            <w:rFonts w:ascii="Cambria Math" w:hAnsi="Cambria Math"/>
            <w:color w:val="000000"/>
          </w:rPr>
          <m:t>J=i/A</m:t>
        </m:r>
      </m:oMath>
      <w:r>
        <w:rPr>
          <w:color w:val="000000"/>
        </w:rPr>
        <w:t xml:space="preserve"> the current density and </w:t>
      </w:r>
      <m:oMath>
        <m:r>
          <w:rPr>
            <w:rFonts w:ascii="Cambria Math" w:hAnsi="Cambria Math"/>
          </w:rPr>
          <m:t>β</m:t>
        </m:r>
      </m:oMath>
      <w:r>
        <w:rPr>
          <w:color w:val="000000"/>
        </w:rPr>
        <w:t xml:space="preserve"> an empirical coefficient, following the form adopted</w:t>
      </w:r>
    </w:p>
    <w:p w14:paraId="730C674D" w14:textId="18FACFE6" w:rsidR="00A012DC" w:rsidRDefault="00836DE4" w:rsidP="00094C5F">
      <w:pPr>
        <w:pBdr>
          <w:top w:val="nil"/>
          <w:left w:val="nil"/>
          <w:bottom w:val="nil"/>
          <w:right w:val="nil"/>
          <w:between w:val="nil"/>
        </w:pBdr>
        <w:spacing w:before="180" w:after="180" w:line="276" w:lineRule="auto"/>
        <w:jc w:val="both"/>
        <w:rPr>
          <w:color w:val="000000"/>
        </w:rPr>
      </w:pPr>
      <w:r>
        <w:rPr>
          <w:color w:val="000000"/>
        </w:rPr>
        <w:t>in [7]. The stack voltage and the gross stack power follow from Eq. (5) as</w:t>
      </w:r>
    </w:p>
    <w:p w14:paraId="31DB56E3" w14:textId="77777777" w:rsidR="00AD4470" w:rsidRDefault="00AD4470" w:rsidP="00A012DC">
      <w:pPr>
        <w:pBdr>
          <w:top w:val="nil"/>
          <w:left w:val="nil"/>
          <w:bottom w:val="nil"/>
          <w:right w:val="nil"/>
          <w:between w:val="nil"/>
        </w:pBdr>
        <w:spacing w:before="180" w:after="180" w:line="276" w:lineRule="auto"/>
        <w:jc w:val="both"/>
        <w:rPr>
          <w:color w:val="000000"/>
        </w:rPr>
      </w:pPr>
    </w:p>
    <w:tbl>
      <w:tblPr>
        <w:tblW w:w="9072"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700"/>
        <w:gridCol w:w="7672"/>
        <w:gridCol w:w="700"/>
      </w:tblGrid>
      <w:tr w:rsidR="0068360F" w:rsidRPr="00085AA7" w14:paraId="5926B8CE" w14:textId="77777777" w:rsidTr="00D712D5">
        <w:tc>
          <w:tcPr>
            <w:tcW w:w="700" w:type="dxa"/>
            <w:vAlign w:val="center"/>
          </w:tcPr>
          <w:p w14:paraId="6046C3E9" w14:textId="77777777" w:rsidR="0068360F" w:rsidRPr="00085AA7" w:rsidRDefault="0068360F" w:rsidP="00D712D5"/>
        </w:tc>
        <w:tc>
          <w:tcPr>
            <w:tcW w:w="7672" w:type="dxa"/>
            <w:vAlign w:val="center"/>
          </w:tcPr>
          <w:p w14:paraId="15D6AEF8" w14:textId="77777777" w:rsidR="0068360F" w:rsidRPr="00085AA7" w:rsidRDefault="0068360F" w:rsidP="00D712D5">
            <w:pPr>
              <w:jc w:val="center"/>
            </w:pPr>
            <m:oMathPara>
              <m:oMath>
                <m:sSub>
                  <m:sSubPr>
                    <m:ctrlPr>
                      <w:rPr>
                        <w:rFonts w:ascii="Cambria Math" w:hAnsi="Cambria Math"/>
                      </w:rPr>
                    </m:ctrlPr>
                  </m:sSubPr>
                  <m:e>
                    <m:r>
                      <w:rPr>
                        <w:rFonts w:ascii="Cambria Math" w:hAnsi="Cambria Math"/>
                      </w:rPr>
                      <m:t>V</m:t>
                    </m:r>
                  </m:e>
                  <m:sub>
                    <m:r>
                      <w:rPr>
                        <w:rFonts w:ascii="Cambria Math" w:hAnsi="Cambria Math"/>
                      </w:rPr>
                      <m:t>stack</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cell</m:t>
                    </m:r>
                  </m:sub>
                </m:sSub>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FC</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fc,gross</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stack</m:t>
                    </m:r>
                  </m:sub>
                </m:sSub>
                <m:r>
                  <w:rPr>
                    <w:rFonts w:ascii="Cambria Math" w:hAnsi="Cambria Math"/>
                  </w:rPr>
                  <m:t> I,</m:t>
                </m:r>
              </m:oMath>
            </m:oMathPara>
          </w:p>
        </w:tc>
        <w:tc>
          <w:tcPr>
            <w:tcW w:w="700" w:type="dxa"/>
            <w:vAlign w:val="center"/>
          </w:tcPr>
          <w:p w14:paraId="68031418" w14:textId="77777777" w:rsidR="0068360F" w:rsidRPr="00085AA7" w:rsidRDefault="0068360F" w:rsidP="00D712D5">
            <w:pPr>
              <w:jc w:val="right"/>
            </w:pPr>
            <w:r>
              <w:t>(10)</w:t>
            </w:r>
          </w:p>
        </w:tc>
      </w:tr>
    </w:tbl>
    <w:p w14:paraId="62697782" w14:textId="77777777" w:rsidR="00AD4470" w:rsidRDefault="00AD4470" w:rsidP="002464D5">
      <w:pPr>
        <w:pBdr>
          <w:top w:val="nil"/>
          <w:left w:val="nil"/>
          <w:bottom w:val="nil"/>
          <w:right w:val="nil"/>
          <w:between w:val="nil"/>
        </w:pBdr>
        <w:spacing w:before="180" w:after="180" w:line="276" w:lineRule="auto"/>
        <w:jc w:val="both"/>
        <w:rPr>
          <w:color w:val="000000"/>
        </w:rPr>
      </w:pPr>
    </w:p>
    <w:p w14:paraId="46A42ABF" w14:textId="77A224D4" w:rsidR="00A012DC" w:rsidRDefault="00556E67" w:rsidP="002464D5">
      <w:pPr>
        <w:pBdr>
          <w:top w:val="nil"/>
          <w:left w:val="nil"/>
          <w:bottom w:val="nil"/>
          <w:right w:val="nil"/>
          <w:between w:val="nil"/>
        </w:pBdr>
        <w:spacing w:before="180" w:after="180" w:line="276" w:lineRule="auto"/>
        <w:jc w:val="both"/>
        <w:rPr>
          <w:color w:val="000000"/>
        </w:rPr>
      </w:pPr>
      <w:r>
        <w:rPr>
          <w:color w:val="000000"/>
        </w:rPr>
        <w:t xml:space="preserve">with </w:t>
      </w:r>
      <m:oMath>
        <m:sSub>
          <m:sSubPr>
            <m:ctrlPr>
              <w:rPr>
                <w:rFonts w:ascii="Cambria Math" w:hAnsi="Cambria Math"/>
                <w:color w:val="000000"/>
              </w:rPr>
            </m:ctrlPr>
          </m:sSubPr>
          <m:e>
            <m:r>
              <w:rPr>
                <w:rFonts w:ascii="Cambria Math" w:hAnsi="Cambria Math"/>
                <w:color w:val="000000"/>
              </w:rPr>
              <m:t>N</m:t>
            </m:r>
          </m:e>
          <m:sub>
            <m:r>
              <w:rPr>
                <w:rFonts w:ascii="Cambria Math" w:hAnsi="Cambria Math"/>
                <w:color w:val="000000"/>
              </w:rPr>
              <m:t>cell</m:t>
            </m:r>
          </m:sub>
        </m:sSub>
        <m:r>
          <w:rPr>
            <w:rFonts w:ascii="Cambria Math" w:hAnsi="Cambria Math"/>
            <w:color w:val="000000"/>
          </w:rPr>
          <m:t>=330</m:t>
        </m:r>
      </m:oMath>
      <w:r>
        <w:rPr>
          <w:color w:val="000000"/>
        </w:rPr>
        <w:t xml:space="preserve"> cells and an active area of </w:t>
      </w:r>
      <m:oMath>
        <m:r>
          <w:rPr>
            <w:rFonts w:ascii="Cambria Math" w:hAnsi="Cambria Math"/>
            <w:color w:val="000000"/>
          </w:rPr>
          <m:t>A=300 c</m:t>
        </m:r>
        <m:sSup>
          <m:sSupPr>
            <m:ctrlPr>
              <w:rPr>
                <w:rFonts w:ascii="Cambria Math" w:hAnsi="Cambria Math"/>
                <w:color w:val="000000"/>
              </w:rPr>
            </m:ctrlPr>
          </m:sSupPr>
          <m:e>
            <m:r>
              <w:rPr>
                <w:rFonts w:ascii="Cambria Math" w:hAnsi="Cambria Math"/>
                <w:color w:val="000000"/>
              </w:rPr>
              <m:t>m</m:t>
            </m:r>
          </m:e>
          <m:sup>
            <m:r>
              <w:rPr>
                <w:rFonts w:ascii="Cambria Math" w:hAnsi="Cambria Math"/>
                <w:color w:val="000000"/>
              </w:rPr>
              <m:t>2</m:t>
            </m:r>
          </m:sup>
        </m:sSup>
      </m:oMath>
      <w:r>
        <w:rPr>
          <w:color w:val="000000"/>
        </w:rPr>
        <w:t xml:space="preserve"> for the Mirai II FCB130 stack [17]. The model is used under an isothermal assumption (</w:t>
      </w:r>
      <m:oMath>
        <m:r>
          <w:rPr>
            <w:rFonts w:ascii="Cambria Math" w:hAnsi="Cambria Math"/>
            <w:color w:val="000000"/>
          </w:rPr>
          <m:t>T=343</m:t>
        </m:r>
      </m:oMath>
      <w:r>
        <w:rPr>
          <w:color w:val="000000"/>
        </w:rPr>
        <w:t xml:space="preserve"> K), since the stack temperature evolves on a time scale of minutes and is regulated by a dedicated cooling controller, whereas the EMS acts on a time scale of seconds; the influence of thermal management and ageing on EMS performance is investigated in [20] and is left outside the present scope. The coefficient set selected from the values characterized by Mann et al. [6]; within Graduation Project II (MAT 4902E), the coefficients will be re-identified for the Toyota Mirai stack from the published polarization data [17] by metaheuristic optimization, following the methodology given by Fang et al. in [7].</w:t>
      </w:r>
    </w:p>
    <w:p w14:paraId="20264BAD" w14:textId="3C4079B2" w:rsidR="00042FCF" w:rsidRPr="00085AA7" w:rsidRDefault="00042FCF" w:rsidP="00042FCF">
      <w:pPr>
        <w:pBdr>
          <w:top w:val="nil"/>
          <w:left w:val="nil"/>
          <w:bottom w:val="nil"/>
          <w:right w:val="nil"/>
          <w:between w:val="nil"/>
        </w:pBdr>
        <w:spacing w:before="180" w:after="180" w:line="276" w:lineRule="auto"/>
        <w:jc w:val="both"/>
        <w:rPr>
          <w:color w:val="000000"/>
        </w:rPr>
      </w:pPr>
      <w:r>
        <w:rPr>
          <w:color w:val="000000"/>
        </w:rPr>
        <w:t>For the EMS, the internal electrochemical variables are way more detailed; what the controller requires is the hydrogen mass flow rate associated with a gross stack power. The efficiency-map form</w:t>
      </w:r>
    </w:p>
    <w:tbl>
      <w:tblPr>
        <w:tblW w:w="9072"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700"/>
        <w:gridCol w:w="7672"/>
        <w:gridCol w:w="700"/>
      </w:tblGrid>
      <w:tr w:rsidR="00F40EF4" w:rsidRPr="00085AA7" w14:paraId="206485AE" w14:textId="77777777" w:rsidTr="00D712D5">
        <w:tc>
          <w:tcPr>
            <w:tcW w:w="700" w:type="dxa"/>
            <w:vAlign w:val="center"/>
          </w:tcPr>
          <w:p w14:paraId="1FDDEC8F" w14:textId="77777777" w:rsidR="00F40EF4" w:rsidRPr="00085AA7" w:rsidRDefault="00F40EF4" w:rsidP="00D712D5"/>
        </w:tc>
        <w:tc>
          <w:tcPr>
            <w:tcW w:w="7672" w:type="dxa"/>
            <w:vAlign w:val="center"/>
          </w:tcPr>
          <w:p w14:paraId="1FC8E213" w14:textId="77777777" w:rsidR="00F40EF4" w:rsidRPr="00085AA7" w:rsidRDefault="00F40EF4" w:rsidP="00D712D5">
            <w:pPr>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sSub>
                      <m:sSubPr>
                        <m:ctrlPr>
                          <w:rPr>
                            <w:rFonts w:ascii="Cambria Math" w:hAnsi="Cambria Math"/>
                          </w:rPr>
                        </m:ctrlPr>
                      </m:sSubPr>
                      <m:e>
                        <m:r>
                          <w:rPr>
                            <w:rFonts w:ascii="Cambria Math" w:hAnsi="Cambria Math"/>
                          </w:rPr>
                          <m:t>H</m:t>
                        </m:r>
                      </m:e>
                      <m:sub>
                        <m:r>
                          <w:rPr>
                            <w:rFonts w:ascii="Cambria Math" w:hAnsi="Cambria Math"/>
                          </w:rPr>
                          <m:t>2</m:t>
                        </m:r>
                      </m:sub>
                    </m:sSub>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fc,gross</m:t>
                        </m:r>
                      </m:sub>
                    </m:sSub>
                  </m:num>
                  <m:den>
                    <m:sSub>
                      <m:sSubPr>
                        <m:ctrlPr>
                          <w:rPr>
                            <w:rFonts w:ascii="Cambria Math" w:hAnsi="Cambria Math"/>
                          </w:rPr>
                        </m:ctrlPr>
                      </m:sSubPr>
                      <m:e>
                        <m:r>
                          <w:rPr>
                            <w:rFonts w:ascii="Cambria Math" w:hAnsi="Cambria Math"/>
                          </w:rPr>
                          <m:t>η</m:t>
                        </m:r>
                      </m:e>
                      <m:sub>
                        <m:r>
                          <w:rPr>
                            <w:rFonts w:ascii="Cambria Math" w:hAnsi="Cambria Math"/>
                          </w:rPr>
                          <m:t>fc</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fc,gross</m:t>
                        </m:r>
                      </m:sub>
                    </m:sSub>
                    <m:r>
                      <w:rPr>
                        <w:rFonts w:ascii="Cambria Math" w:hAnsi="Cambria Math"/>
                      </w:rPr>
                      <m:t>) </m:t>
                    </m:r>
                    <m:sSub>
                      <m:sSubPr>
                        <m:ctrlPr>
                          <w:rPr>
                            <w:rFonts w:ascii="Cambria Math" w:hAnsi="Cambria Math"/>
                          </w:rPr>
                        </m:ctrlPr>
                      </m:sSubPr>
                      <m:e>
                        <m:r>
                          <w:rPr>
                            <w:rFonts w:ascii="Cambria Math" w:hAnsi="Cambria Math"/>
                          </w:rPr>
                          <m:t>LHV</m:t>
                        </m:r>
                      </m:e>
                      <m:sub>
                        <m:sSub>
                          <m:sSubPr>
                            <m:ctrlPr>
                              <w:rPr>
                                <w:rFonts w:ascii="Cambria Math" w:hAnsi="Cambria Math"/>
                              </w:rPr>
                            </m:ctrlPr>
                          </m:sSubPr>
                          <m:e>
                            <m:r>
                              <w:rPr>
                                <w:rFonts w:ascii="Cambria Math" w:hAnsi="Cambria Math"/>
                              </w:rPr>
                              <m:t>H</m:t>
                            </m:r>
                          </m:e>
                          <m:sub>
                            <m:r>
                              <w:rPr>
                                <w:rFonts w:ascii="Cambria Math" w:hAnsi="Cambria Math"/>
                              </w:rPr>
                              <m:t>2</m:t>
                            </m:r>
                          </m:sub>
                        </m:sSub>
                      </m:sub>
                    </m:sSub>
                  </m:den>
                </m:f>
              </m:oMath>
            </m:oMathPara>
          </w:p>
        </w:tc>
        <w:tc>
          <w:tcPr>
            <w:tcW w:w="700" w:type="dxa"/>
            <w:vAlign w:val="center"/>
          </w:tcPr>
          <w:p w14:paraId="7895A840" w14:textId="77777777" w:rsidR="00F40EF4" w:rsidRPr="00085AA7" w:rsidRDefault="00F40EF4" w:rsidP="00D712D5">
            <w:pPr>
              <w:jc w:val="right"/>
            </w:pPr>
            <w:r>
              <w:t>(11)</w:t>
            </w:r>
          </w:p>
        </w:tc>
      </w:tr>
    </w:tbl>
    <w:p w14:paraId="3EB0BE73" w14:textId="77777777" w:rsidR="00AD4470" w:rsidRDefault="00AD4470" w:rsidP="00355891">
      <w:pPr>
        <w:pBdr>
          <w:top w:val="nil"/>
          <w:left w:val="nil"/>
          <w:bottom w:val="nil"/>
          <w:right w:val="nil"/>
          <w:between w:val="nil"/>
        </w:pBdr>
        <w:spacing w:before="180" w:after="180" w:line="276" w:lineRule="auto"/>
        <w:jc w:val="both"/>
        <w:rPr>
          <w:color w:val="000000"/>
        </w:rPr>
      </w:pPr>
    </w:p>
    <w:p w14:paraId="14BA8F3E" w14:textId="0B3656E8" w:rsidR="009672AB" w:rsidRDefault="00BD7851" w:rsidP="00355891">
      <w:pPr>
        <w:pBdr>
          <w:top w:val="nil"/>
          <w:left w:val="nil"/>
          <w:bottom w:val="nil"/>
          <w:right w:val="nil"/>
          <w:between w:val="nil"/>
        </w:pBdr>
        <w:spacing w:before="180" w:after="180" w:line="276" w:lineRule="auto"/>
        <w:jc w:val="both"/>
        <w:rPr>
          <w:color w:val="000000"/>
        </w:rPr>
      </w:pPr>
      <w:r>
        <w:rPr>
          <w:color w:val="000000"/>
        </w:rPr>
        <w:t xml:space="preserve">is therefore adopted, where </w:t>
      </w:r>
      <m:oMath>
        <m:sSub>
          <m:sSubPr>
            <m:ctrlPr>
              <w:rPr>
                <w:rFonts w:ascii="Cambria Math" w:hAnsi="Cambria Math"/>
                <w:color w:val="000000"/>
              </w:rPr>
            </m:ctrlPr>
          </m:sSubPr>
          <m:e>
            <m:r>
              <w:rPr>
                <w:rFonts w:ascii="Cambria Math" w:hAnsi="Cambria Math"/>
                <w:color w:val="000000"/>
              </w:rPr>
              <m:t>LHV</m:t>
            </m:r>
          </m:e>
          <m:sub>
            <m:sSub>
              <m:sSubPr>
                <m:ctrlPr>
                  <w:rPr>
                    <w:rFonts w:ascii="Cambria Math" w:hAnsi="Cambria Math"/>
                    <w:color w:val="000000"/>
                  </w:rPr>
                </m:ctrlPr>
              </m:sSubPr>
              <m:e>
                <m:r>
                  <w:rPr>
                    <w:rFonts w:ascii="Cambria Math" w:hAnsi="Cambria Math"/>
                    <w:color w:val="000000"/>
                  </w:rPr>
                  <m:t>H</m:t>
                </m:r>
              </m:e>
              <m:sub>
                <m:r>
                  <w:rPr>
                    <w:rFonts w:ascii="Cambria Math" w:hAnsi="Cambria Math"/>
                    <w:color w:val="000000"/>
                  </w:rPr>
                  <m:t>2</m:t>
                </m:r>
              </m:sub>
            </m:sSub>
          </m:sub>
        </m:sSub>
        <m:r>
          <w:rPr>
            <w:rFonts w:ascii="Cambria Math" w:hAnsi="Cambria Math"/>
            <w:color w:val="000000"/>
          </w:rPr>
          <m:t>=120 MJ/kg</m:t>
        </m:r>
      </m:oMath>
      <w:r>
        <w:rPr>
          <w:color w:val="000000"/>
        </w:rPr>
        <w:t xml:space="preserve"> is the lower heating value of hydrogen and the stack efficiency map </w:t>
      </w:r>
      <m:oMath>
        <m:sSub>
          <m:sSubPr>
            <m:ctrlPr>
              <w:rPr>
                <w:rFonts w:ascii="Cambria Math" w:hAnsi="Cambria Math"/>
                <w:color w:val="000000"/>
              </w:rPr>
            </m:ctrlPr>
          </m:sSubPr>
          <m:e>
            <m:r>
              <w:rPr>
                <w:rFonts w:ascii="Cambria Math" w:hAnsi="Cambria Math"/>
              </w:rPr>
              <m:t>η</m:t>
            </m:r>
          </m:e>
          <m:sub>
            <m:r>
              <w:rPr>
                <w:rFonts w:ascii="Cambria Math" w:hAnsi="Cambria Math"/>
                <w:color w:val="000000"/>
              </w:rPr>
              <m:t>fc</m:t>
            </m:r>
          </m:sub>
        </m:sSub>
        <m:r>
          <w:rPr>
            <w:rFonts w:ascii="Cambria Math" w:hAnsi="Cambria Math"/>
            <w:color w:val="000000"/>
          </w:rPr>
          <m:t>(⋅)</m:t>
        </m:r>
      </m:oMath>
      <w:r>
        <w:rPr>
          <w:color w:val="000000"/>
        </w:rPr>
        <w:t xml:space="preserve"> is derived offline from Eqs. (5)–(10) and going to be stored as a one-dimensional look-up table at MAT 4902E. The indicative values for the Toyota Mirai stack are a peak efficiency of approximately 0.70 near 12 kW gross power and approximately 0.54 at maximum power [17]; because efficiency changes considerably at different power levels, finding the optimal power split becomes a challenging problem. </w:t>
      </w:r>
    </w:p>
    <w:p w14:paraId="2406C4DF" w14:textId="77777777" w:rsidR="00642A13" w:rsidRPr="00085AA7" w:rsidRDefault="00642A13" w:rsidP="00642A13">
      <w:pPr>
        <w:pStyle w:val="Heading3"/>
        <w:spacing w:line="276" w:lineRule="auto"/>
        <w:jc w:val="both"/>
      </w:pPr>
      <w:bookmarkStart w:id="22" w:name="_Toc231989460"/>
      <w:bookmarkStart w:id="23" w:name="_Toc232147086"/>
      <w:r>
        <w:t>3.3.3. Battery model: 1-RC equivalent circuit with hysteresis</w:t>
      </w:r>
      <w:bookmarkEnd w:id="22"/>
      <w:bookmarkEnd w:id="23"/>
    </w:p>
    <w:p w14:paraId="04A91683" w14:textId="77777777" w:rsidR="00683696" w:rsidRDefault="002157AA" w:rsidP="00683696">
      <w:pPr>
        <w:pBdr>
          <w:top w:val="nil"/>
          <w:left w:val="nil"/>
          <w:bottom w:val="nil"/>
          <w:right w:val="nil"/>
          <w:between w:val="nil"/>
        </w:pBdr>
        <w:spacing w:before="180" w:after="180" w:line="276" w:lineRule="auto"/>
        <w:jc w:val="both"/>
        <w:rPr>
          <w:color w:val="000000"/>
        </w:rPr>
      </w:pPr>
      <w:r>
        <w:rPr>
          <w:color w:val="000000"/>
        </w:rPr>
        <w:t>The battery pack consists of 960 A123 ANR26650M1B LiFePO</w:t>
      </w:r>
      <w:r>
        <w:rPr>
          <w:color w:val="000000"/>
          <w:vertAlign w:val="subscript"/>
        </w:rPr>
        <w:t>4</w:t>
      </w:r>
      <w:r>
        <w:rPr>
          <w:color w:val="000000"/>
        </w:rPr>
        <w:t xml:space="preserve"> cells in a 96s10p configuration, providing a nominal voltage of 316.8 V, a capacity of </w:t>
      </w:r>
      <m:oMath>
        <m:sSub>
          <m:sSubPr>
            <m:ctrlPr>
              <w:rPr>
                <w:rFonts w:ascii="Cambria Math" w:hAnsi="Cambria Math"/>
                <w:color w:val="000000"/>
              </w:rPr>
            </m:ctrlPr>
          </m:sSubPr>
          <m:e>
            <m:r>
              <w:rPr>
                <w:rFonts w:ascii="Cambria Math" w:hAnsi="Cambria Math"/>
                <w:color w:val="000000"/>
              </w:rPr>
              <m:t>Q</m:t>
            </m:r>
          </m:e>
          <m:sub>
            <m:r>
              <w:rPr>
                <w:rFonts w:ascii="Cambria Math" w:hAnsi="Cambria Math"/>
                <w:color w:val="000000"/>
              </w:rPr>
              <m:t>pack</m:t>
            </m:r>
          </m:sub>
        </m:sSub>
        <m:r>
          <w:rPr>
            <w:rFonts w:ascii="Cambria Math" w:hAnsi="Cambria Math"/>
            <w:color w:val="000000"/>
          </w:rPr>
          <m:t>=25</m:t>
        </m:r>
      </m:oMath>
      <w:r>
        <w:rPr>
          <w:color w:val="000000"/>
        </w:rPr>
        <w:t xml:space="preserve"> Ah and a nominal energy of 7.92 kWh. From comparison made by Nejad et al. [11], the 1-RC + Hysteresis equivalent circuit model is adopted.</w:t>
      </w:r>
      <w:r>
        <w:rPr>
          <w:b/>
          <w:i/>
          <w:color w:val="FF0000"/>
        </w:rPr>
        <w:t xml:space="preserve"> The corresponding equivalent-circuit structures are depicted in Figure 5.</w:t>
      </w:r>
      <w:r>
        <w:t xml:space="preserve"> The relaxation voltage of the single RC branch obeys the discrete state equation</w:t>
      </w:r>
    </w:p>
    <w:p w14:paraId="2B98425B" w14:textId="77777777" w:rsidR="00AD4470" w:rsidRDefault="00AD4470" w:rsidP="00683696">
      <w:pPr>
        <w:pBdr>
          <w:top w:val="nil"/>
          <w:left w:val="nil"/>
          <w:bottom w:val="nil"/>
          <w:right w:val="nil"/>
          <w:between w:val="nil"/>
        </w:pBdr>
        <w:spacing w:before="180" w:after="180" w:line="276" w:lineRule="auto"/>
        <w:jc w:val="both"/>
        <w:rPr>
          <w:color w:val="000000"/>
        </w:rPr>
      </w:pPr>
    </w:p>
    <w:tbl>
      <w:tblPr>
        <w:tblW w:w="9072"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700"/>
        <w:gridCol w:w="7672"/>
        <w:gridCol w:w="700"/>
      </w:tblGrid>
      <w:tr w:rsidR="00466CA1" w:rsidRPr="00085AA7" w14:paraId="29D75DF1" w14:textId="77777777" w:rsidTr="00D712D5">
        <w:tc>
          <w:tcPr>
            <w:tcW w:w="700" w:type="dxa"/>
            <w:vAlign w:val="center"/>
          </w:tcPr>
          <w:p w14:paraId="5A4A7CC5" w14:textId="77777777" w:rsidR="00466CA1" w:rsidRPr="00085AA7" w:rsidRDefault="00466CA1" w:rsidP="00D712D5"/>
        </w:tc>
        <w:tc>
          <w:tcPr>
            <w:tcW w:w="7672" w:type="dxa"/>
            <w:vAlign w:val="center"/>
          </w:tcPr>
          <w:p w14:paraId="76A174C5" w14:textId="77777777" w:rsidR="00466CA1" w:rsidRPr="00085AA7" w:rsidRDefault="00466CA1" w:rsidP="00D712D5">
            <w:pPr>
              <w:jc w:val="center"/>
            </w:pPr>
            <m:oMathPara>
              <m:oMath>
                <m:sSub>
                  <m:sSubPr>
                    <m:ctrlPr>
                      <w:rPr>
                        <w:rFonts w:ascii="Cambria Math" w:hAnsi="Cambria Math"/>
                      </w:rPr>
                    </m:ctrlPr>
                  </m:sSubPr>
                  <m:e>
                    <m:r>
                      <w:rPr>
                        <w:rFonts w:ascii="Cambria Math" w:hAnsi="Cambria Math"/>
                      </w:rPr>
                      <m:t>V</m:t>
                    </m:r>
                  </m:e>
                  <m:sub>
                    <m:r>
                      <w:rPr>
                        <w:rFonts w:ascii="Cambria Math" w:hAnsi="Cambria Math"/>
                      </w:rPr>
                      <m:t>RC1</m:t>
                    </m:r>
                  </m:sub>
                </m:sSub>
                <m:r>
                  <w:rPr>
                    <w:rFonts w:ascii="Cambria Math" w:hAnsi="Cambria Math"/>
                  </w:rPr>
                  <m:t>(k+1)=a </m:t>
                </m:r>
                <m:sSub>
                  <m:sSubPr>
                    <m:ctrlPr>
                      <w:rPr>
                        <w:rFonts w:ascii="Cambria Math" w:hAnsi="Cambria Math"/>
                      </w:rPr>
                    </m:ctrlPr>
                  </m:sSubPr>
                  <m:e>
                    <m:r>
                      <w:rPr>
                        <w:rFonts w:ascii="Cambria Math" w:hAnsi="Cambria Math"/>
                      </w:rPr>
                      <m:t>V</m:t>
                    </m:r>
                  </m:e>
                  <m:sub>
                    <m:r>
                      <w:rPr>
                        <w:rFonts w:ascii="Cambria Math" w:hAnsi="Cambria Math"/>
                      </w:rPr>
                      <m:t>RC1</m:t>
                    </m:r>
                  </m:sub>
                </m:sSub>
                <m:r>
                  <w:rPr>
                    <w:rFonts w:ascii="Cambria Math" w:hAnsi="Cambria Math"/>
                  </w:rPr>
                  <m:t>(k)+b </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,  a=</m:t>
                </m:r>
                <m:sSup>
                  <m:sSupPr>
                    <m:ctrlPr>
                      <w:rPr>
                        <w:rFonts w:ascii="Cambria Math" w:hAnsi="Cambria Math"/>
                      </w:rPr>
                    </m:ctrlPr>
                  </m:sSupPr>
                  <m:e>
                    <m:r>
                      <w:rPr>
                        <w:rFonts w:ascii="Cambria Math" w:hAnsi="Cambria Math"/>
                      </w:rPr>
                      <m:t>e</m:t>
                    </m:r>
                  </m:e>
                  <m:sup>
                    <m:r>
                      <w:rPr>
                        <w:rFonts w:ascii="Cambria Math" w:hAnsi="Cambria Math"/>
                      </w:rPr>
                      <m:t>-Δt/</m:t>
                    </m:r>
                    <m:sSub>
                      <m:sSubPr>
                        <m:ctrlPr>
                          <w:rPr>
                            <w:rFonts w:ascii="Cambria Math" w:hAnsi="Cambria Math"/>
                          </w:rPr>
                        </m:ctrlPr>
                      </m:sSubPr>
                      <m:e>
                        <m:r>
                          <w:rPr>
                            <w:rFonts w:ascii="Cambria Math" w:hAnsi="Cambria Math"/>
                          </w:rPr>
                          <m:t>τ</m:t>
                        </m:r>
                      </m:e>
                      <m:sub>
                        <m:r>
                          <w:rPr>
                            <w:rFonts w:ascii="Cambria Math" w:hAnsi="Cambria Math"/>
                          </w:rPr>
                          <m:t>1</m:t>
                        </m:r>
                      </m:sub>
                    </m:sSub>
                  </m:sup>
                </m:sSup>
                <m:r>
                  <w:rPr>
                    <w:rFonts w:ascii="Cambria Math" w:hAnsi="Cambria Math"/>
                  </w:rPr>
                  <m:t>, b=</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(1-a),</m:t>
                </m:r>
              </m:oMath>
            </m:oMathPara>
          </w:p>
        </w:tc>
        <w:tc>
          <w:tcPr>
            <w:tcW w:w="700" w:type="dxa"/>
            <w:vAlign w:val="center"/>
          </w:tcPr>
          <w:p w14:paraId="2B09964A" w14:textId="77777777" w:rsidR="00466CA1" w:rsidRPr="00085AA7" w:rsidRDefault="00466CA1" w:rsidP="00D712D5">
            <w:pPr>
              <w:jc w:val="right"/>
            </w:pPr>
            <w:r>
              <w:t>(12)</w:t>
            </w:r>
          </w:p>
        </w:tc>
      </w:tr>
    </w:tbl>
    <w:p w14:paraId="735BEC93" w14:textId="77777777" w:rsidR="00AD4470" w:rsidRDefault="00AD4470" w:rsidP="00AD4470">
      <w:pPr>
        <w:pBdr>
          <w:top w:val="nil"/>
          <w:left w:val="nil"/>
          <w:bottom w:val="nil"/>
          <w:right w:val="nil"/>
          <w:between w:val="nil"/>
        </w:pBdr>
        <w:spacing w:before="180" w:after="180"/>
        <w:rPr>
          <w:color w:val="000000"/>
        </w:rPr>
      </w:pPr>
    </w:p>
    <w:p w14:paraId="0DF4F2D6" w14:textId="412CEBB9" w:rsidR="00AD4470" w:rsidRDefault="00AD4470" w:rsidP="00AD4470">
      <w:pPr>
        <w:pBdr>
          <w:top w:val="nil"/>
          <w:left w:val="nil"/>
          <w:bottom w:val="nil"/>
          <w:right w:val="nil"/>
          <w:between w:val="nil"/>
        </w:pBdr>
        <w:spacing w:before="180" w:after="180" w:line="276" w:lineRule="auto"/>
        <w:jc w:val="both"/>
        <w:rPr>
          <w:color w:val="000000"/>
        </w:rPr>
      </w:pPr>
      <w:r>
        <w:rPr>
          <w:color w:val="000000"/>
        </w:rPr>
        <w:t xml:space="preserve">with the time constant </w:t>
      </w:r>
      <m:oMath>
        <m:sSub>
          <m:sSubPr>
            <m:ctrlPr>
              <w:rPr>
                <w:rFonts w:ascii="Cambria Math" w:hAnsi="Cambria Math"/>
                <w:color w:val="000000"/>
              </w:rPr>
            </m:ctrlPr>
          </m:sSubPr>
          <m:e>
            <m:r>
              <w:rPr>
                <w:rFonts w:ascii="Cambria Math" w:hAnsi="Cambria Math"/>
              </w:rPr>
              <m:t>τ</m:t>
            </m:r>
          </m:e>
          <m:sub>
            <m:r>
              <w:rPr>
                <w:rFonts w:ascii="Cambria Math" w:hAnsi="Cambria Math"/>
                <w:color w:val="000000"/>
              </w:rPr>
              <m:t>1</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R</m:t>
            </m:r>
          </m:e>
          <m:sub>
            <m:r>
              <w:rPr>
                <w:rFonts w:ascii="Cambria Math" w:hAnsi="Cambria Math"/>
                <w:color w:val="000000"/>
              </w:rPr>
              <m:t>1</m:t>
            </m:r>
          </m:sub>
        </m:sSub>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1</m:t>
            </m:r>
          </m:sub>
        </m:sSub>
        <m:r>
          <w:rPr>
            <w:rFonts w:ascii="Cambria Math" w:hAnsi="Cambria Math"/>
            <w:color w:val="000000"/>
          </w:rPr>
          <m:t>≈180</m:t>
        </m:r>
      </m:oMath>
      <w:r>
        <w:rPr>
          <w:color w:val="000000"/>
        </w:rPr>
        <w:t xml:space="preserve"> s. The state of charge evolves by Coulomb counting,</w:t>
      </w:r>
    </w:p>
    <w:p w14:paraId="1C544854" w14:textId="77777777" w:rsidR="00561705" w:rsidRDefault="00561705" w:rsidP="00AD4470">
      <w:pPr>
        <w:pBdr>
          <w:top w:val="nil"/>
          <w:left w:val="nil"/>
          <w:bottom w:val="nil"/>
          <w:right w:val="nil"/>
          <w:between w:val="nil"/>
        </w:pBdr>
        <w:spacing w:before="180" w:after="180" w:line="276" w:lineRule="auto"/>
        <w:jc w:val="both"/>
        <w:rPr>
          <w:color w:val="000000"/>
        </w:rPr>
      </w:pPr>
    </w:p>
    <w:tbl>
      <w:tblPr>
        <w:tblW w:w="9072"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700"/>
        <w:gridCol w:w="7672"/>
        <w:gridCol w:w="700"/>
      </w:tblGrid>
      <w:tr w:rsidR="0064096C" w:rsidRPr="00085AA7" w14:paraId="6D21CE36" w14:textId="77777777" w:rsidTr="0064096C">
        <w:trPr>
          <w:trHeight w:val="850"/>
        </w:trPr>
        <w:tc>
          <w:tcPr>
            <w:tcW w:w="700" w:type="dxa"/>
            <w:vAlign w:val="center"/>
          </w:tcPr>
          <w:p w14:paraId="42D6C1FC" w14:textId="77777777" w:rsidR="0064096C" w:rsidRPr="00085AA7" w:rsidRDefault="0064096C" w:rsidP="00D712D5"/>
        </w:tc>
        <w:tc>
          <w:tcPr>
            <w:tcW w:w="7672" w:type="dxa"/>
            <w:vAlign w:val="center"/>
          </w:tcPr>
          <w:p w14:paraId="43DCBCB5" w14:textId="77777777" w:rsidR="0064096C" w:rsidRPr="00085AA7" w:rsidRDefault="0064096C" w:rsidP="00D712D5">
            <w:pPr>
              <w:jc w:val="center"/>
            </w:pPr>
            <m:oMathPara>
              <m:oMath>
                <m:r>
                  <w:rPr>
                    <w:rFonts w:ascii="Cambria Math" w:hAnsi="Cambria Math"/>
                  </w:rPr>
                  <m:t>SoC(k+1)=SoC(k)-</m:t>
                </m:r>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 Δt</m:t>
                    </m:r>
                  </m:num>
                  <m:den>
                    <m:sSub>
                      <m:sSubPr>
                        <m:ctrlPr>
                          <w:rPr>
                            <w:rFonts w:ascii="Cambria Math" w:hAnsi="Cambria Math"/>
                          </w:rPr>
                        </m:ctrlPr>
                      </m:sSubPr>
                      <m:e>
                        <m:r>
                          <w:rPr>
                            <w:rFonts w:ascii="Cambria Math" w:hAnsi="Cambria Math"/>
                          </w:rPr>
                          <m:t>Q</m:t>
                        </m:r>
                      </m:e>
                      <m:sub>
                        <m:r>
                          <w:rPr>
                            <w:rFonts w:ascii="Cambria Math" w:hAnsi="Cambria Math"/>
                          </w:rPr>
                          <m:t>pack</m:t>
                        </m:r>
                      </m:sub>
                    </m:sSub>
                  </m:den>
                </m:f>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m:t>
                </m:r>
              </m:oMath>
            </m:oMathPara>
          </w:p>
        </w:tc>
        <w:tc>
          <w:tcPr>
            <w:tcW w:w="700" w:type="dxa"/>
            <w:vAlign w:val="center"/>
          </w:tcPr>
          <w:p w14:paraId="064055A2" w14:textId="77777777" w:rsidR="0064096C" w:rsidRPr="00085AA7" w:rsidRDefault="0064096C" w:rsidP="00D712D5">
            <w:pPr>
              <w:jc w:val="right"/>
            </w:pPr>
            <w:r>
              <w:t>(13)</w:t>
            </w:r>
          </w:p>
        </w:tc>
      </w:tr>
    </w:tbl>
    <w:p w14:paraId="65E2D40B" w14:textId="77777777" w:rsidR="00561705" w:rsidRPr="00085AA7" w:rsidRDefault="00561705" w:rsidP="00AD4470">
      <w:pPr>
        <w:pBdr>
          <w:top w:val="nil"/>
          <w:left w:val="nil"/>
          <w:bottom w:val="nil"/>
          <w:right w:val="nil"/>
          <w:between w:val="nil"/>
        </w:pBdr>
        <w:spacing w:before="180" w:after="180" w:line="276" w:lineRule="auto"/>
        <w:jc w:val="both"/>
        <w:rPr>
          <w:color w:val="000000"/>
        </w:rPr>
      </w:pPr>
    </w:p>
    <w:p w14:paraId="28388688" w14:textId="77777777" w:rsidR="007A589A" w:rsidRPr="00085AA7" w:rsidRDefault="00640AE4" w:rsidP="007A589A">
      <w:pPr>
        <w:pBdr>
          <w:top w:val="nil"/>
          <w:left w:val="nil"/>
          <w:bottom w:val="nil"/>
          <w:right w:val="nil"/>
          <w:between w:val="nil"/>
        </w:pBdr>
        <w:spacing w:before="180" w:after="180" w:line="276" w:lineRule="auto"/>
        <w:jc w:val="both"/>
        <w:rPr>
          <w:color w:val="000000"/>
        </w:rPr>
      </w:pPr>
      <w:r>
        <w:rPr>
          <w:color w:val="000000"/>
        </w:rPr>
        <w:t xml:space="preserve">where </w:t>
      </w:r>
      <m:oMath>
        <m:sSub>
          <m:sSubPr>
            <m:ctrlPr>
              <w:rPr>
                <w:rFonts w:ascii="Cambria Math" w:hAnsi="Cambria Math"/>
                <w:color w:val="000000"/>
              </w:rPr>
            </m:ctrlPr>
          </m:sSubPr>
          <m:e>
            <m:r>
              <w:rPr>
                <w:rFonts w:ascii="Cambria Math" w:hAnsi="Cambria Math"/>
              </w:rPr>
              <m:t>η</m:t>
            </m:r>
          </m:e>
          <m:sub>
            <m:r>
              <w:rPr>
                <w:rFonts w:ascii="Cambria Math" w:hAnsi="Cambria Math"/>
                <w:color w:val="000000"/>
              </w:rPr>
              <m:t>i</m:t>
            </m:r>
          </m:sub>
        </m:sSub>
        <m:r>
          <w:rPr>
            <w:rFonts w:ascii="Cambria Math" w:hAnsi="Cambria Math"/>
            <w:color w:val="000000"/>
          </w:rPr>
          <m:t>=0.995</m:t>
        </m:r>
      </m:oMath>
      <w:r>
        <w:rPr>
          <w:color w:val="000000"/>
        </w:rPr>
        <w:t xml:space="preserve"> is the coulombic efficiency and the current is positive in discharge. The terminal voltage is assembled from the open-circuit voltage, the ohmic drop and the relaxation state of Eq. (12) as</w:t>
      </w:r>
    </w:p>
    <w:p w14:paraId="3D289E37" w14:textId="1B8DE4D4" w:rsidR="00466CA1" w:rsidRDefault="00466CA1" w:rsidP="007A589A">
      <w:pPr>
        <w:pBdr>
          <w:top w:val="nil"/>
          <w:left w:val="nil"/>
          <w:bottom w:val="nil"/>
          <w:right w:val="nil"/>
          <w:between w:val="nil"/>
        </w:pBdr>
        <w:spacing w:before="180" w:after="180" w:line="276" w:lineRule="auto"/>
        <w:rPr>
          <w:color w:val="000000"/>
        </w:rPr>
      </w:pPr>
    </w:p>
    <w:tbl>
      <w:tblPr>
        <w:tblW w:w="9072"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700"/>
        <w:gridCol w:w="7672"/>
        <w:gridCol w:w="700"/>
      </w:tblGrid>
      <w:tr w:rsidR="00516169" w:rsidRPr="00085AA7" w14:paraId="0D32A8A1" w14:textId="77777777" w:rsidTr="00D712D5">
        <w:tc>
          <w:tcPr>
            <w:tcW w:w="700" w:type="dxa"/>
            <w:vAlign w:val="center"/>
          </w:tcPr>
          <w:p w14:paraId="30A05EE0" w14:textId="77777777" w:rsidR="00516169" w:rsidRPr="00085AA7" w:rsidRDefault="00516169" w:rsidP="00D712D5"/>
        </w:tc>
        <w:tc>
          <w:tcPr>
            <w:tcW w:w="7672" w:type="dxa"/>
            <w:vAlign w:val="center"/>
          </w:tcPr>
          <w:p w14:paraId="13647F02" w14:textId="77777777" w:rsidR="00516169" w:rsidRPr="00085AA7" w:rsidRDefault="00516169" w:rsidP="00D712D5">
            <w:pPr>
              <w:jc w:val="center"/>
            </w:pPr>
            <m:oMathPara>
              <m:oMath>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OC</m:t>
                    </m:r>
                  </m:sub>
                </m:sSub>
                <m:r>
                  <w:rPr>
                    <w:rFonts w:ascii="Cambria Math" w:hAnsi="Cambria Math"/>
                  </w:rPr>
                  <m:t>(</m:t>
                </m:r>
                <m:sSub>
                  <m:sSubPr>
                    <m:ctrlPr>
                      <w:rPr>
                        <w:rFonts w:ascii="Cambria Math" w:hAnsi="Cambria Math"/>
                      </w:rPr>
                    </m:ctrlPr>
                  </m:sSubPr>
                  <m:e>
                    <m:r>
                      <w:rPr>
                        <w:rFonts w:ascii="Cambria Math" w:hAnsi="Cambria Math"/>
                      </w:rPr>
                      <m:t>SoC</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direction</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RC1</m:t>
                    </m:r>
                  </m:sub>
                </m:sSub>
                <m:r>
                  <w:rPr>
                    <w:rFonts w:ascii="Cambria Math" w:hAnsi="Cambria Math"/>
                  </w:rPr>
                  <m:t>(k).</m:t>
                </m:r>
              </m:oMath>
            </m:oMathPara>
          </w:p>
        </w:tc>
        <w:tc>
          <w:tcPr>
            <w:tcW w:w="700" w:type="dxa"/>
            <w:vAlign w:val="center"/>
          </w:tcPr>
          <w:p w14:paraId="11693C15" w14:textId="77777777" w:rsidR="00516169" w:rsidRPr="00085AA7" w:rsidRDefault="00516169" w:rsidP="00D712D5">
            <w:pPr>
              <w:jc w:val="right"/>
            </w:pPr>
            <w:r>
              <w:t>(14)</w:t>
            </w:r>
          </w:p>
        </w:tc>
      </w:tr>
    </w:tbl>
    <w:p w14:paraId="44B00AEF" w14:textId="77777777" w:rsidR="00516169" w:rsidRDefault="00516169" w:rsidP="007A589A">
      <w:pPr>
        <w:pBdr>
          <w:top w:val="nil"/>
          <w:left w:val="nil"/>
          <w:bottom w:val="nil"/>
          <w:right w:val="nil"/>
          <w:between w:val="nil"/>
        </w:pBdr>
        <w:spacing w:before="180" w:after="180" w:line="276" w:lineRule="auto"/>
        <w:rPr>
          <w:color w:val="000000"/>
        </w:rPr>
      </w:pPr>
    </w:p>
    <w:p w14:paraId="6E6CE121" w14:textId="77777777" w:rsidR="009957A1" w:rsidRDefault="009957A1" w:rsidP="009957A1">
      <w:pPr>
        <w:pStyle w:val="FirstParagraph"/>
      </w:pPr>
      <w:r>
        <w:t>Because the open-circuit-voltage curve of the LFP chemistry is nearly flat over the operating window, the open-circuit voltage in Eq. (14) is treated as a dynamic state that relaxes towards direction-dependent charge and discharge reference curves according to the hysteresis law of Huria et al. [12],</w:t>
      </w:r>
    </w:p>
    <w:p w14:paraId="1B357F99" w14:textId="77777777" w:rsidR="009957A1" w:rsidRDefault="009957A1" w:rsidP="007A589A">
      <w:pPr>
        <w:pBdr>
          <w:top w:val="nil"/>
          <w:left w:val="nil"/>
          <w:bottom w:val="nil"/>
          <w:right w:val="nil"/>
          <w:between w:val="nil"/>
        </w:pBdr>
        <w:spacing w:before="180" w:after="180" w:line="276" w:lineRule="auto"/>
        <w:rPr>
          <w:color w:val="000000"/>
        </w:rPr>
      </w:pPr>
    </w:p>
    <w:tbl>
      <w:tblPr>
        <w:tblStyle w:val="Table"/>
        <w:tblW w:w="9072" w:type="dxa"/>
        <w:tblLayout w:type="fixed"/>
        <w:tblLook w:val="04A0" w:firstRow="1" w:lastRow="0" w:firstColumn="1" w:lastColumn="0" w:noHBand="0" w:noVBand="1"/>
      </w:tblPr>
      <w:tblGrid>
        <w:gridCol w:w="700"/>
        <w:gridCol w:w="7672"/>
        <w:gridCol w:w="700"/>
      </w:tblGrid>
      <w:tr w:rsidR="004451CE" w14:paraId="3E2A7360" w14:textId="77777777" w:rsidTr="004451CE">
        <w:trPr>
          <w:trHeight w:val="835"/>
        </w:trPr>
        <w:tc>
          <w:tcPr>
            <w:tcW w:w="700" w:type="dxa"/>
            <w:vAlign w:val="center"/>
          </w:tcPr>
          <w:p w14:paraId="09C9E660" w14:textId="77777777" w:rsidR="004451CE" w:rsidRDefault="004451CE" w:rsidP="00D712D5">
            <w:pPr>
              <w:spacing w:after="0"/>
            </w:pPr>
          </w:p>
        </w:tc>
        <w:tc>
          <w:tcPr>
            <w:tcW w:w="7672" w:type="dxa"/>
            <w:vAlign w:val="center"/>
          </w:tcPr>
          <w:p w14:paraId="2197B4E9" w14:textId="77777777" w:rsidR="004451CE" w:rsidRDefault="004451CE" w:rsidP="00D712D5">
            <w:pPr>
              <w:spacing w:after="0"/>
              <w:jc w:val="center"/>
            </w:pPr>
            <m:oMathPara>
              <m:oMathParaPr>
                <m:jc m:val="center"/>
              </m:oMathParaPr>
              <m:oMath>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V</m:t>
                        </m:r>
                      </m:e>
                      <m:sub>
                        <m:r>
                          <m:rPr>
                            <m:sty m:val="p"/>
                          </m:rPr>
                          <w:rPr>
                            <w:rFonts w:ascii="Cambria Math" w:hAnsi="Cambria Math"/>
                          </w:rPr>
                          <m:t>OC</m:t>
                        </m:r>
                      </m:sub>
                    </m:sSub>
                  </m:num>
                  <m:den>
                    <m:r>
                      <m:rPr>
                        <m:sty m:val="p"/>
                      </m:rPr>
                      <w:rPr>
                        <w:rFonts w:ascii="Cambria Math" w:hAnsi="Cambria Math"/>
                      </w:rPr>
                      <m:t>dSoC</m:t>
                    </m:r>
                  </m:den>
                </m:f>
                <m:r>
                  <w:rPr>
                    <w:rFonts w:ascii="Cambria Math" w:hAnsi="Cambria Math"/>
                  </w:rPr>
                  <m:t>=</m:t>
                </m:r>
                <m:f>
                  <m:fPr>
                    <m:ctrlPr>
                      <w:rPr>
                        <w:rFonts w:ascii="Cambria Math" w:hAnsi="Cambria Math"/>
                      </w:rPr>
                    </m:ctrlPr>
                  </m:fPr>
                  <m:num>
                    <m:r>
                      <m:rPr>
                        <m:sty m:val="p"/>
                      </m:rPr>
                      <w:rPr>
                        <w:rFonts w:ascii="Cambria Math" w:hAnsi="Cambria Math"/>
                      </w:rPr>
                      <m:t>d</m:t>
                    </m:r>
                    <m:sSubSup>
                      <m:sSubSupPr>
                        <m:ctrlPr>
                          <w:rPr>
                            <w:rFonts w:ascii="Cambria Math" w:hAnsi="Cambria Math"/>
                          </w:rPr>
                        </m:ctrlPr>
                      </m:sSubSupPr>
                      <m:e>
                        <m:r>
                          <w:rPr>
                            <w:rFonts w:ascii="Cambria Math" w:hAnsi="Cambria Math"/>
                          </w:rPr>
                          <m:t>V</m:t>
                        </m:r>
                      </m:e>
                      <m:sub>
                        <m:r>
                          <m:rPr>
                            <m:sty m:val="p"/>
                          </m:rPr>
                          <w:rPr>
                            <w:rFonts w:ascii="Cambria Math" w:hAnsi="Cambria Math"/>
                          </w:rPr>
                          <m:t>OC</m:t>
                        </m:r>
                      </m:sub>
                      <m:sup>
                        <m:r>
                          <m:rPr>
                            <m:sty m:val="p"/>
                          </m:rPr>
                          <w:rPr>
                            <w:rFonts w:ascii="Cambria Math" w:hAnsi="Cambria Math"/>
                          </w:rPr>
                          <m:t>ref</m:t>
                        </m:r>
                      </m:sup>
                    </m:sSubSup>
                  </m:num>
                  <m:den>
                    <m:r>
                      <m:rPr>
                        <m:sty m:val="p"/>
                      </m:rPr>
                      <w:rPr>
                        <w:rFonts w:ascii="Cambria Math" w:hAnsi="Cambria Math"/>
                      </w:rPr>
                      <m:t>dSoC</m:t>
                    </m:r>
                  </m:den>
                </m:f>
                <m: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hyst</m:t>
                    </m:r>
                  </m:sub>
                </m:sSub>
                <m:r>
                  <w:rPr>
                    <w:rFonts w:ascii="Cambria Math" w:hAnsi="Cambria Math"/>
                  </w:rPr>
                  <m:t>(</m:t>
                </m:r>
                <m:sSubSup>
                  <m:sSubSupPr>
                    <m:ctrlPr>
                      <w:rPr>
                        <w:rFonts w:ascii="Cambria Math" w:hAnsi="Cambria Math"/>
                      </w:rPr>
                    </m:ctrlPr>
                  </m:sSubSupPr>
                  <m:e>
                    <m:r>
                      <w:rPr>
                        <w:rFonts w:ascii="Cambria Math" w:hAnsi="Cambria Math"/>
                      </w:rPr>
                      <m:t>V</m:t>
                    </m:r>
                  </m:e>
                  <m:sub>
                    <m:r>
                      <m:rPr>
                        <m:sty m:val="p"/>
                      </m:rPr>
                      <w:rPr>
                        <w:rFonts w:ascii="Cambria Math" w:hAnsi="Cambria Math"/>
                      </w:rPr>
                      <m:t>OC</m:t>
                    </m:r>
                  </m:sub>
                  <m:sup>
                    <m:r>
                      <m:rPr>
                        <m:sty m:val="p"/>
                      </m:rPr>
                      <w:rPr>
                        <w:rFonts w:ascii="Cambria Math" w:hAnsi="Cambria Math"/>
                      </w:rPr>
                      <m:t>ref</m:t>
                    </m:r>
                  </m:sup>
                </m:sSubSup>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OC</m:t>
                    </m:r>
                  </m:sub>
                </m:sSub>
                <m:r>
                  <w:rPr>
                    <w:rFonts w:ascii="Cambria Math" w:hAnsi="Cambria Math"/>
                  </w:rPr>
                  <m:t>),</m:t>
                </m:r>
              </m:oMath>
            </m:oMathPara>
          </w:p>
        </w:tc>
        <w:tc>
          <w:tcPr>
            <w:tcW w:w="700" w:type="dxa"/>
            <w:vAlign w:val="center"/>
          </w:tcPr>
          <w:p w14:paraId="540425C9" w14:textId="77777777" w:rsidR="004451CE" w:rsidRDefault="004451CE" w:rsidP="00D712D5">
            <w:pPr>
              <w:spacing w:after="0"/>
              <w:jc w:val="right"/>
            </w:pPr>
            <w:r>
              <w:t>(15)</w:t>
            </w:r>
          </w:p>
        </w:tc>
      </w:tr>
    </w:tbl>
    <w:p w14:paraId="1E56FA38" w14:textId="77777777" w:rsidR="004451CE" w:rsidRDefault="004451CE" w:rsidP="007A589A">
      <w:pPr>
        <w:pBdr>
          <w:top w:val="nil"/>
          <w:left w:val="nil"/>
          <w:bottom w:val="nil"/>
          <w:right w:val="nil"/>
          <w:between w:val="nil"/>
        </w:pBdr>
        <w:spacing w:before="180" w:after="180" w:line="276" w:lineRule="auto"/>
        <w:rPr>
          <w:color w:val="000000"/>
        </w:rPr>
      </w:pPr>
    </w:p>
    <w:p w14:paraId="498504EA" w14:textId="77777777" w:rsidR="00881B8F" w:rsidRDefault="004B236F" w:rsidP="00881B8F">
      <w:pPr>
        <w:keepNext/>
        <w:pBdr>
          <w:top w:val="nil"/>
          <w:left w:val="nil"/>
          <w:bottom w:val="nil"/>
          <w:right w:val="nil"/>
          <w:between w:val="nil"/>
        </w:pBdr>
        <w:spacing w:before="180" w:after="180" w:line="276" w:lineRule="auto"/>
        <w:jc w:val="center"/>
      </w:pPr>
      <w:r>
        <w:rPr>
          <w:color w:val="000000"/>
        </w:rPr>
        <w:drawing>
          <wp:inline distT="0" distB="0" distL="0" distR="0" wp14:anchorId="6B4C0983" wp14:editId="615934EE">
            <wp:extent cx="2091779" cy="1862666"/>
            <wp:effectExtent l="0" t="0" r="3810" b="4445"/>
            <wp:docPr id="877906737" name="Picture 1" descr="A diagram of a circui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06737" name="Picture 1" descr="A diagram of a circuit  AI-generated content may be incorrect."/>
                    <pic:cNvPicPr/>
                  </pic:nvPicPr>
                  <pic:blipFill>
                    <a:blip r:embed="rId13"/>
                    <a:stretch>
                      <a:fillRect/>
                    </a:stretch>
                  </pic:blipFill>
                  <pic:spPr>
                    <a:xfrm>
                      <a:off x="0" y="0"/>
                      <a:ext cx="2113946" cy="1882405"/>
                    </a:xfrm>
                    <a:prstGeom prst="rect">
                      <a:avLst/>
                    </a:prstGeom>
                  </pic:spPr>
                </pic:pic>
              </a:graphicData>
            </a:graphic>
          </wp:inline>
        </w:drawing>
      </w:r>
    </w:p>
    <w:p w14:paraId="72B7C0B6" w14:textId="06377370" w:rsidR="004B236F" w:rsidRDefault="00881B8F" w:rsidP="00881B8F">
      <w:pPr>
        <w:pStyle w:val="Caption"/>
        <w:jc w:val="center"/>
        <w:rPr>
          <w:color w:val="000000"/>
        </w:rPr>
      </w:pPr>
      <w:r>
        <w:t xml:space="preserve">Figure </w:t>
        <w:fldChar w:fldCharType="begin"/>
        <w:instrText xml:space="preserve"> SEQ Figure \* ARABIC </w:instrText>
        <w:fldChar w:fldCharType="separate"/>
      </w:r>
      <w:r>
        <w:rPr>
          <w:noProof/>
        </w:rPr>
        <w:t>5</w:t>
      </w:r>
      <w:r>
        <w:fldChar w:fldCharType="end"/>
        <w:t xml:space="preserve"> Equivalent circuit models adopted for electrochemical cells [12].</w:t>
      </w:r>
    </w:p>
    <w:p w14:paraId="6B782850" w14:textId="77777777" w:rsidR="004B236F" w:rsidRDefault="004B236F" w:rsidP="007A589A">
      <w:pPr>
        <w:pBdr>
          <w:top w:val="nil"/>
          <w:left w:val="nil"/>
          <w:bottom w:val="nil"/>
          <w:right w:val="nil"/>
          <w:between w:val="nil"/>
        </w:pBdr>
        <w:spacing w:before="180" w:after="180" w:line="276" w:lineRule="auto"/>
        <w:rPr>
          <w:color w:val="000000"/>
        </w:rPr>
      </w:pPr>
    </w:p>
    <w:p w14:paraId="45EA908A" w14:textId="77E5E7D9" w:rsidR="007C4E9E" w:rsidRDefault="00440DFF" w:rsidP="00460B29">
      <w:pPr>
        <w:pBdr>
          <w:top w:val="nil"/>
          <w:left w:val="nil"/>
          <w:bottom w:val="nil"/>
          <w:right w:val="nil"/>
          <w:between w:val="nil"/>
        </w:pBdr>
        <w:spacing w:before="180" w:after="180" w:line="276" w:lineRule="auto"/>
        <w:jc w:val="both"/>
      </w:pPr>
      <w:r>
        <w:t xml:space="preserve">where the reference curve </w:t>
      </w:r>
      <m:oMath>
        <m:sSubSup>
          <m:sSubSupPr>
            <m:ctrlPr>
              <w:rPr>
                <w:rFonts w:ascii="Cambria Math" w:hAnsi="Cambria Math"/>
              </w:rPr>
            </m:ctrlPr>
          </m:sSubSupPr>
          <m:e>
            <m:r>
              <w:rPr>
                <w:rFonts w:ascii="Cambria Math" w:hAnsi="Cambria Math"/>
              </w:rPr>
              <m:t>V</m:t>
            </m:r>
          </m:e>
          <m:sub>
            <m:r>
              <m:rPr>
                <m:sty m:val="p"/>
              </m:rPr>
              <w:rPr>
                <w:rFonts w:ascii="Cambria Math" w:hAnsi="Cambria Math"/>
              </w:rPr>
              <m:t>OC</m:t>
            </m:r>
          </m:sub>
          <m:sup>
            <m:r>
              <m:rPr>
                <m:sty m:val="p"/>
              </m:rPr>
              <w:rPr>
                <w:rFonts w:ascii="Cambria Math" w:hAnsi="Cambria Math"/>
              </w:rPr>
              <m:t>ref</m:t>
            </m:r>
          </m:sup>
        </m:sSubSup>
      </m:oMath>
      <w:r>
        <w:t xml:space="preserve"> is the charge branch when the SoC increases and the discharge branch otherwise, each branch being fitted by an eighth-order polynomial in SoC [11], and </w:t>
      </w:r>
      <m:oMath>
        <m:sSub>
          <m:sSubPr>
            <m:ctrlPr>
              <w:rPr>
                <w:rFonts w:ascii="Cambria Math" w:hAnsi="Cambria Math"/>
              </w:rPr>
            </m:ctrlPr>
          </m:sSubPr>
          <m:e>
            <m:r>
              <w:rPr>
                <w:rFonts w:ascii="Cambria Math" w:hAnsi="Cambria Math"/>
              </w:rPr>
              <m:t>m</m:t>
            </m:r>
          </m:e>
          <m:sub>
            <m:r>
              <m:rPr>
                <m:sty m:val="p"/>
              </m:rPr>
              <w:rPr>
                <w:rFonts w:ascii="Cambria Math" w:hAnsi="Cambria Math"/>
              </w:rPr>
              <m:t>hyst</m:t>
            </m:r>
          </m:sub>
        </m:sSub>
        <m:r>
          <w:rPr>
            <w:rFonts w:ascii="Cambria Math" w:hAnsi="Cambria Math"/>
          </w:rPr>
          <m:t>=150</m:t>
        </m:r>
      </m:oMath>
      <w:r>
        <w:t xml:space="preserve"> governs the transition rate. The cell parameters </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=8 </m:t>
        </m:r>
        <m:r>
          <m:rPr>
            <m:sty m:val="p"/>
          </m:rPr>
          <w:rPr>
            <w:rFonts w:ascii="Cambria Math" w:hAnsi="Cambria Math"/>
          </w:rPr>
          <m:t>mΩ</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=6 </m:t>
        </m:r>
        <m:r>
          <m:rPr>
            <m:sty m:val="p"/>
          </m:rPr>
          <w:rPr>
            <w:rFonts w:ascii="Cambria Math" w:hAnsi="Cambria Math"/>
          </w:rPr>
          <m:t>mΩ</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=30 000</m:t>
        </m:r>
      </m:oMath>
      <w:r>
        <w:t xml:space="preserve"> F are taken from [11] and scaled to pack level by the series/parallel arrangement; the RC time constant is invariant under this scaling. The SoC operating window is constrained to </w:t>
      </w:r>
      <m:oMath>
        <m:r>
          <w:rPr>
            <w:rFonts w:ascii="Cambria Math" w:hAnsi="Cambria Math"/>
          </w:rPr>
          <m:t>[0.20, 0.95]</m:t>
        </m:r>
      </m:oMath>
      <w:r>
        <w:t xml:space="preserve"> to limit degradation, the trip starts from the fully charged plug-in condition </w:t>
      </w:r>
      <m:oMath>
        <m:sSub>
          <m:sSubPr>
            <m:ctrlPr>
              <w:rPr>
                <w:rFonts w:ascii="Cambria Math" w:hAnsi="Cambria Math"/>
              </w:rPr>
            </m:ctrlPr>
          </m:sSubPr>
          <m:e>
            <m:r>
              <m:rPr>
                <m:sty m:val="p"/>
              </m:rPr>
              <w:rPr>
                <w:rFonts w:ascii="Cambria Math" w:hAnsi="Cambria Math"/>
              </w:rPr>
              <m:t>SoC</m:t>
            </m:r>
          </m:e>
          <m:sub>
            <m:r>
              <w:rPr>
                <w:rFonts w:ascii="Cambria Math" w:hAnsi="Cambria Math"/>
              </w:rPr>
              <m:t>0</m:t>
            </m:r>
          </m:sub>
        </m:sSub>
        <m:r>
          <w:rPr>
            <w:rFonts w:ascii="Cambria Math" w:hAnsi="Cambria Math"/>
          </w:rPr>
          <m:t>=0.90</m:t>
        </m:r>
      </m:oMath>
      <w:r>
        <w:t xml:space="preserve">, and the charge-depleting target at the end of the trip is </w:t>
      </w:r>
      <m:oMath>
        <m:sSub>
          <m:sSubPr>
            <m:ctrlPr>
              <w:rPr>
                <w:rFonts w:ascii="Cambria Math" w:hAnsi="Cambria Math"/>
              </w:rPr>
            </m:ctrlPr>
          </m:sSubPr>
          <m:e>
            <m:r>
              <m:rPr>
                <m:sty m:val="p"/>
              </m:rPr>
              <w:rPr>
                <w:rFonts w:ascii="Cambria Math" w:hAnsi="Cambria Math"/>
              </w:rPr>
              <m:t>SoC</m:t>
            </m:r>
          </m:e>
          <m:sub>
            <m:r>
              <m:rPr>
                <m:sty m:val="p"/>
              </m:rPr>
              <w:rPr>
                <w:rFonts w:ascii="Cambria Math" w:hAnsi="Cambria Math"/>
              </w:rPr>
              <m:t>target</m:t>
            </m:r>
          </m:sub>
        </m:sSub>
        <m:r>
          <w:rPr>
            <w:rFonts w:ascii="Cambria Math" w:hAnsi="Cambria Math"/>
          </w:rPr>
          <m:t>=0.25</m:t>
        </m:r>
      </m:oMath>
      <w:r>
        <w:t>.</w:t>
      </w:r>
    </w:p>
    <w:p w14:paraId="565B0440" w14:textId="3B121829" w:rsidR="00094C5F" w:rsidRDefault="00EB2614" w:rsidP="00460B29">
      <w:pPr>
        <w:pBdr>
          <w:top w:val="nil"/>
          <w:left w:val="nil"/>
          <w:bottom w:val="nil"/>
          <w:right w:val="nil"/>
          <w:between w:val="nil"/>
        </w:pBdr>
        <w:spacing w:before="180" w:after="180" w:line="276" w:lineRule="auto"/>
        <w:jc w:val="both"/>
      </w:pPr>
      <w:r>
        <w:t>Following the two-level approach in [14], the detailed model (Eqs. 12–15) is used for the physical simulation. Meantime, the EMS optimization layer uses the simpler Rint model, tracking only the SoC state.</w:t>
      </w:r>
    </w:p>
    <w:p w14:paraId="220525FD" w14:textId="77777777" w:rsidR="0093529B" w:rsidRDefault="0093529B" w:rsidP="000B73EE">
      <w:pPr>
        <w:pStyle w:val="Heading2"/>
        <w:spacing w:line="276" w:lineRule="auto"/>
        <w:jc w:val="both"/>
      </w:pPr>
      <w:bookmarkStart w:id="24" w:name="_Toc232147087"/>
    </w:p>
    <w:p w14:paraId="6E8E2130" w14:textId="36043292" w:rsidR="00C2104C" w:rsidRDefault="006E3D91" w:rsidP="004200CA">
      <w:pPr>
        <w:pStyle w:val="Heading2"/>
        <w:spacing w:line="276" w:lineRule="auto"/>
        <w:jc w:val="both"/>
      </w:pPr>
      <w:r>
        <w:t>3.4. Power Flow Model</w:t>
      </w:r>
      <w:bookmarkEnd w:id="24"/>
    </w:p>
    <w:p w14:paraId="6A645D3A" w14:textId="3D33661D" w:rsidR="0093529B" w:rsidRPr="0093529B" w:rsidRDefault="00C2104C" w:rsidP="004200CA">
      <w:pPr>
        <w:pStyle w:val="FirstParagraph"/>
      </w:pPr>
      <w:r>
        <w:t>The two conversion chains that connect the decision variable to the physical consumption quantities are indicted like. On the fuel cell side, the bus power is referred back to the gross stack power through the converter efficiency and the auxiliary (compressor, cooling, pumping) consumption,</w:t>
      </w:r>
    </w:p>
    <w:tbl>
      <w:tblPr>
        <w:tblStyle w:val="Table"/>
        <w:tblW w:w="9072" w:type="dxa"/>
        <w:tblLayout w:type="fixed"/>
        <w:tblLook w:val="04A0" w:firstRow="1" w:lastRow="0" w:firstColumn="1" w:lastColumn="0" w:noHBand="0" w:noVBand="1"/>
      </w:tblPr>
      <w:tblGrid>
        <w:gridCol w:w="700"/>
        <w:gridCol w:w="7672"/>
        <w:gridCol w:w="700"/>
      </w:tblGrid>
      <w:tr w:rsidR="004200CA" w14:paraId="23D3F068" w14:textId="77777777" w:rsidTr="00D712D5">
        <w:tc>
          <w:tcPr>
            <w:tcW w:w="700" w:type="dxa"/>
            <w:vAlign w:val="center"/>
          </w:tcPr>
          <w:p w14:paraId="21F943D1" w14:textId="77777777" w:rsidR="004200CA" w:rsidRDefault="004200CA" w:rsidP="00D712D5">
            <w:pPr>
              <w:spacing w:after="0"/>
            </w:pPr>
          </w:p>
        </w:tc>
        <w:tc>
          <w:tcPr>
            <w:tcW w:w="7672" w:type="dxa"/>
            <w:vAlign w:val="center"/>
          </w:tcPr>
          <w:p w14:paraId="72AB6BC2" w14:textId="77777777" w:rsidR="004200CA" w:rsidRDefault="004200CA" w:rsidP="00D712D5">
            <w:pPr>
              <w:spacing w:after="0"/>
              <w:jc w:val="center"/>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fc,net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dc</m:t>
                        </m:r>
                      </m:sub>
                    </m:sSub>
                  </m:num>
                  <m:den>
                    <m:sSub>
                      <m:sSubPr>
                        <m:ctrlPr>
                          <w:rPr>
                            <w:rFonts w:ascii="Cambria Math" w:hAnsi="Cambria Math"/>
                          </w:rPr>
                        </m:ctrlPr>
                      </m:sSubPr>
                      <m:e>
                        <m:r>
                          <w:rPr>
                            <w:rFonts w:ascii="Cambria Math" w:hAnsi="Cambria Math"/>
                          </w:rPr>
                          <m:t>η</m:t>
                        </m:r>
                      </m:e>
                      <m:sub>
                        <m:r>
                          <m:rPr>
                            <m:sty m:val="p"/>
                          </m:rPr>
                          <w:rPr>
                            <w:rFonts w:ascii="Cambria Math" w:hAnsi="Cambria Math"/>
                          </w:rPr>
                          <m:t>dc</m:t>
                        </m:r>
                      </m:sub>
                    </m:sSub>
                  </m:den>
                </m:f>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fc,gross</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fc,net</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aux</m:t>
                    </m:r>
                  </m:sub>
                </m:sSub>
                <m:r>
                  <w:rPr>
                    <w:rFonts w:ascii="Cambria Math" w:hAnsi="Cambria Math"/>
                  </w:rPr>
                  <m:t>,</m:t>
                </m:r>
              </m:oMath>
            </m:oMathPara>
          </w:p>
        </w:tc>
        <w:tc>
          <w:tcPr>
            <w:tcW w:w="700" w:type="dxa"/>
            <w:vAlign w:val="center"/>
          </w:tcPr>
          <w:p w14:paraId="3551F294" w14:textId="77777777" w:rsidR="004200CA" w:rsidRDefault="004200CA" w:rsidP="00D712D5">
            <w:pPr>
              <w:spacing w:after="0"/>
              <w:jc w:val="right"/>
            </w:pPr>
            <w:r>
              <w:t>(16)</w:t>
            </w:r>
          </w:p>
        </w:tc>
      </w:tr>
    </w:tbl>
    <w:p w14:paraId="3EDD8E29" w14:textId="77777777" w:rsidR="00FC652F" w:rsidRDefault="00FC652F" w:rsidP="00FC652F"/>
    <w:p w14:paraId="20E1753E" w14:textId="00B25D2B" w:rsidR="00FC652F" w:rsidRDefault="002C1D49" w:rsidP="00490FC2">
      <w:pPr>
        <w:spacing w:line="276" w:lineRule="auto"/>
        <w:jc w:val="both"/>
      </w:pPr>
      <w:r>
        <w:t xml:space="preserve">with </w:t>
      </w:r>
      <m:oMath>
        <m:sSub>
          <m:sSubPr>
            <m:ctrlPr>
              <w:rPr>
                <w:rFonts w:ascii="Cambria Math" w:hAnsi="Cambria Math"/>
              </w:rPr>
            </m:ctrlPr>
          </m:sSubPr>
          <m:e>
            <m:r>
              <w:rPr>
                <w:rFonts w:ascii="Cambria Math" w:hAnsi="Cambria Math"/>
              </w:rPr>
              <m:t>η</m:t>
            </m:r>
          </m:e>
          <m:sub>
            <m:r>
              <m:rPr>
                <m:sty m:val="p"/>
              </m:rPr>
              <w:rPr>
                <w:rFonts w:ascii="Cambria Math" w:hAnsi="Cambria Math"/>
              </w:rPr>
              <m:t>dc</m:t>
            </m:r>
          </m:sub>
        </m:sSub>
        <m:r>
          <w:rPr>
            <w:rFonts w:ascii="Cambria Math" w:hAnsi="Cambria Math"/>
          </w:rPr>
          <m:t>=0.95</m:t>
        </m:r>
      </m:oMath>
      <w:r>
        <w:t xml:space="preserve"> and </w:t>
      </w:r>
      <m:oMath>
        <m:sSub>
          <m:sSubPr>
            <m:ctrlPr>
              <w:rPr>
                <w:rFonts w:ascii="Cambria Math" w:hAnsi="Cambria Math"/>
              </w:rPr>
            </m:ctrlPr>
          </m:sSubPr>
          <m:e>
            <m:r>
              <w:rPr>
                <w:rFonts w:ascii="Cambria Math" w:hAnsi="Cambria Math"/>
              </w:rPr>
              <m:t>P</m:t>
            </m:r>
          </m:e>
          <m:sub>
            <m:r>
              <m:rPr>
                <m:sty m:val="p"/>
              </m:rPr>
              <w:rPr>
                <w:rFonts w:ascii="Cambria Math" w:hAnsi="Cambria Math"/>
              </w:rPr>
              <m:t>aux</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fc,gross</m:t>
            </m:r>
          </m:sub>
        </m:sSub>
        <m:r>
          <w:rPr>
            <w:rFonts w:ascii="Cambria Math" w:hAnsi="Cambria Math"/>
          </w:rPr>
          <m:t>≈0.10</m:t>
        </m:r>
      </m:oMath>
      <w:r>
        <w:t>–</w:t>
      </w:r>
      <m:oMath>
        <m:r>
          <w:rPr>
            <w:rFonts w:ascii="Cambria Math" w:hAnsi="Cambria Math"/>
          </w:rPr>
          <m:t>0.13</m:t>
        </m:r>
      </m:oMath>
      <w:r>
        <w:t xml:space="preserve"> [17]; the gross power of Eq. (16) is converted to the hydrogen mass flow rate by Eq. (11). On the battery side, the terminal power </w:t>
      </w:r>
      <m:oMath>
        <m:sSub>
          <m:sSubPr>
            <m:ctrlPr>
              <w:rPr>
                <w:rFonts w:ascii="Cambria Math" w:hAnsi="Cambria Math"/>
              </w:rPr>
            </m:ctrlPr>
          </m:sSubPr>
          <m:e>
            <m:r>
              <w:rPr>
                <w:rFonts w:ascii="Cambria Math" w:hAnsi="Cambria Math"/>
              </w:rPr>
              <m:t>P</m:t>
            </m:r>
          </m:e>
          <m:sub>
            <m:r>
              <m:rPr>
                <m:sty m:val="p"/>
              </m:rPr>
              <w:rPr>
                <w:rFonts w:ascii="Cambria Math" w:hAnsi="Cambria Math"/>
              </w:rPr>
              <m:t>bat</m:t>
            </m:r>
          </m:sub>
        </m:sSub>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bat</m:t>
            </m:r>
          </m:sub>
        </m:sSub>
        <m:sSub>
          <m:sSubPr>
            <m:ctrlPr>
              <w:rPr>
                <w:rFonts w:ascii="Cambria Math" w:hAnsi="Cambria Math"/>
              </w:rPr>
            </m:ctrlPr>
          </m:sSubPr>
          <m:e>
            <m:r>
              <w:rPr>
                <w:rFonts w:ascii="Cambria Math" w:hAnsi="Cambria Math"/>
              </w:rPr>
              <m:t>I</m:t>
            </m:r>
          </m:e>
          <m:sub>
            <m:r>
              <m:rPr>
                <m:sty m:val="p"/>
              </m:rPr>
              <w:rPr>
                <w:rFonts w:ascii="Cambria Math" w:hAnsi="Cambria Math"/>
              </w:rPr>
              <m:t>bat</m:t>
            </m:r>
          </m:sub>
        </m:sSub>
      </m:oMath>
      <w:r>
        <w:t xml:space="preserve"> is combined with the terminal voltage equation, Eq. (14), results in a quadratic equation for the current. The valid physical solution is:</w:t>
      </w:r>
    </w:p>
    <w:p w14:paraId="4482E07E" w14:textId="77777777" w:rsidR="00214FCD" w:rsidRDefault="00214FCD" w:rsidP="00FC652F"/>
    <w:tbl>
      <w:tblPr>
        <w:tblStyle w:val="Table"/>
        <w:tblW w:w="9072" w:type="dxa"/>
        <w:tblLayout w:type="fixed"/>
        <w:tblLook w:val="04A0" w:firstRow="1" w:lastRow="0" w:firstColumn="1" w:lastColumn="0" w:noHBand="0" w:noVBand="1"/>
      </w:tblPr>
      <w:tblGrid>
        <w:gridCol w:w="700"/>
        <w:gridCol w:w="7672"/>
        <w:gridCol w:w="700"/>
      </w:tblGrid>
      <w:tr w:rsidR="00D21445" w14:paraId="6D56BA81" w14:textId="77777777" w:rsidTr="00D712D5">
        <w:tc>
          <w:tcPr>
            <w:tcW w:w="700" w:type="dxa"/>
            <w:vAlign w:val="center"/>
          </w:tcPr>
          <w:p w14:paraId="0D7C10C0" w14:textId="77777777" w:rsidR="00D21445" w:rsidRDefault="00D21445" w:rsidP="00D712D5">
            <w:pPr>
              <w:spacing w:after="0"/>
            </w:pPr>
          </w:p>
        </w:tc>
        <w:tc>
          <w:tcPr>
            <w:tcW w:w="7672" w:type="dxa"/>
            <w:vAlign w:val="center"/>
          </w:tcPr>
          <w:p w14:paraId="6B9B4879" w14:textId="77777777" w:rsidR="00D21445" w:rsidRDefault="00D21445" w:rsidP="00D712D5">
            <w:pPr>
              <w:spacing w:after="0"/>
              <w:jc w:val="center"/>
            </w:pPr>
            <m:oMathPara>
              <m:oMathParaPr>
                <m:jc m:val="center"/>
              </m:oMathParaPr>
              <m:oMath>
                <m:sSub>
                  <m:sSubPr>
                    <m:ctrlPr>
                      <w:rPr>
                        <w:rFonts w:ascii="Cambria Math" w:hAnsi="Cambria Math"/>
                      </w:rPr>
                    </m:ctrlPr>
                  </m:sSubPr>
                  <m:e>
                    <m:r>
                      <w:rPr>
                        <w:rFonts w:ascii="Cambria Math" w:hAnsi="Cambria Math"/>
                      </w:rPr>
                      <m:t>I</m:t>
                    </m:r>
                  </m:e>
                  <m:sub>
                    <m:r>
                      <m:rPr>
                        <m:sty m:val="p"/>
                      </m:rPr>
                      <w:rPr>
                        <w:rFonts w:ascii="Cambria Math" w:hAnsi="Cambria Math"/>
                      </w:rPr>
                      <m:t>bat</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OC</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RC1</m:t>
                        </m:r>
                      </m:sub>
                    </m:sSub>
                    <m:r>
                      <w:rPr>
                        <w:rFonts w:ascii="Cambria Math" w:hAnsi="Cambria Math"/>
                      </w:rPr>
                      <m:t>)-</m:t>
                    </m:r>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OC</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RC1</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-4</m:t>
                        </m:r>
                        <m:sSub>
                          <m:sSubPr>
                            <m:ctrlPr>
                              <w:rPr>
                                <w:rFonts w:ascii="Cambria Math" w:hAnsi="Cambria Math"/>
                              </w:rPr>
                            </m:ctrlPr>
                          </m:sSubPr>
                          <m:e>
                            <m:r>
                              <w:rPr>
                                <w:rFonts w:ascii="Cambria Math" w:hAnsi="Cambria Math"/>
                              </w:rPr>
                              <m:t>R</m:t>
                            </m:r>
                          </m:e>
                          <m:sub>
                            <m:r>
                              <w:rPr>
                                <w:rFonts w:ascii="Cambria Math" w:hAnsi="Cambria Math"/>
                              </w:rPr>
                              <m:t>s</m:t>
                            </m:r>
                          </m:sub>
                        </m:sSub>
                        <m:sSub>
                          <m:sSubPr>
                            <m:ctrlPr>
                              <w:rPr>
                                <w:rFonts w:ascii="Cambria Math" w:hAnsi="Cambria Math"/>
                              </w:rPr>
                            </m:ctrlPr>
                          </m:sSubPr>
                          <m:e>
                            <m:r>
                              <w:rPr>
                                <w:rFonts w:ascii="Cambria Math" w:hAnsi="Cambria Math"/>
                              </w:rPr>
                              <m:t>P</m:t>
                            </m:r>
                          </m:e>
                          <m:sub>
                            <m:r>
                              <m:rPr>
                                <m:sty m:val="p"/>
                              </m:rPr>
                              <w:rPr>
                                <w:rFonts w:ascii="Cambria Math" w:hAnsi="Cambria Math"/>
                              </w:rPr>
                              <m:t>bat</m:t>
                            </m:r>
                          </m:sub>
                        </m:sSub>
                      </m:e>
                    </m:rad>
                  </m:num>
                  <m:den>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s</m:t>
                        </m:r>
                      </m:sub>
                    </m:sSub>
                  </m:den>
                </m:f>
                <m:r>
                  <w:rPr>
                    <w:rFonts w:ascii="Cambria Math" w:hAnsi="Cambria Math"/>
                  </w:rPr>
                  <m:t>,</m:t>
                </m:r>
              </m:oMath>
            </m:oMathPara>
          </w:p>
        </w:tc>
        <w:tc>
          <w:tcPr>
            <w:tcW w:w="700" w:type="dxa"/>
            <w:vAlign w:val="center"/>
          </w:tcPr>
          <w:p w14:paraId="3F384909" w14:textId="77777777" w:rsidR="00D21445" w:rsidRDefault="00D21445" w:rsidP="00D712D5">
            <w:pPr>
              <w:spacing w:after="0"/>
              <w:jc w:val="right"/>
            </w:pPr>
            <w:r>
              <w:t>(17)</w:t>
            </w:r>
          </w:p>
        </w:tc>
      </w:tr>
    </w:tbl>
    <w:p w14:paraId="62B93E4F" w14:textId="77777777" w:rsidR="00490FC2" w:rsidRDefault="00490FC2" w:rsidP="00FC652F"/>
    <w:p w14:paraId="74A70452" w14:textId="2D61767A" w:rsidR="00D21445" w:rsidRDefault="00C41BDA" w:rsidP="00672979">
      <w:pPr>
        <w:spacing w:line="276" w:lineRule="auto"/>
        <w:jc w:val="both"/>
      </w:pPr>
      <w:r>
        <w:t>and the requirement that the discriminant in Eq. (17) remain non-negative naturally encodes the power capability limit of the pack. Replacing Eq. (17) into the Coulomb counting law gives the complete state dynamics of the optimal control problem,</w:t>
      </w:r>
    </w:p>
    <w:p w14:paraId="102C6320" w14:textId="77777777" w:rsidR="00B72206" w:rsidRDefault="00B72206" w:rsidP="00672979">
      <w:pPr>
        <w:spacing w:line="276" w:lineRule="auto"/>
        <w:jc w:val="both"/>
      </w:pPr>
    </w:p>
    <w:tbl>
      <w:tblPr>
        <w:tblStyle w:val="Table"/>
        <w:tblW w:w="9072" w:type="dxa"/>
        <w:tblLayout w:type="fixed"/>
        <w:tblLook w:val="04A0" w:firstRow="1" w:lastRow="0" w:firstColumn="1" w:lastColumn="0" w:noHBand="0" w:noVBand="1"/>
      </w:tblPr>
      <w:tblGrid>
        <w:gridCol w:w="700"/>
        <w:gridCol w:w="7672"/>
        <w:gridCol w:w="700"/>
      </w:tblGrid>
      <w:tr w:rsidR="00B72206" w14:paraId="2695F4C0" w14:textId="77777777" w:rsidTr="00D712D5">
        <w:tc>
          <w:tcPr>
            <w:tcW w:w="700" w:type="dxa"/>
            <w:vAlign w:val="center"/>
          </w:tcPr>
          <w:p w14:paraId="1C758E42" w14:textId="77777777" w:rsidR="00B72206" w:rsidRDefault="00B72206" w:rsidP="00D712D5">
            <w:pPr>
              <w:spacing w:after="0"/>
            </w:pPr>
          </w:p>
        </w:tc>
        <w:tc>
          <w:tcPr>
            <w:tcW w:w="7672" w:type="dxa"/>
            <w:vAlign w:val="center"/>
          </w:tcPr>
          <w:p w14:paraId="64DF297B" w14:textId="77777777" w:rsidR="00B72206" w:rsidRDefault="00B72206" w:rsidP="00D712D5">
            <w:pPr>
              <w:spacing w:after="0"/>
              <w:jc w:val="center"/>
            </w:pPr>
            <m:oMathPara>
              <m:oMathParaPr>
                <m:jc m:val="center"/>
              </m:oMathParaPr>
              <m:oMath>
                <m:sSub>
                  <m:sSubPr>
                    <m:ctrlPr>
                      <w:rPr>
                        <w:rFonts w:ascii="Cambria Math" w:hAnsi="Cambria Math"/>
                      </w:rPr>
                    </m:ctrlPr>
                  </m:sSubPr>
                  <m:e>
                    <m:r>
                      <m:rPr>
                        <m:sty m:val="p"/>
                      </m:rPr>
                      <w:rPr>
                        <w:rFonts w:ascii="Cambria Math" w:hAnsi="Cambria Math"/>
                      </w:rPr>
                      <m:t>SoC</m:t>
                    </m:r>
                  </m:e>
                  <m:sub>
                    <m:r>
                      <w:rPr>
                        <w:rFonts w:ascii="Cambria Math" w:hAnsi="Cambria Math"/>
                      </w:rPr>
                      <m:t>k+1</m:t>
                    </m:r>
                  </m:sub>
                </m:sSub>
                <m:r>
                  <w:rPr>
                    <w:rFonts w:ascii="Cambria Math" w:hAnsi="Cambria Math"/>
                  </w:rPr>
                  <m:t>=</m:t>
                </m:r>
                <m:sSub>
                  <m:sSubPr>
                    <m:ctrlPr>
                      <w:rPr>
                        <w:rFonts w:ascii="Cambria Math" w:hAnsi="Cambria Math"/>
                      </w:rPr>
                    </m:ctrlPr>
                  </m:sSubPr>
                  <m:e>
                    <m:r>
                      <m:rPr>
                        <m:sty m:val="p"/>
                      </m:rPr>
                      <w:rPr>
                        <w:rFonts w:ascii="Cambria Math" w:hAnsi="Cambria Math"/>
                      </w:rPr>
                      <m:t>SoC</m:t>
                    </m:r>
                  </m:e>
                  <m:sub>
                    <m:r>
                      <w:rPr>
                        <w:rFonts w:ascii="Cambria Math" w:hAnsi="Cambria Math"/>
                      </w:rPr>
                      <m:t>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I</m:t>
                        </m:r>
                      </m:e>
                      <m:sub>
                        <m:r>
                          <m:rPr>
                            <m:sty m:val="p"/>
                          </m:rPr>
                          <w:rPr>
                            <w:rFonts w:ascii="Cambria Math" w:hAnsi="Cambria Math"/>
                          </w:rPr>
                          <m:t>bat</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bat</m:t>
                        </m:r>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SoC</m:t>
                        </m:r>
                      </m:e>
                      <m:sub>
                        <m:r>
                          <w:rPr>
                            <w:rFonts w:ascii="Cambria Math" w:hAnsi="Cambria Math"/>
                          </w:rPr>
                          <m:t>k</m:t>
                        </m:r>
                      </m:sub>
                    </m:sSub>
                    <m:r>
                      <w:rPr>
                        <w:rFonts w:ascii="Cambria Math" w:hAnsi="Cambria Math"/>
                      </w:rPr>
                      <m:t>) Δt</m:t>
                    </m:r>
                  </m:num>
                  <m:den>
                    <m:sSub>
                      <m:sSubPr>
                        <m:ctrlPr>
                          <w:rPr>
                            <w:rFonts w:ascii="Cambria Math" w:hAnsi="Cambria Math"/>
                          </w:rPr>
                        </m:ctrlPr>
                      </m:sSubPr>
                      <m:e>
                        <m:r>
                          <w:rPr>
                            <w:rFonts w:ascii="Cambria Math" w:hAnsi="Cambria Math"/>
                          </w:rPr>
                          <m:t>Q</m:t>
                        </m:r>
                      </m:e>
                      <m:sub>
                        <m:r>
                          <m:rPr>
                            <m:sty m:val="p"/>
                          </m:rPr>
                          <w:rPr>
                            <w:rFonts w:ascii="Cambria Math" w:hAnsi="Cambria Math"/>
                          </w:rPr>
                          <m:t>pack</m:t>
                        </m:r>
                      </m:sub>
                    </m:sSub>
                  </m:den>
                </m:f>
                <m:r>
                  <w:rPr>
                    <w:rFonts w:ascii="Cambria Math" w:hAnsi="Cambria Math"/>
                  </w:rPr>
                  <m:t>,</m:t>
                </m:r>
              </m:oMath>
            </m:oMathPara>
          </w:p>
        </w:tc>
        <w:tc>
          <w:tcPr>
            <w:tcW w:w="700" w:type="dxa"/>
            <w:vAlign w:val="center"/>
          </w:tcPr>
          <w:p w14:paraId="604733AA" w14:textId="77777777" w:rsidR="00B72206" w:rsidRDefault="00B72206" w:rsidP="00D712D5">
            <w:pPr>
              <w:spacing w:after="0"/>
              <w:jc w:val="right"/>
            </w:pPr>
            <w:r>
              <w:t>(18)</w:t>
            </w:r>
          </w:p>
        </w:tc>
      </w:tr>
    </w:tbl>
    <w:p w14:paraId="5D4ADFB8" w14:textId="77777777" w:rsidR="00B72206" w:rsidRDefault="00B72206" w:rsidP="00672979">
      <w:pPr>
        <w:spacing w:line="276" w:lineRule="auto"/>
        <w:jc w:val="both"/>
      </w:pPr>
    </w:p>
    <w:p w14:paraId="7D78004B" w14:textId="77777777" w:rsidR="00EB3004" w:rsidRDefault="00EB3004" w:rsidP="00EB3004">
      <w:pPr>
        <w:pStyle w:val="FirstParagraph"/>
      </w:pPr>
      <w:r>
        <w:t xml:space="preserve">so that the causal chain of the model reads </w:t>
      </w:r>
      <m:oMath>
        <m:sSub>
          <m:sSubPr>
            <m:ctrlPr>
              <w:rPr>
                <w:rFonts w:ascii="Cambria Math" w:hAnsi="Cambria Math"/>
              </w:rPr>
            </m:ctrlPr>
          </m:sSubPr>
          <m:e>
            <m:r>
              <w:rPr>
                <w:rFonts w:ascii="Cambria Math" w:hAnsi="Cambria Math"/>
              </w:rPr>
              <m:t>P</m:t>
            </m:r>
          </m:e>
          <m:sub>
            <m:r>
              <m:rPr>
                <m:sty m:val="p"/>
              </m:rPr>
              <w:rPr>
                <w:rFonts w:ascii="Cambria Math" w:hAnsi="Cambria Math"/>
              </w:rPr>
              <m:t>dc</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bat</m:t>
            </m:r>
          </m:sub>
        </m:sSub>
      </m:oMath>
      <w:r>
        <w:t xml:space="preserve"> by Eq. (2), </w:t>
      </w:r>
      <m:oMath>
        <m:sSub>
          <m:sSubPr>
            <m:ctrlPr>
              <w:rPr>
                <w:rFonts w:ascii="Cambria Math" w:hAnsi="Cambria Math"/>
              </w:rPr>
            </m:ctrlPr>
          </m:sSubPr>
          <m:e>
            <m:r>
              <w:rPr>
                <w:rFonts w:ascii="Cambria Math" w:hAnsi="Cambria Math"/>
              </w:rPr>
              <m:t>P</m:t>
            </m:r>
          </m:e>
          <m:sub>
            <m:r>
              <m:rPr>
                <m:sty m:val="p"/>
              </m:rPr>
              <w:rPr>
                <w:rFonts w:ascii="Cambria Math" w:hAnsi="Cambria Math"/>
              </w:rPr>
              <m:t>bat</m:t>
            </m:r>
          </m:sub>
        </m:sSub>
        <m: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bat</m:t>
            </m:r>
          </m:sub>
        </m:sSub>
      </m:oMath>
      <w:r>
        <w:t xml:space="preserve"> by Eq. (17) and </w:t>
      </w:r>
      <m:oMath>
        <m:sSub>
          <m:sSubPr>
            <m:ctrlPr>
              <w:rPr>
                <w:rFonts w:ascii="Cambria Math" w:hAnsi="Cambria Math"/>
              </w:rPr>
            </m:ctrlPr>
          </m:sSubPr>
          <m:e>
            <m:r>
              <w:rPr>
                <w:rFonts w:ascii="Cambria Math" w:hAnsi="Cambria Math"/>
              </w:rPr>
              <m:t>I</m:t>
            </m:r>
          </m:e>
          <m:sub>
            <m:r>
              <m:rPr>
                <m:sty m:val="p"/>
              </m:rPr>
              <w:rPr>
                <w:rFonts w:ascii="Cambria Math" w:hAnsi="Cambria Math"/>
              </w:rPr>
              <m:t>bat</m:t>
            </m:r>
          </m:sub>
        </m:sSub>
        <m:r>
          <w:rPr>
            <w:rFonts w:ascii="Cambria Math" w:hAnsi="Cambria Math"/>
          </w:rPr>
          <m:t>→</m:t>
        </m:r>
        <m:r>
          <m:rPr>
            <m:sty m:val="p"/>
          </m:rPr>
          <w:rPr>
            <w:rFonts w:ascii="Cambria Math" w:hAnsi="Cambria Math"/>
          </w:rPr>
          <m:t>SoC</m:t>
        </m:r>
      </m:oMath>
      <w:r>
        <w:t xml:space="preserve"> by Eq. (18).</w:t>
      </w:r>
    </w:p>
    <w:p w14:paraId="0AA1FC18" w14:textId="56662AE9" w:rsidR="00214FCD" w:rsidRDefault="00583345" w:rsidP="00574C7C">
      <w:pPr>
        <w:pStyle w:val="BodyText"/>
        <w:spacing w:line="276" w:lineRule="auto"/>
        <w:jc w:val="both"/>
      </w:pPr>
      <w:r>
        <w:lastRenderedPageBreak/>
        <w:t>Particularly, the grid-to-wheel efficiency of the battery path (≈ 0.87) significantly exceeds the peak tank-to-wheel efficiency of the fuel cell (≈ 0.61). Thus, energetically battery usage is always preferable, but the optimal decision is taken on a monetary rather than an energetic basis, which motivates the cost function derived next.</w:t>
      </w:r>
    </w:p>
    <w:p w14:paraId="09F7B17D" w14:textId="77777777" w:rsidR="00214FCD" w:rsidRPr="00FC652F" w:rsidRDefault="00214FCD" w:rsidP="00FC652F"/>
    <w:p w14:paraId="1909C372" w14:textId="577DB947" w:rsidR="000E229F" w:rsidRDefault="000E229F" w:rsidP="000B73EE">
      <w:pPr>
        <w:pStyle w:val="Heading2"/>
        <w:spacing w:line="276" w:lineRule="auto"/>
        <w:jc w:val="both"/>
      </w:pPr>
      <w:bookmarkStart w:id="25" w:name="_Toc232147088"/>
      <w:r>
        <w:t>3.5. Derivation of the Cost Function</w:t>
      </w:r>
      <w:bookmarkEnd w:id="25"/>
    </w:p>
    <w:p w14:paraId="3AE58233" w14:textId="77777777" w:rsidR="00574C7C" w:rsidRDefault="00574C7C" w:rsidP="000B73EE">
      <w:pPr>
        <w:pStyle w:val="Heading2"/>
        <w:spacing w:line="276" w:lineRule="auto"/>
        <w:jc w:val="both"/>
      </w:pPr>
      <w:bookmarkStart w:id="26" w:name="_Toc232147089"/>
    </w:p>
    <w:p w14:paraId="04CD0D10" w14:textId="77777777" w:rsidR="009C7A22" w:rsidRDefault="009C7A22" w:rsidP="009C7A22">
      <w:pPr>
        <w:pStyle w:val="Heading3"/>
      </w:pPr>
      <w:bookmarkStart w:id="27" w:name="hydrogen-consumption-cost"/>
      <w:r>
        <w:t>3.5.1. Hydrogen consumption cost</w:t>
      </w:r>
      <w:bookmarkEnd w:id="27"/>
    </w:p>
    <w:p w14:paraId="275CEE9F" w14:textId="77777777" w:rsidR="00574C7C" w:rsidRDefault="00574C7C" w:rsidP="000B73EE">
      <w:pPr>
        <w:pStyle w:val="Heading2"/>
        <w:spacing w:line="276" w:lineRule="auto"/>
        <w:jc w:val="both"/>
      </w:pPr>
    </w:p>
    <w:p w14:paraId="74A80B84" w14:textId="47AD2017" w:rsidR="00CC1EDC" w:rsidRDefault="00CC1EDC" w:rsidP="00E16D57">
      <w:pPr>
        <w:spacing w:line="276" w:lineRule="auto"/>
        <w:jc w:val="both"/>
      </w:pPr>
      <w:r>
        <w:t xml:space="preserve">Given the hydrogen price </w:t>
      </w:r>
      <m:oMath>
        <m:sSub>
          <m:sSubPr>
            <m:ctrlPr>
              <w:rPr>
                <w:rFonts w:ascii="Cambria Math" w:hAnsi="Cambria Math"/>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oMath>
      <w:r>
        <w:t>in €/kg, the hydrogen cost for one sampling interval is calculated using Eqs. (11) and (16) as a direct function of the decision variable:</w:t>
      </w:r>
    </w:p>
    <w:p w14:paraId="6FD86F9A" w14:textId="77777777" w:rsidR="00345952" w:rsidRDefault="00345952" w:rsidP="00E16D57">
      <w:pPr>
        <w:spacing w:line="276" w:lineRule="auto"/>
        <w:jc w:val="both"/>
      </w:pPr>
    </w:p>
    <w:tbl>
      <w:tblPr>
        <w:tblStyle w:val="Table"/>
        <w:tblW w:w="9072" w:type="dxa"/>
        <w:tblLayout w:type="fixed"/>
        <w:tblLook w:val="04A0" w:firstRow="1" w:lastRow="0" w:firstColumn="1" w:lastColumn="0" w:noHBand="0" w:noVBand="1"/>
      </w:tblPr>
      <w:tblGrid>
        <w:gridCol w:w="700"/>
        <w:gridCol w:w="7672"/>
        <w:gridCol w:w="700"/>
      </w:tblGrid>
      <w:tr w:rsidR="00345952" w14:paraId="33B8D286" w14:textId="77777777" w:rsidTr="00D712D5">
        <w:tc>
          <w:tcPr>
            <w:tcW w:w="700" w:type="dxa"/>
            <w:vAlign w:val="center"/>
          </w:tcPr>
          <w:p w14:paraId="0C744072" w14:textId="77777777" w:rsidR="00345952" w:rsidRDefault="00345952" w:rsidP="00D712D5">
            <w:pPr>
              <w:spacing w:after="0"/>
            </w:pPr>
          </w:p>
        </w:tc>
        <w:tc>
          <w:tcPr>
            <w:tcW w:w="7672" w:type="dxa"/>
            <w:vAlign w:val="center"/>
          </w:tcPr>
          <w:p w14:paraId="62D91A45" w14:textId="77777777" w:rsidR="00345952" w:rsidRDefault="00345952" w:rsidP="00D712D5">
            <w:pPr>
              <w:spacing w:after="0"/>
              <w:jc w:val="center"/>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fc</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dc</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dc</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aux</m:t>
                        </m:r>
                        <m:r>
                          <w:rPr>
                            <w:rFonts w:ascii="Cambria Math" w:hAnsi="Cambria Math"/>
                          </w:rPr>
                          <m:t>,k</m:t>
                        </m:r>
                      </m:sub>
                    </m:sSub>
                  </m:num>
                  <m:den>
                    <m:sSub>
                      <m:sSubPr>
                        <m:ctrlPr>
                          <w:rPr>
                            <w:rFonts w:ascii="Cambria Math" w:hAnsi="Cambria Math"/>
                          </w:rPr>
                        </m:ctrlPr>
                      </m:sSubPr>
                      <m:e>
                        <m:r>
                          <w:rPr>
                            <w:rFonts w:ascii="Cambria Math" w:hAnsi="Cambria Math"/>
                          </w:rPr>
                          <m:t>η</m:t>
                        </m:r>
                      </m:e>
                      <m:sub>
                        <m:r>
                          <m:rPr>
                            <m:sty m:val="p"/>
                          </m:rPr>
                          <w:rPr>
                            <w:rFonts w:ascii="Cambria Math" w:hAnsi="Cambria Math"/>
                          </w:rPr>
                          <m:t>fc</m:t>
                        </m:r>
                      </m:sub>
                    </m:sSub>
                    <m:r>
                      <w:rPr>
                        <w:rFonts w:ascii="Cambria Math" w:hAnsi="Cambria Math"/>
                      </w:rPr>
                      <m:t>(⋅) </m:t>
                    </m:r>
                    <m:sSub>
                      <m:sSubPr>
                        <m:ctrlPr>
                          <w:rPr>
                            <w:rFonts w:ascii="Cambria Math" w:hAnsi="Cambria Math"/>
                          </w:rPr>
                        </m:ctrlPr>
                      </m:sSubPr>
                      <m:e>
                        <m:r>
                          <m:rPr>
                            <m:sty m:val="p"/>
                          </m:rPr>
                          <w:rPr>
                            <w:rFonts w:ascii="Cambria Math" w:hAnsi="Cambria Math"/>
                          </w:rPr>
                          <m:t>LHV</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den>
                </m:f>
                <m:r>
                  <w:rPr>
                    <w:rFonts w:ascii="Cambria Math" w:hAnsi="Cambria Math"/>
                  </w:rPr>
                  <m:t>⋅Δt,</m:t>
                </m:r>
              </m:oMath>
            </m:oMathPara>
          </w:p>
        </w:tc>
        <w:tc>
          <w:tcPr>
            <w:tcW w:w="700" w:type="dxa"/>
            <w:vAlign w:val="center"/>
          </w:tcPr>
          <w:p w14:paraId="3DD1C67F" w14:textId="77777777" w:rsidR="00345952" w:rsidRDefault="00345952" w:rsidP="00D712D5">
            <w:pPr>
              <w:spacing w:after="0"/>
              <w:jc w:val="right"/>
            </w:pPr>
            <w:r>
              <w:t>(19)</w:t>
            </w:r>
          </w:p>
        </w:tc>
      </w:tr>
    </w:tbl>
    <w:p w14:paraId="3DC011B6" w14:textId="77777777" w:rsidR="00345952" w:rsidRDefault="00345952" w:rsidP="00E16D57">
      <w:pPr>
        <w:spacing w:line="276" w:lineRule="auto"/>
        <w:jc w:val="both"/>
      </w:pPr>
    </w:p>
    <w:p w14:paraId="1F3748EE" w14:textId="07243561" w:rsidR="004569EA" w:rsidRDefault="004569EA" w:rsidP="004569EA">
      <w:pPr>
        <w:pStyle w:val="FirstParagraph"/>
      </w:pPr>
      <w:r>
        <w:t>which is non-negative for every meaningful decision and independent of the battery state.</w:t>
      </w:r>
    </w:p>
    <w:p w14:paraId="22008EA2" w14:textId="77777777" w:rsidR="00345952" w:rsidRDefault="00345952" w:rsidP="00E16D57">
      <w:pPr>
        <w:spacing w:line="276" w:lineRule="auto"/>
        <w:jc w:val="both"/>
      </w:pPr>
    </w:p>
    <w:p w14:paraId="33740D78" w14:textId="77777777" w:rsidR="001A6267" w:rsidRDefault="001A6267" w:rsidP="001A6267">
      <w:pPr>
        <w:pStyle w:val="Heading3"/>
      </w:pPr>
      <w:bookmarkStart w:id="28" w:name="electricity-consumption-cost"/>
      <w:r>
        <w:t>3.5.2. Electricity consumption cost</w:t>
      </w:r>
      <w:bookmarkEnd w:id="28"/>
    </w:p>
    <w:p w14:paraId="630A6A0D" w14:textId="77777777" w:rsidR="005141B9" w:rsidRDefault="005141B9" w:rsidP="00E16D57">
      <w:pPr>
        <w:spacing w:line="276" w:lineRule="auto"/>
        <w:jc w:val="both"/>
      </w:pPr>
    </w:p>
    <w:p w14:paraId="6A9B224E" w14:textId="681A8314" w:rsidR="001A6267" w:rsidRDefault="0022283A" w:rsidP="00E16D57">
      <w:pPr>
        <w:spacing w:line="276" w:lineRule="auto"/>
        <w:jc w:val="both"/>
      </w:pPr>
      <w:r>
        <w:t xml:space="preserve">In the plug-in charge-depleting scenario, the energy drawn from the </w:t>
      </w:r>
      <w:r>
        <w:rPr>
          <w:color w:val="000000"/>
        </w:rPr>
        <w:t xml:space="preserve">lithium-ion </w:t>
      </w:r>
      <w:r>
        <w:t>battery originates from the grid, not from fuel cell; the classical equivalence-factor interpretation of ECMS is therefore replaced by the direct monetary valuation of grid electricity, following Xu et al. [4] and the plug-in literature [18], [19]. Since energy is lost during both charging and discharging, the optimization algorithm must apply different weights to these two power flows. This is captured by the direction-dependent round-trip efficiency</w:t>
      </w:r>
    </w:p>
    <w:p w14:paraId="369A5833" w14:textId="77777777" w:rsidR="00F841EA" w:rsidRDefault="00F841EA" w:rsidP="00E16D57">
      <w:pPr>
        <w:spacing w:line="276" w:lineRule="auto"/>
        <w:jc w:val="both"/>
      </w:pPr>
    </w:p>
    <w:tbl>
      <w:tblPr>
        <w:tblStyle w:val="Table"/>
        <w:tblW w:w="9072" w:type="dxa"/>
        <w:tblLayout w:type="fixed"/>
        <w:tblLook w:val="04A0" w:firstRow="1" w:lastRow="0" w:firstColumn="1" w:lastColumn="0" w:noHBand="0" w:noVBand="1"/>
      </w:tblPr>
      <w:tblGrid>
        <w:gridCol w:w="700"/>
        <w:gridCol w:w="7672"/>
        <w:gridCol w:w="700"/>
      </w:tblGrid>
      <w:tr w:rsidR="006A34EE" w14:paraId="35E29097" w14:textId="77777777" w:rsidTr="006A34EE">
        <w:trPr>
          <w:trHeight w:val="638"/>
        </w:trPr>
        <w:tc>
          <w:tcPr>
            <w:tcW w:w="700" w:type="dxa"/>
            <w:vAlign w:val="center"/>
          </w:tcPr>
          <w:p w14:paraId="2452FDB1" w14:textId="77777777" w:rsidR="006A34EE" w:rsidRDefault="006A34EE" w:rsidP="00D712D5">
            <w:pPr>
              <w:spacing w:after="0"/>
            </w:pPr>
          </w:p>
        </w:tc>
        <w:tc>
          <w:tcPr>
            <w:tcW w:w="7672" w:type="dxa"/>
            <w:vAlign w:val="center"/>
          </w:tcPr>
          <w:p w14:paraId="1EDB23D4" w14:textId="77777777" w:rsidR="006A34EE" w:rsidRDefault="006A34EE" w:rsidP="00D712D5">
            <w:pPr>
              <w:spacing w:after="0"/>
              <w:jc w:val="center"/>
            </w:pPr>
            <m:oMathPara>
              <m:oMathParaPr>
                <m:jc m:val="center"/>
              </m:oMathParaPr>
              <m:oMath>
                <m:sSub>
                  <m:sSubPr>
                    <m:ctrlPr>
                      <w:rPr>
                        <w:rFonts w:ascii="Cambria Math" w:hAnsi="Cambria Math"/>
                      </w:rPr>
                    </m:ctrlPr>
                  </m:sSubPr>
                  <m:e>
                    <m:r>
                      <w:rPr>
                        <w:rFonts w:ascii="Cambria Math" w:hAnsi="Cambria Math"/>
                      </w:rPr>
                      <m:t>η</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bat</m:t>
                    </m:r>
                  </m:sub>
                </m:sSub>
                <m: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dis</m:t>
                    </m:r>
                  </m:sub>
                </m:sSub>
                <m:r>
                  <w:rPr>
                    <w:rFonts w:ascii="Cambria Math" w:hAnsi="Cambria Math"/>
                  </w:rPr>
                  <m:t> </m:t>
                </m:r>
                <m:sSub>
                  <m:sSubPr>
                    <m:ctrlPr>
                      <w:rPr>
                        <w:rFonts w:ascii="Cambria Math" w:hAnsi="Cambria Math"/>
                      </w:rPr>
                    </m:ctrlPr>
                  </m:sSubPr>
                  <m:e>
                    <m:r>
                      <w:rPr>
                        <w:rFonts w:ascii="Cambria Math" w:hAnsi="Cambria Math"/>
                      </w:rPr>
                      <m:t>η</m:t>
                    </m:r>
                  </m:e>
                  <m:sub>
                    <m:r>
                      <m:rPr>
                        <m:sty m:val="p"/>
                      </m:rPr>
                      <w:rPr>
                        <w:rFonts w:ascii="Cambria Math" w:hAnsi="Cambria Math"/>
                      </w:rPr>
                      <m:t>chg</m:t>
                    </m:r>
                  </m:sub>
                </m:sSub>
                <m:sSup>
                  <m:sSupPr>
                    <m:ctrlPr>
                      <w:rPr>
                        <w:rFonts w:ascii="Cambria Math" w:hAnsi="Cambria Math"/>
                      </w:rPr>
                    </m:ctrlPr>
                  </m:sSupPr>
                  <m:e>
                    <m:r>
                      <w:rPr>
                        <w:rFonts w:ascii="Cambria Math" w:hAnsi="Cambria Math"/>
                      </w:rPr>
                      <m:t>)</m:t>
                    </m:r>
                  </m:e>
                  <m:sup>
                    <m:r>
                      <m:rPr>
                        <m:sty m:val="p"/>
                      </m:rPr>
                      <w:rPr>
                        <w:rFonts w:ascii="Cambria Math" w:hAnsi="Cambria Math"/>
                      </w:rPr>
                      <m:t>sgn</m:t>
                    </m:r>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bat</m:t>
                        </m:r>
                      </m:sub>
                    </m:sSub>
                    <m:r>
                      <w:rPr>
                        <w:rFonts w:ascii="Cambria Math" w:hAnsi="Cambria Math"/>
                      </w:rPr>
                      <m:t>)</m:t>
                    </m:r>
                  </m:sup>
                </m:sSup>
                <m:r>
                  <w:rPr>
                    <w:rFonts w:ascii="Cambria Math" w:hAnsi="Cambria Math"/>
                  </w:rPr>
                  <m:t>,</m:t>
                </m:r>
              </m:oMath>
            </m:oMathPara>
          </w:p>
        </w:tc>
        <w:tc>
          <w:tcPr>
            <w:tcW w:w="700" w:type="dxa"/>
            <w:vAlign w:val="center"/>
          </w:tcPr>
          <w:p w14:paraId="57FA3C27" w14:textId="77777777" w:rsidR="006A34EE" w:rsidRDefault="006A34EE" w:rsidP="00D712D5">
            <w:pPr>
              <w:spacing w:after="0"/>
              <w:jc w:val="right"/>
            </w:pPr>
            <w:r>
              <w:t>(20)</w:t>
            </w:r>
          </w:p>
        </w:tc>
      </w:tr>
    </w:tbl>
    <w:p w14:paraId="2C2DEBF1" w14:textId="77777777" w:rsidR="009C7A22" w:rsidRPr="009C7A22" w:rsidRDefault="009C7A22" w:rsidP="009C7A22"/>
    <w:p w14:paraId="462C22BB" w14:textId="77777777" w:rsidR="00FC7DFB" w:rsidRDefault="00FC7DFB" w:rsidP="00FC7DFB">
      <w:pPr>
        <w:pStyle w:val="FirstParagraph"/>
      </w:pPr>
      <w:r>
        <w:t>so that during discharge (</w:t>
      </w:r>
      <m:oMath>
        <m:sSub>
          <m:sSubPr>
            <m:ctrlPr>
              <w:rPr>
                <w:rFonts w:ascii="Cambria Math" w:hAnsi="Cambria Math"/>
              </w:rPr>
            </m:ctrlPr>
          </m:sSubPr>
          <m:e>
            <m:r>
              <w:rPr>
                <w:rFonts w:ascii="Cambria Math" w:hAnsi="Cambria Math"/>
              </w:rPr>
              <m:t>P</m:t>
            </m:r>
          </m:e>
          <m:sub>
            <m:r>
              <m:rPr>
                <m:sty m:val="p"/>
              </m:rPr>
              <w:rPr>
                <w:rFonts w:ascii="Cambria Math" w:hAnsi="Cambria Math"/>
              </w:rPr>
              <m:t>bat</m:t>
            </m:r>
          </m:sub>
        </m:sSub>
        <m:r>
          <w:rPr>
            <w:rFonts w:ascii="Cambria Math" w:hAnsi="Cambria Math"/>
          </w:rPr>
          <m:t>&gt;0</m:t>
        </m:r>
      </m:oMath>
      <w:r>
        <w:t>) the grid energy originally invested per unit of bus energy exceeds unity, while during charging (</w:t>
      </w:r>
      <m:oMath>
        <m:sSub>
          <m:sSubPr>
            <m:ctrlPr>
              <w:rPr>
                <w:rFonts w:ascii="Cambria Math" w:hAnsi="Cambria Math"/>
              </w:rPr>
            </m:ctrlPr>
          </m:sSubPr>
          <m:e>
            <m:r>
              <w:rPr>
                <w:rFonts w:ascii="Cambria Math" w:hAnsi="Cambria Math"/>
              </w:rPr>
              <m:t>P</m:t>
            </m:r>
          </m:e>
          <m:sub>
            <m:r>
              <m:rPr>
                <m:sty m:val="p"/>
              </m:rPr>
              <w:rPr>
                <w:rFonts w:ascii="Cambria Math" w:hAnsi="Cambria Math"/>
              </w:rPr>
              <m:t>bat</m:t>
            </m:r>
          </m:sub>
        </m:sSub>
        <m:r>
          <w:rPr>
            <w:rFonts w:ascii="Cambria Math" w:hAnsi="Cambria Math"/>
          </w:rPr>
          <m:t>&lt;0</m:t>
        </m:r>
      </m:oMath>
      <w:r>
        <w:t xml:space="preserve">) only the recoverable fraction of the absorbed energy is credited. With the electricity price </w:t>
      </w:r>
      <m:oMath>
        <m:sSub>
          <m:sSubPr>
            <m:ctrlPr>
              <w:rPr>
                <w:rFonts w:ascii="Cambria Math" w:hAnsi="Cambria Math"/>
              </w:rPr>
            </m:ctrlPr>
          </m:sSubPr>
          <m:e>
            <m:r>
              <w:rPr>
                <w:rFonts w:ascii="Cambria Math" w:hAnsi="Cambria Math"/>
              </w:rPr>
              <m:t>M</m:t>
            </m:r>
          </m:e>
          <m:sub>
            <m:r>
              <m:rPr>
                <m:sty m:val="p"/>
              </m:rPr>
              <w:rPr>
                <w:rFonts w:ascii="Cambria Math" w:hAnsi="Cambria Math"/>
              </w:rPr>
              <m:t>ele</m:t>
            </m:r>
          </m:sub>
        </m:sSub>
      </m:oMath>
      <w:r>
        <w:t xml:space="preserve"> converted to SI units, the per-step electricity cost reads</w:t>
      </w:r>
    </w:p>
    <w:p w14:paraId="27EF2A62" w14:textId="77777777" w:rsidR="00FC7DFB" w:rsidRDefault="00FC7DFB" w:rsidP="00FC7DFB">
      <w:pPr>
        <w:pStyle w:val="BodyText"/>
      </w:pPr>
    </w:p>
    <w:tbl>
      <w:tblPr>
        <w:tblStyle w:val="Table"/>
        <w:tblW w:w="9072" w:type="dxa"/>
        <w:tblLayout w:type="fixed"/>
        <w:tblLook w:val="04A0" w:firstRow="1" w:lastRow="0" w:firstColumn="1" w:lastColumn="0" w:noHBand="0" w:noVBand="1"/>
      </w:tblPr>
      <w:tblGrid>
        <w:gridCol w:w="700"/>
        <w:gridCol w:w="7672"/>
        <w:gridCol w:w="700"/>
      </w:tblGrid>
      <w:tr w:rsidR="005F5B77" w14:paraId="2BF3D56B" w14:textId="77777777" w:rsidTr="00D712D5">
        <w:tc>
          <w:tcPr>
            <w:tcW w:w="700" w:type="dxa"/>
            <w:vAlign w:val="center"/>
          </w:tcPr>
          <w:p w14:paraId="395E1EF7" w14:textId="77777777" w:rsidR="005F5B77" w:rsidRDefault="005F5B77" w:rsidP="00D712D5">
            <w:pPr>
              <w:spacing w:after="0"/>
            </w:pPr>
          </w:p>
        </w:tc>
        <w:tc>
          <w:tcPr>
            <w:tcW w:w="7672" w:type="dxa"/>
            <w:vAlign w:val="center"/>
          </w:tcPr>
          <w:p w14:paraId="6AD6CF55" w14:textId="77777777" w:rsidR="005F5B77" w:rsidRDefault="005F5B77" w:rsidP="00D712D5">
            <w:pPr>
              <w:spacing w:after="0"/>
              <w:jc w:val="center"/>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bat</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ele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bat</m:t>
                        </m:r>
                        <m:r>
                          <w:rPr>
                            <w:rFonts w:ascii="Cambria Math" w:hAnsi="Cambria Math"/>
                          </w:rPr>
                          <m:t>,k</m:t>
                        </m:r>
                      </m:sub>
                    </m:sSub>
                  </m:num>
                  <m:den>
                    <m:sSub>
                      <m:sSubPr>
                        <m:ctrlPr>
                          <w:rPr>
                            <w:rFonts w:ascii="Cambria Math" w:hAnsi="Cambria Math"/>
                          </w:rPr>
                        </m:ctrlPr>
                      </m:sSubPr>
                      <m:e>
                        <m:r>
                          <w:rPr>
                            <w:rFonts w:ascii="Cambria Math" w:hAnsi="Cambria Math"/>
                          </w:rPr>
                          <m:t>η</m:t>
                        </m:r>
                      </m:e>
                      <m:sub>
                        <m:r>
                          <m:rPr>
                            <m:sty m:val="p"/>
                          </m:rPr>
                          <w:rPr>
                            <w:rFonts w:ascii="Cambria Math" w:hAnsi="Cambria Math"/>
                          </w:rPr>
                          <m:t>eff</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bat</m:t>
                        </m:r>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SoC</m:t>
                        </m:r>
                      </m:e>
                      <m:sub>
                        <m:r>
                          <w:rPr>
                            <w:rFonts w:ascii="Cambria Math" w:hAnsi="Cambria Math"/>
                          </w:rPr>
                          <m:t>k</m:t>
                        </m:r>
                      </m:sub>
                    </m:sSub>
                    <m:r>
                      <w:rPr>
                        <w:rFonts w:ascii="Cambria Math" w:hAnsi="Cambria Math"/>
                      </w:rPr>
                      <m:t>)</m:t>
                    </m:r>
                  </m:den>
                </m:f>
                <m:r>
                  <w:rPr>
                    <w:rFonts w:ascii="Cambria Math" w:hAnsi="Cambria Math"/>
                  </w:rPr>
                  <m:t>⋅Δt,</m:t>
                </m:r>
              </m:oMath>
            </m:oMathPara>
          </w:p>
        </w:tc>
        <w:tc>
          <w:tcPr>
            <w:tcW w:w="700" w:type="dxa"/>
            <w:vAlign w:val="center"/>
          </w:tcPr>
          <w:p w14:paraId="4DDCD568" w14:textId="77777777" w:rsidR="005F5B77" w:rsidRDefault="005F5B77" w:rsidP="00D712D5">
            <w:pPr>
              <w:spacing w:after="0"/>
              <w:jc w:val="right"/>
            </w:pPr>
            <w:r>
              <w:t>(21)</w:t>
            </w:r>
          </w:p>
        </w:tc>
      </w:tr>
    </w:tbl>
    <w:p w14:paraId="4C69C94B" w14:textId="77777777" w:rsidR="00FC7DFB" w:rsidRPr="00FC7DFB" w:rsidRDefault="00FC7DFB" w:rsidP="00FC7DFB">
      <w:pPr>
        <w:pStyle w:val="BodyText"/>
      </w:pPr>
    </w:p>
    <w:p w14:paraId="7DB19716" w14:textId="77777777" w:rsidR="00F1779F" w:rsidRDefault="00F72A1F" w:rsidP="00F1779F">
      <w:pPr>
        <w:pStyle w:val="FirstParagraph"/>
      </w:pPr>
      <w:r>
        <w:lastRenderedPageBreak/>
        <w:t xml:space="preserve">which, unlike Eq. (19), depends on both the decision and the state and becomes negative whenever the battery is being charged, thus crediting recuperated energy at its grid-equivalent value. The efficiencies </w:t>
      </w:r>
      <m:oMath>
        <m:sSub>
          <m:sSubPr>
            <m:ctrlPr>
              <w:rPr>
                <w:rFonts w:ascii="Cambria Math" w:hAnsi="Cambria Math"/>
              </w:rPr>
            </m:ctrlPr>
          </m:sSubPr>
          <m:e>
            <m:r>
              <w:rPr>
                <w:rFonts w:ascii="Cambria Math" w:hAnsi="Cambria Math"/>
              </w:rPr>
              <m:t>η</m:t>
            </m:r>
          </m:e>
          <m:sub>
            <m:r>
              <m:rPr>
                <m:sty m:val="p"/>
              </m:rPr>
              <w:rPr>
                <w:rFonts w:ascii="Cambria Math" w:hAnsi="Cambria Math"/>
              </w:rPr>
              <m:t>dis</m:t>
            </m:r>
          </m:sub>
        </m:sSub>
      </m:oMath>
      <w:r>
        <w:rPr>
          <w:rFonts w:eastAsiaTheme="minorEastAsia"/>
        </w:rPr>
        <w:t xml:space="preserve"> </w:t>
      </w:r>
      <w:r>
        <w:t xml:space="preserve">and  </w:t>
      </w:r>
      <m:oMath>
        <m:sSub>
          <m:sSubPr>
            <m:ctrlPr>
              <w:rPr>
                <w:rFonts w:ascii="Cambria Math" w:hAnsi="Cambria Math"/>
              </w:rPr>
            </m:ctrlPr>
          </m:sSubPr>
          <m:e>
            <m:r>
              <w:rPr>
                <w:rFonts w:ascii="Cambria Math" w:hAnsi="Cambria Math"/>
              </w:rPr>
              <m:t>η</m:t>
            </m:r>
          </m:e>
          <m:sub>
            <m:r>
              <m:rPr>
                <m:sty m:val="p"/>
              </m:rPr>
              <w:rPr>
                <w:rFonts w:ascii="Cambria Math" w:hAnsi="Cambria Math"/>
              </w:rPr>
              <m:t>chg</m:t>
            </m:r>
          </m:sub>
        </m:sSub>
      </m:oMath>
      <w:r>
        <w:t xml:space="preserve">are not constants but rely on the terminal-to-open-circuit voltage ratio. To optimize the simulator, they are pre-calculated offline and stored as lookup tables based on SoC and power. The initial plug-in charge itself does not enter the cost functional; it is represented by the boundary conditions </w:t>
      </w:r>
      <m:oMath>
        <m:sSub>
          <m:sSubPr>
            <m:ctrlPr>
              <w:rPr>
                <w:rFonts w:ascii="Cambria Math" w:hAnsi="Cambria Math"/>
              </w:rPr>
            </m:ctrlPr>
          </m:sSubPr>
          <m:e>
            <m:r>
              <m:rPr>
                <m:sty m:val="p"/>
              </m:rPr>
              <w:rPr>
                <w:rFonts w:ascii="Cambria Math" w:hAnsi="Cambria Math"/>
              </w:rPr>
              <m:t>SoC</m:t>
            </m:r>
          </m:e>
          <m:sub>
            <m:r>
              <w:rPr>
                <w:rFonts w:ascii="Cambria Math" w:hAnsi="Cambria Math"/>
              </w:rPr>
              <m:t>0</m:t>
            </m:r>
          </m:sub>
        </m:sSub>
        <m:r>
          <w:rPr>
            <w:rFonts w:ascii="Cambria Math" w:hAnsi="Cambria Math"/>
          </w:rPr>
          <m:t>=0.90</m:t>
        </m:r>
      </m:oMath>
      <w:r>
        <w:t xml:space="preserve"> and </w:t>
      </w:r>
      <m:oMath>
        <m:sSub>
          <m:sSubPr>
            <m:ctrlPr>
              <w:rPr>
                <w:rFonts w:ascii="Cambria Math" w:hAnsi="Cambria Math"/>
              </w:rPr>
            </m:ctrlPr>
          </m:sSubPr>
          <m:e>
            <m:r>
              <m:rPr>
                <m:sty m:val="p"/>
              </m:rPr>
              <w:rPr>
                <w:rFonts w:ascii="Cambria Math" w:hAnsi="Cambria Math"/>
              </w:rPr>
              <m:t>SoC</m:t>
            </m:r>
          </m:e>
          <m:sub>
            <m:r>
              <m:rPr>
                <m:sty m:val="p"/>
              </m:rPr>
              <w:rPr>
                <w:rFonts w:ascii="Cambria Math" w:hAnsi="Cambria Math"/>
              </w:rPr>
              <m:t>target</m:t>
            </m:r>
          </m:sub>
        </m:sSub>
        <m:r>
          <w:rPr>
            <w:rFonts w:ascii="Cambria Math" w:hAnsi="Cambria Math"/>
          </w:rPr>
          <m:t>=0.25</m:t>
        </m:r>
      </m:oMath>
      <w:r>
        <w:t xml:space="preserve">.</w:t>
      </w:r>
      <w:r>
        <w:rPr>
          <w:b/>
          <w:i/>
          <w:color w:val="FF0000"/>
        </w:rPr>
        <w:t xml:space="preserve"> Representative charge-depleting SoC trajectories obtained with different strategy classes are shown in Figure 6.</w:t>
      </w:r>
      <w:r>
        <w:t xml:space="preserve"/>
      </w:r>
    </w:p>
    <w:p w14:paraId="1A73E8D8" w14:textId="77777777" w:rsidR="00115470" w:rsidRDefault="00115470" w:rsidP="00115470">
      <w:pPr>
        <w:pStyle w:val="BodyText"/>
        <w:keepNext/>
        <w:jc w:val="center"/>
      </w:pPr>
      <w:r>
        <w:drawing>
          <wp:inline distT="0" distB="0" distL="0" distR="0" wp14:anchorId="0E3F6D3B" wp14:editId="641FD5D5">
            <wp:extent cx="2683510" cy="2052740"/>
            <wp:effectExtent l="0" t="0" r="0" b="5080"/>
            <wp:docPr id="1878919966" name="Picture 1" descr="A graph of a graph of a functio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19966" name="Picture 1" descr="A graph of a graph of a function  AI-generated content may be incorrect."/>
                    <pic:cNvPicPr/>
                  </pic:nvPicPr>
                  <pic:blipFill>
                    <a:blip r:embed="rId14"/>
                    <a:stretch>
                      <a:fillRect/>
                    </a:stretch>
                  </pic:blipFill>
                  <pic:spPr>
                    <a:xfrm>
                      <a:off x="0" y="0"/>
                      <a:ext cx="2726407" cy="2085554"/>
                    </a:xfrm>
                    <a:prstGeom prst="rect">
                      <a:avLst/>
                    </a:prstGeom>
                  </pic:spPr>
                </pic:pic>
              </a:graphicData>
            </a:graphic>
          </wp:inline>
        </w:drawing>
      </w:r>
    </w:p>
    <w:p w14:paraId="26361EF3" w14:textId="5AAF88EA" w:rsidR="00467FC3" w:rsidRDefault="00115470" w:rsidP="00115470">
      <w:pPr>
        <w:pStyle w:val="Caption"/>
        <w:jc w:val="center"/>
      </w:pPr>
      <w:r>
        <w:t xml:space="preserve">Figure </w:t>
        <w:fldChar w:fldCharType="begin"/>
        <w:instrText xml:space="preserve"> SEQ Figure \* ARABIC </w:instrText>
        <w:fldChar w:fldCharType="separate"/>
      </w:r>
      <w:r>
        <w:rPr>
          <w:noProof/>
        </w:rPr>
        <w:t>6</w:t>
      </w:r>
      <w:r>
        <w:fldChar w:fldCharType="end"/>
        <w:t xml:space="preserve"> Comparison of SOC trajectories of different strategies, </w:t>
      </w:r>
      <w:r>
        <w:rPr>
          <w:b/>
          <w:i/>
          <w:color w:val="FF0000"/>
        </w:rPr>
        <w:t xml:space="preserve">red: DP, green: PMP, yellow: CDCS, blue: Blended (adapted from [4]).</w:t>
      </w:r>
      <w:r>
        <w:t xml:space="preserve"/>
      </w:r>
    </w:p>
    <w:p w14:paraId="1F515980" w14:textId="77777777" w:rsidR="00467FC3" w:rsidRPr="00467FC3" w:rsidRDefault="00467FC3" w:rsidP="00467FC3">
      <w:pPr>
        <w:pStyle w:val="BodyText"/>
      </w:pPr>
    </w:p>
    <w:p w14:paraId="4C7CFA12" w14:textId="7FC7A210" w:rsidR="00F1779F" w:rsidRPr="00F1779F" w:rsidRDefault="002E3546" w:rsidP="002E3546">
      <w:pPr>
        <w:pStyle w:val="BodyText"/>
        <w:spacing w:line="276" w:lineRule="auto"/>
        <w:jc w:val="both"/>
      </w:pPr>
      <w:r>
        <w:t>The price parameters are fixed by Germany 2026 market scenarios [23], [24], summarized in Table 3; The main results are based on the default scenario, while the remaining scenarios are reserved for the sensitivity analysis in MAT 4902E. Since grid electricity is cheaper than hydrogen on a lower-heating-value basis in this default setting, the optimal strategy is theoretically expected to maximize battery usage within its constraints.</w:t>
      </w:r>
    </w:p>
    <w:tbl>
      <w:tblPr>
        <w:tblStyle w:val="Table"/>
        <w:tblW w:w="9072" w:type="dxa"/>
        <w:tblBorders>
          <w:top w:val="single" w:sz="8" w:space="0" w:color="000000"/>
          <w:bottom w:val="single" w:sz="8" w:space="0" w:color="000000"/>
        </w:tblBorders>
        <w:tblLook w:val="07E0" w:firstRow="1" w:lastRow="1" w:firstColumn="1" w:lastColumn="1" w:noHBand="1" w:noVBand="1"/>
        <w:tblCaption w:val="Table 3. Germany 2026 price scenarios for hydrogen (700 bar) and residential electricity."/>
      </w:tblPr>
      <w:tblGrid>
        <w:gridCol w:w="3024"/>
        <w:gridCol w:w="3024"/>
        <w:gridCol w:w="3024"/>
      </w:tblGrid>
      <w:tr w:rsidR="00694B53" w14:paraId="2B742537" w14:textId="77777777" w:rsidTr="00D712D5">
        <w:tc>
          <w:tcPr>
            <w:tcW w:w="3024" w:type="dxa"/>
            <w:tcBorders>
              <w:bottom w:val="single" w:sz="0" w:space="0" w:color="auto"/>
            </w:tcBorders>
            <w:vAlign w:val="bottom"/>
          </w:tcPr>
          <w:p w14:paraId="234433CB" w14:textId="77777777" w:rsidR="00694B53" w:rsidRDefault="00694B53" w:rsidP="00D712D5">
            <w:pPr>
              <w:pStyle w:val="Compact"/>
              <w:jc w:val="left"/>
            </w:pPr>
            <w:r>
              <w:t>Scenario</w:t>
            </w:r>
          </w:p>
        </w:tc>
        <w:tc>
          <w:tcPr>
            <w:tcW w:w="3024" w:type="dxa"/>
            <w:tcBorders>
              <w:bottom w:val="single" w:sz="0" w:space="0" w:color="auto"/>
            </w:tcBorders>
            <w:vAlign w:val="bottom"/>
          </w:tcPr>
          <w:p w14:paraId="0A83A524" w14:textId="77777777" w:rsidR="00694B53" w:rsidRDefault="00694B53" w:rsidP="00D712D5">
            <w:pPr>
              <w:pStyle w:val="Compact"/>
              <w:jc w:val="left"/>
            </w:pPr>
            <m:oMath>
              <m:sSub>
                <m:sSubPr>
                  <m:ctrlPr>
                    <w:rPr>
                      <w:rFonts w:ascii="Cambria Math" w:hAnsi="Cambria Math"/>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oMath>
            <w:r>
              <w:t xml:space="preserve"> (€/kg)</w:t>
            </w:r>
          </w:p>
        </w:tc>
        <w:tc>
          <w:tcPr>
            <w:tcW w:w="3024" w:type="dxa"/>
            <w:tcBorders>
              <w:bottom w:val="single" w:sz="0" w:space="0" w:color="auto"/>
            </w:tcBorders>
            <w:vAlign w:val="bottom"/>
          </w:tcPr>
          <w:p w14:paraId="7762FC40" w14:textId="77777777" w:rsidR="00694B53" w:rsidRDefault="00694B53" w:rsidP="00D712D5">
            <w:pPr>
              <w:pStyle w:val="Compact"/>
              <w:jc w:val="left"/>
            </w:pPr>
            <m:oMath>
              <m:sSub>
                <m:sSubPr>
                  <m:ctrlPr>
                    <w:rPr>
                      <w:rFonts w:ascii="Cambria Math" w:hAnsi="Cambria Math"/>
                    </w:rPr>
                  </m:ctrlPr>
                </m:sSubPr>
                <m:e>
                  <m:r>
                    <w:rPr>
                      <w:rFonts w:ascii="Cambria Math" w:hAnsi="Cambria Math"/>
                    </w:rPr>
                    <m:t>M</m:t>
                  </m:r>
                </m:e>
                <m:sub>
                  <m:r>
                    <m:rPr>
                      <m:sty m:val="p"/>
                    </m:rPr>
                    <w:rPr>
                      <w:rFonts w:ascii="Cambria Math" w:hAnsi="Cambria Math"/>
                    </w:rPr>
                    <m:t>ele</m:t>
                  </m:r>
                </m:sub>
              </m:sSub>
            </m:oMath>
            <w:r>
              <w:t xml:space="preserve"> (€/kWh)</w:t>
            </w:r>
          </w:p>
        </w:tc>
      </w:tr>
      <w:tr w:rsidR="00694B53" w14:paraId="37068979" w14:textId="77777777" w:rsidTr="00D712D5">
        <w:tc>
          <w:tcPr>
            <w:tcW w:w="3024" w:type="dxa"/>
          </w:tcPr>
          <w:p w14:paraId="21C477BD" w14:textId="77777777" w:rsidR="00694B53" w:rsidRDefault="00694B53" w:rsidP="00D712D5">
            <w:pPr>
              <w:pStyle w:val="Compact"/>
              <w:jc w:val="left"/>
            </w:pPr>
            <w:r>
              <w:t>High</w:t>
            </w:r>
          </w:p>
        </w:tc>
        <w:tc>
          <w:tcPr>
            <w:tcW w:w="3024" w:type="dxa"/>
          </w:tcPr>
          <w:p w14:paraId="09324F73" w14:textId="77777777" w:rsidR="00694B53" w:rsidRDefault="00694B53" w:rsidP="00D712D5">
            <w:pPr>
              <w:pStyle w:val="Compact"/>
              <w:jc w:val="left"/>
            </w:pPr>
            <w:r>
              <w:t>13.85</w:t>
            </w:r>
          </w:p>
        </w:tc>
        <w:tc>
          <w:tcPr>
            <w:tcW w:w="3024" w:type="dxa"/>
          </w:tcPr>
          <w:p w14:paraId="6A1EB4AF" w14:textId="77777777" w:rsidR="00694B53" w:rsidRDefault="00694B53" w:rsidP="00D712D5">
            <w:pPr>
              <w:pStyle w:val="Compact"/>
              <w:jc w:val="left"/>
            </w:pPr>
            <w:r>
              <w:t>0.40</w:t>
            </w:r>
          </w:p>
        </w:tc>
      </w:tr>
      <w:tr w:rsidR="00694B53" w14:paraId="76523229" w14:textId="77777777" w:rsidTr="00D712D5">
        <w:tc>
          <w:tcPr>
            <w:tcW w:w="3024" w:type="dxa"/>
          </w:tcPr>
          <w:p w14:paraId="10D4B004" w14:textId="77777777" w:rsidR="00694B53" w:rsidRDefault="00694B53" w:rsidP="00D712D5">
            <w:pPr>
              <w:pStyle w:val="Compact"/>
              <w:jc w:val="left"/>
            </w:pPr>
            <w:r>
              <w:t>Default</w:t>
            </w:r>
          </w:p>
        </w:tc>
        <w:tc>
          <w:tcPr>
            <w:tcW w:w="3024" w:type="dxa"/>
          </w:tcPr>
          <w:p w14:paraId="4A7140C0" w14:textId="77777777" w:rsidR="00694B53" w:rsidRDefault="00694B53" w:rsidP="00D712D5">
            <w:pPr>
              <w:pStyle w:val="Compact"/>
              <w:jc w:val="left"/>
            </w:pPr>
            <w:r>
              <w:t>11.00</w:t>
            </w:r>
          </w:p>
        </w:tc>
        <w:tc>
          <w:tcPr>
            <w:tcW w:w="3024" w:type="dxa"/>
          </w:tcPr>
          <w:p w14:paraId="75CDE189" w14:textId="77777777" w:rsidR="00694B53" w:rsidRDefault="00694B53" w:rsidP="00D712D5">
            <w:pPr>
              <w:pStyle w:val="Compact"/>
              <w:jc w:val="left"/>
            </w:pPr>
            <w:r>
              <w:t>0.35</w:t>
            </w:r>
          </w:p>
        </w:tc>
      </w:tr>
      <w:tr w:rsidR="00694B53" w14:paraId="35720D42" w14:textId="77777777" w:rsidTr="00D712D5">
        <w:tc>
          <w:tcPr>
            <w:tcW w:w="3024" w:type="dxa"/>
          </w:tcPr>
          <w:p w14:paraId="4A5B5697" w14:textId="77777777" w:rsidR="00694B53" w:rsidRDefault="00694B53" w:rsidP="00D712D5">
            <w:pPr>
              <w:pStyle w:val="Compact"/>
              <w:jc w:val="left"/>
            </w:pPr>
            <w:r>
              <w:t>Low</w:t>
            </w:r>
          </w:p>
        </w:tc>
        <w:tc>
          <w:tcPr>
            <w:tcW w:w="3024" w:type="dxa"/>
          </w:tcPr>
          <w:p w14:paraId="2D15B6E6" w14:textId="77777777" w:rsidR="00694B53" w:rsidRDefault="00694B53" w:rsidP="00D712D5">
            <w:pPr>
              <w:pStyle w:val="Compact"/>
              <w:jc w:val="left"/>
            </w:pPr>
            <w:r>
              <w:t>8.00</w:t>
            </w:r>
          </w:p>
        </w:tc>
        <w:tc>
          <w:tcPr>
            <w:tcW w:w="3024" w:type="dxa"/>
          </w:tcPr>
          <w:p w14:paraId="35165971" w14:textId="77777777" w:rsidR="00694B53" w:rsidRDefault="00694B53" w:rsidP="00CC0F0B">
            <w:pPr>
              <w:pStyle w:val="Compact"/>
              <w:keepNext/>
              <w:jc w:val="left"/>
            </w:pPr>
            <w:r>
              <w:t>0.32</w:t>
            </w:r>
          </w:p>
        </w:tc>
      </w:tr>
    </w:tbl>
    <w:p w14:paraId="7C0B9C8F" w14:textId="6B065478" w:rsidR="00574C7C" w:rsidRDefault="00CC0F0B" w:rsidP="00CC0F0B">
      <w:pPr>
        <w:pStyle w:val="Caption"/>
        <w:jc w:val="center"/>
      </w:pPr>
      <w:r>
        <w:t xml:space="preserve">Table </w:t>
        <w:fldChar w:fldCharType="begin"/>
        <w:instrText xml:space="preserve"> SEQ Table \* ARABIC </w:instrText>
        <w:fldChar w:fldCharType="separate"/>
      </w:r>
      <w:r>
        <w:rPr>
          <w:noProof/>
        </w:rPr>
        <w:t>3</w:t>
      </w:r>
      <w:r>
        <w:fldChar w:fldCharType="end"/>
        <w:t xml:space="preserve"> Germany 2026 price scenarios for hydrogen (700 bar) [23] and residential electricity [24].</w:t>
      </w:r>
    </w:p>
    <w:p w14:paraId="0ED93B43" w14:textId="77777777" w:rsidR="0057142A" w:rsidRDefault="0057142A" w:rsidP="004238AE">
      <w:pPr>
        <w:pStyle w:val="Heading3"/>
      </w:pPr>
      <w:bookmarkStart w:id="29" w:name="total-cost-functional"/>
    </w:p>
    <w:p w14:paraId="6D6522FC" w14:textId="6C75120B" w:rsidR="00A72A92" w:rsidRDefault="004238AE" w:rsidP="0057142A">
      <w:pPr>
        <w:pStyle w:val="Heading3"/>
      </w:pPr>
      <w:r>
        <w:t>3.5.3. Total cost functional</w:t>
      </w:r>
      <w:bookmarkEnd w:id="29"/>
    </w:p>
    <w:p w14:paraId="49F00DBB" w14:textId="77777777" w:rsidR="00CB23AD" w:rsidRDefault="00CB23AD" w:rsidP="00CB23AD">
      <w:pPr>
        <w:pStyle w:val="FirstParagraph"/>
      </w:pPr>
      <w:r>
        <w:t>The running cost of one step combines Eqs. (19) and (21),</w:t>
      </w:r>
    </w:p>
    <w:p w14:paraId="0FB9A52B" w14:textId="77777777" w:rsidR="004238AE" w:rsidRDefault="004238AE" w:rsidP="00574C7C"/>
    <w:tbl>
      <w:tblPr>
        <w:tblStyle w:val="Table"/>
        <w:tblW w:w="9072" w:type="dxa"/>
        <w:tblLayout w:type="fixed"/>
        <w:tblLook w:val="04A0" w:firstRow="1" w:lastRow="0" w:firstColumn="1" w:lastColumn="0" w:noHBand="0" w:noVBand="1"/>
      </w:tblPr>
      <w:tblGrid>
        <w:gridCol w:w="700"/>
        <w:gridCol w:w="7672"/>
        <w:gridCol w:w="700"/>
      </w:tblGrid>
      <w:tr w:rsidR="0057142A" w14:paraId="1AE4D3B8" w14:textId="77777777" w:rsidTr="00D712D5">
        <w:tc>
          <w:tcPr>
            <w:tcW w:w="700" w:type="dxa"/>
            <w:vAlign w:val="center"/>
          </w:tcPr>
          <w:p w14:paraId="65EF4977" w14:textId="77777777" w:rsidR="0057142A" w:rsidRDefault="0057142A" w:rsidP="00D712D5">
            <w:pPr>
              <w:spacing w:after="0"/>
            </w:pPr>
          </w:p>
        </w:tc>
        <w:tc>
          <w:tcPr>
            <w:tcW w:w="7672" w:type="dxa"/>
            <w:vAlign w:val="center"/>
          </w:tcPr>
          <w:p w14:paraId="27E24408" w14:textId="77777777" w:rsidR="0057142A" w:rsidRDefault="0057142A" w:rsidP="00D712D5">
            <w:pPr>
              <w:spacing w:after="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fc</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bat</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m:t>
                </m:r>
              </m:oMath>
            </m:oMathPara>
          </w:p>
        </w:tc>
        <w:tc>
          <w:tcPr>
            <w:tcW w:w="700" w:type="dxa"/>
            <w:vAlign w:val="center"/>
          </w:tcPr>
          <w:p w14:paraId="2E58ACAA" w14:textId="77777777" w:rsidR="0057142A" w:rsidRDefault="0057142A" w:rsidP="00D712D5">
            <w:pPr>
              <w:spacing w:after="0"/>
              <w:jc w:val="right"/>
            </w:pPr>
            <w:r>
              <w:t>(22)</w:t>
            </w:r>
          </w:p>
        </w:tc>
      </w:tr>
    </w:tbl>
    <w:p w14:paraId="3283AF89" w14:textId="77777777" w:rsidR="00401601" w:rsidRDefault="00401601" w:rsidP="00401601">
      <w:pPr>
        <w:pStyle w:val="FirstParagraph"/>
      </w:pPr>
      <w:r>
        <w:t>Imposing the terminal SoC target as a hard constraint may render the problem infeasible; it is therefore imposed as a soft quadratic penalty,</w:t>
      </w:r>
    </w:p>
    <w:p w14:paraId="5B7300B7" w14:textId="77777777" w:rsidR="0057142A" w:rsidRDefault="0057142A" w:rsidP="00574C7C"/>
    <w:tbl>
      <w:tblPr>
        <w:tblStyle w:val="Table"/>
        <w:tblW w:w="9072" w:type="dxa"/>
        <w:tblLayout w:type="fixed"/>
        <w:tblLook w:val="04A0" w:firstRow="1" w:lastRow="0" w:firstColumn="1" w:lastColumn="0" w:noHBand="0" w:noVBand="1"/>
      </w:tblPr>
      <w:tblGrid>
        <w:gridCol w:w="700"/>
        <w:gridCol w:w="7672"/>
        <w:gridCol w:w="700"/>
      </w:tblGrid>
      <w:tr w:rsidR="00C265A6" w14:paraId="3D6D983E" w14:textId="77777777" w:rsidTr="001F109F">
        <w:trPr>
          <w:trHeight w:val="706"/>
        </w:trPr>
        <w:tc>
          <w:tcPr>
            <w:tcW w:w="700" w:type="dxa"/>
            <w:vAlign w:val="center"/>
          </w:tcPr>
          <w:p w14:paraId="7E2A48A3" w14:textId="77777777" w:rsidR="00C265A6" w:rsidRDefault="00C265A6" w:rsidP="00D712D5">
            <w:pPr>
              <w:spacing w:after="0"/>
            </w:pPr>
          </w:p>
        </w:tc>
        <w:tc>
          <w:tcPr>
            <w:tcW w:w="7672" w:type="dxa"/>
            <w:vAlign w:val="center"/>
          </w:tcPr>
          <w:p w14:paraId="378E4D41" w14:textId="0E7E795B" w:rsidR="00C265A6" w:rsidRPr="00C265A6" w:rsidRDefault="00C265A6" w:rsidP="00D712D5">
            <w:pPr>
              <w:spacing w:after="0"/>
              <w:jc w:val="center"/>
              <w:rPr>
                <w:rFonts w:eastAsiaTheme="minorEastAsia"/>
              </w:rPr>
            </w:pPr>
            <m:oMathPara>
              <m:oMathParaPr>
                <m:jc m:val="center"/>
              </m:oMathParaPr>
              <m:oMath>
                <m:r>
                  <w:rPr>
                    <w:rFonts w:ascii="Cambria Math" w:hAnsi="Cambria Math" w:cstheme="minorHAnsi"/>
                  </w:rPr>
                  <m:t>Φ(</m:t>
                </m:r>
                <m:sSub>
                  <m:sSubPr>
                    <m:ctrlPr>
                      <w:rPr>
                        <w:rFonts w:ascii="Cambria Math" w:hAnsi="Cambria Math" w:cstheme="minorHAnsi"/>
                      </w:rPr>
                    </m:ctrlPr>
                  </m:sSubPr>
                  <m:e>
                    <m:r>
                      <m:rPr>
                        <m:sty m:val="p"/>
                      </m:rPr>
                      <w:rPr>
                        <w:rFonts w:ascii="Cambria Math" w:hAnsi="Cambria Math" w:cstheme="minorHAnsi"/>
                      </w:rPr>
                      <m:t>SoC</m:t>
                    </m:r>
                  </m:e>
                  <m:sub>
                    <m:r>
                      <w:rPr>
                        <w:rFonts w:ascii="Cambria Math" w:hAnsi="Cambria Math" w:cstheme="minorHAnsi"/>
                      </w:rPr>
                      <m:t>N</m:t>
                    </m:r>
                  </m:sub>
                </m:sSub>
                <m:r>
                  <w:rPr>
                    <w:rFonts w:ascii="Cambria Math" w:hAnsi="Cambria Math" w:cstheme="minorHAnsi"/>
                  </w:rPr>
                  <m:t>)=γ (</m:t>
                </m:r>
                <m:sSub>
                  <m:sSubPr>
                    <m:ctrlPr>
                      <w:rPr>
                        <w:rFonts w:ascii="Cambria Math" w:hAnsi="Cambria Math" w:cstheme="minorHAnsi"/>
                      </w:rPr>
                    </m:ctrlPr>
                  </m:sSubPr>
                  <m:e>
                    <m:r>
                      <m:rPr>
                        <m:sty m:val="p"/>
                      </m:rPr>
                      <w:rPr>
                        <w:rFonts w:ascii="Cambria Math" w:hAnsi="Cambria Math" w:cstheme="minorHAnsi"/>
                      </w:rPr>
                      <m:t>SoC</m:t>
                    </m:r>
                  </m:e>
                  <m:sub>
                    <m:r>
                      <w:rPr>
                        <w:rFonts w:ascii="Cambria Math" w:hAnsi="Cambria Math" w:cstheme="minorHAnsi"/>
                      </w:rPr>
                      <m:t>N</m:t>
                    </m:r>
                  </m:sub>
                </m:sSub>
                <m: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SoC</m:t>
                    </m:r>
                  </m:e>
                  <m:sub>
                    <m:r>
                      <m:rPr>
                        <m:sty m:val="p"/>
                      </m:rPr>
                      <w:rPr>
                        <w:rFonts w:ascii="Cambria Math" w:hAnsi="Cambria Math" w:cstheme="minorHAnsi"/>
                        <w:sz w:val="22"/>
                        <w:szCs w:val="22"/>
                      </w:rPr>
                      <m:t>target</m:t>
                    </m:r>
                  </m:sub>
                </m:sSub>
                <m:sSup>
                  <m:sSupPr>
                    <m:ctrlPr>
                      <w:rPr>
                        <w:rFonts w:ascii="Cambria Math" w:hAnsi="Cambria Math" w:cstheme="minorHAnsi"/>
                      </w:rPr>
                    </m:ctrlPr>
                  </m:sSupPr>
                  <m:e>
                    <m:r>
                      <w:rPr>
                        <w:rFonts w:ascii="Cambria Math" w:hAnsi="Cambria Math" w:cstheme="minorHAnsi"/>
                      </w:rPr>
                      <m:t>)</m:t>
                    </m:r>
                  </m:e>
                  <m:sup>
                    <m:r>
                      <w:rPr>
                        <w:rFonts w:ascii="Cambria Math" w:hAnsi="Cambria Math" w:cstheme="minorHAnsi"/>
                      </w:rPr>
                      <m:t>2</m:t>
                    </m:r>
                  </m:sup>
                </m:sSup>
                <m:r>
                  <w:rPr>
                    <w:rFonts w:ascii="Cambria Math" w:hAnsi="Cambria Math" w:cstheme="minorHAnsi"/>
                  </w:rPr>
                  <m:t>,</m:t>
                </m:r>
              </m:oMath>
            </m:oMathPara>
          </w:p>
          <w:p w14:paraId="373191BF" w14:textId="77777777" w:rsidR="00C265A6" w:rsidRPr="00C265A6" w:rsidRDefault="00C265A6" w:rsidP="00C265A6">
            <w:pPr>
              <w:spacing w:after="0"/>
              <w:rPr>
                <w:rFonts w:eastAsiaTheme="minorEastAsia"/>
              </w:rPr>
            </w:pPr>
          </w:p>
        </w:tc>
        <w:tc>
          <w:tcPr>
            <w:tcW w:w="700" w:type="dxa"/>
            <w:vAlign w:val="center"/>
          </w:tcPr>
          <w:p w14:paraId="03B121E2" w14:textId="77777777" w:rsidR="00C265A6" w:rsidRDefault="00C265A6" w:rsidP="00D712D5">
            <w:pPr>
              <w:spacing w:after="0"/>
              <w:jc w:val="right"/>
            </w:pPr>
            <w:r>
              <w:t>(23)</w:t>
            </w:r>
          </w:p>
        </w:tc>
      </w:tr>
    </w:tbl>
    <w:p w14:paraId="5AD37B33" w14:textId="77777777" w:rsidR="00C265A6" w:rsidRDefault="00C265A6" w:rsidP="00574C7C"/>
    <w:p w14:paraId="71C643A7" w14:textId="3A8A6824" w:rsidR="00A72A92" w:rsidRDefault="00040685" w:rsidP="00574C7C">
      <w:r>
        <w:t xml:space="preserve">with the tuning weight initialized at </w:t>
      </w:r>
      <m:oMath>
        <m:r>
          <w:rPr>
            <w:rFonts w:ascii="Cambria Math" w:hAnsi="Cambria Math"/>
          </w:rPr>
          <m:t>γ=1000 </m:t>
        </m:r>
        <m:r>
          <m:rPr>
            <m:nor/>
          </m:rPr>
          <m:t>€</m:t>
        </m:r>
      </m:oMath>
      <w:r>
        <w:t>, a value chosen by dimensional reasoning so that a unit SoC deviation is penalized at a magnitude far exceeding the expected trip cost of 5–15 €. The total cost function is the sum of the running cost in Eq. (22) over the horizon and the terminal penalty:</w:t>
      </w:r>
    </w:p>
    <w:p w14:paraId="1721016B" w14:textId="77777777" w:rsidR="007E234D" w:rsidRDefault="007E234D" w:rsidP="00574C7C"/>
    <w:tbl>
      <w:tblPr>
        <w:tblStyle w:val="Table"/>
        <w:tblW w:w="9072" w:type="dxa"/>
        <w:tblLayout w:type="fixed"/>
        <w:tblLook w:val="04A0" w:firstRow="1" w:lastRow="0" w:firstColumn="1" w:lastColumn="0" w:noHBand="0" w:noVBand="1"/>
      </w:tblPr>
      <w:tblGrid>
        <w:gridCol w:w="700"/>
        <w:gridCol w:w="7672"/>
        <w:gridCol w:w="700"/>
      </w:tblGrid>
      <w:tr w:rsidR="001F109F" w14:paraId="566A09F4" w14:textId="77777777" w:rsidTr="001F109F">
        <w:trPr>
          <w:trHeight w:val="881"/>
        </w:trPr>
        <w:tc>
          <w:tcPr>
            <w:tcW w:w="700" w:type="dxa"/>
            <w:vAlign w:val="center"/>
          </w:tcPr>
          <w:p w14:paraId="31C68059" w14:textId="77777777" w:rsidR="001F109F" w:rsidRDefault="001F109F" w:rsidP="00D712D5">
            <w:pPr>
              <w:spacing w:after="0"/>
            </w:pPr>
          </w:p>
        </w:tc>
        <w:tc>
          <w:tcPr>
            <w:tcW w:w="7672" w:type="dxa"/>
            <w:vAlign w:val="center"/>
          </w:tcPr>
          <w:p w14:paraId="2736B3EB" w14:textId="77777777" w:rsidR="001F109F" w:rsidRDefault="001F109F" w:rsidP="00D712D5">
            <w:pPr>
              <w:spacing w:after="0"/>
              <w:jc w:val="center"/>
            </w:pPr>
            <m:oMathPara>
              <m:oMathParaPr>
                <m:jc m:val="center"/>
              </m:oMathParaPr>
              <m:oMath>
                <m:r>
                  <w:rPr>
                    <w:rFonts w:ascii="Cambria Math" w:hAnsi="Cambria Math"/>
                  </w:rPr>
                  <m:t>J({</m:t>
                </m:r>
                <m:sSub>
                  <m:sSubPr>
                    <m:ctrlPr>
                      <w:rPr>
                        <w:rFonts w:ascii="Cambria Math" w:hAnsi="Cambria Math"/>
                      </w:rPr>
                    </m:ctrlPr>
                  </m:sSubPr>
                  <m:e>
                    <m:r>
                      <w:rPr>
                        <w:rFonts w:ascii="Cambria Math" w:hAnsi="Cambria Math"/>
                      </w:rPr>
                      <m:t>u</m:t>
                    </m:r>
                  </m:e>
                  <m:sub>
                    <m:r>
                      <w:rPr>
                        <w:rFonts w:ascii="Cambria Math" w:hAnsi="Cambria Math"/>
                      </w:rPr>
                      <m:t>k</m:t>
                    </m:r>
                  </m:sub>
                </m:sSub>
                <m:sSubSup>
                  <m:sSubSupPr>
                    <m:ctrlPr>
                      <w:rPr>
                        <w:rFonts w:ascii="Cambria Math" w:hAnsi="Cambria Math"/>
                      </w:rPr>
                    </m:ctrlPr>
                  </m:sSubSupPr>
                  <m:e>
                    <m:r>
                      <w:rPr>
                        <w:rFonts w:ascii="Cambria Math" w:hAnsi="Cambria Math"/>
                      </w:rPr>
                      <m:t>}</m:t>
                    </m:r>
                  </m:e>
                  <m:sub>
                    <m:r>
                      <w:rPr>
                        <w:rFonts w:ascii="Cambria Math" w:hAnsi="Cambria Math"/>
                      </w:rPr>
                      <m:t>k=0</m:t>
                    </m:r>
                  </m:sub>
                  <m:sup>
                    <m:r>
                      <w:rPr>
                        <w:rFonts w:ascii="Cambria Math" w:hAnsi="Cambria Math"/>
                      </w:rPr>
                      <m:t>N-1</m:t>
                    </m:r>
                  </m:sup>
                </m:sSubSup>
                <m:r>
                  <w:rPr>
                    <w:rFonts w:ascii="Cambria Math" w:hAnsi="Cambria Math"/>
                  </w:rPr>
                  <m:t>)=</m:t>
                </m:r>
                <m:nary>
                  <m:naryPr>
                    <m:chr m:val="∑"/>
                    <m:limLoc m:val="undOvr"/>
                    <m:ctrlPr>
                      <w:rPr>
                        <w:rFonts w:ascii="Cambria Math" w:hAnsi="Cambria Math"/>
                      </w:rPr>
                    </m:ctrlPr>
                  </m:naryPr>
                  <m:sub>
                    <m:r>
                      <w:rPr>
                        <w:rFonts w:ascii="Cambria Math" w:hAnsi="Cambria Math"/>
                      </w:rPr>
                      <m:t>k=0</m:t>
                    </m:r>
                  </m:sub>
                  <m:sup>
                    <m:r>
                      <w:rPr>
                        <w:rFonts w:ascii="Cambria Math" w:hAnsi="Cambria Math"/>
                      </w:rPr>
                      <m:t>N-1</m:t>
                    </m:r>
                  </m:sup>
                  <m:e>
                    <m:sSub>
                      <m:sSubPr>
                        <m:ctrlPr>
                          <w:rPr>
                            <w:rFonts w:ascii="Cambria Math" w:hAnsi="Cambria Math"/>
                          </w:rPr>
                        </m:ctrlPr>
                      </m:sSubPr>
                      <m:e>
                        <m:r>
                          <w:rPr>
                            <w:rFonts w:ascii="Cambria Math" w:hAnsi="Cambria Math"/>
                          </w:rPr>
                          <m:t>L</m:t>
                        </m:r>
                      </m:e>
                      <m:sub>
                        <m:r>
                          <w:rPr>
                            <w:rFonts w:ascii="Cambria Math" w:hAnsi="Cambria Math"/>
                          </w:rPr>
                          <m:t>k</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)+Φ(</m:t>
                </m:r>
                <m:sSub>
                  <m:sSubPr>
                    <m:ctrlPr>
                      <w:rPr>
                        <w:rFonts w:ascii="Cambria Math" w:hAnsi="Cambria Math"/>
                      </w:rPr>
                    </m:ctrlPr>
                  </m:sSubPr>
                  <m:e>
                    <m:r>
                      <m:rPr>
                        <m:sty m:val="p"/>
                      </m:rPr>
                      <w:rPr>
                        <w:rFonts w:ascii="Cambria Math" w:hAnsi="Cambria Math"/>
                      </w:rPr>
                      <m:t>SoC</m:t>
                    </m:r>
                  </m:e>
                  <m:sub>
                    <m:r>
                      <w:rPr>
                        <w:rFonts w:ascii="Cambria Math" w:hAnsi="Cambria Math"/>
                      </w:rPr>
                      <m:t>N</m:t>
                    </m:r>
                  </m:sub>
                </m:sSub>
                <m:r>
                  <w:rPr>
                    <w:rFonts w:ascii="Cambria Math" w:hAnsi="Cambria Math"/>
                  </w:rPr>
                  <m:t>),</m:t>
                </m:r>
              </m:oMath>
            </m:oMathPara>
          </w:p>
        </w:tc>
        <w:tc>
          <w:tcPr>
            <w:tcW w:w="700" w:type="dxa"/>
            <w:vAlign w:val="center"/>
          </w:tcPr>
          <w:p w14:paraId="78A11330" w14:textId="77777777" w:rsidR="001F109F" w:rsidRDefault="001F109F" w:rsidP="00D712D5">
            <w:pPr>
              <w:spacing w:after="0"/>
              <w:jc w:val="right"/>
            </w:pPr>
            <w:r>
              <w:t>(24)</w:t>
            </w:r>
          </w:p>
        </w:tc>
      </w:tr>
    </w:tbl>
    <w:p w14:paraId="02188EF8" w14:textId="77777777" w:rsidR="007E234D" w:rsidRDefault="007E234D" w:rsidP="00574C7C"/>
    <w:p w14:paraId="606BD8A4" w14:textId="57376478" w:rsidR="001F109F" w:rsidRDefault="00022CD6" w:rsidP="00022CD6">
      <w:pPr>
        <w:spacing w:line="276" w:lineRule="auto"/>
        <w:jc w:val="both"/>
      </w:pPr>
      <w:r>
        <w:t>and Eq. (24) constitutes the principal mathematical result of this study. Component degradation costs of the fuel cell and the battery are intentionally excluded from Eq. (24). The load-ramp limitation in the BLFS layer (Section 3.6.5) smooths out power demands, which indirectly protects fuel cell durability.</w:t>
      </w:r>
    </w:p>
    <w:p w14:paraId="4C23FB48" w14:textId="77777777" w:rsidR="00A72A92" w:rsidRPr="00574C7C" w:rsidRDefault="00A72A92" w:rsidP="00574C7C"/>
    <w:p w14:paraId="50BA8448" w14:textId="11C0AA96" w:rsidR="000E229F" w:rsidRPr="00066023" w:rsidRDefault="001D6FE7" w:rsidP="000B73EE">
      <w:pPr>
        <w:pStyle w:val="Heading2"/>
        <w:spacing w:line="276" w:lineRule="auto"/>
        <w:jc w:val="both"/>
      </w:pPr>
      <w:r>
        <w:t>3.6. EMS Methods</w:t>
      </w:r>
      <w:bookmarkEnd w:id="26"/>
    </w:p>
    <w:p w14:paraId="5C91F4C6" w14:textId="77777777" w:rsidR="006551DA" w:rsidRDefault="006551DA" w:rsidP="0048676D">
      <w:pPr>
        <w:pStyle w:val="Heading2"/>
      </w:pPr>
      <w:bookmarkStart w:id="30" w:name="_Toc231989472"/>
      <w:bookmarkStart w:id="31" w:name="_Toc232147090"/>
    </w:p>
    <w:p w14:paraId="149F66E6" w14:textId="77777777" w:rsidR="00D83BB7" w:rsidRDefault="00D83BB7" w:rsidP="00D83BB7">
      <w:pPr>
        <w:pStyle w:val="Heading3"/>
      </w:pPr>
      <w:bookmarkStart w:id="32" w:name="complete-problem-statement"/>
      <w:r>
        <w:t>3.6.1. Complete problem statement</w:t>
      </w:r>
      <w:bookmarkEnd w:id="32"/>
    </w:p>
    <w:p w14:paraId="1B695F70" w14:textId="77777777" w:rsidR="006551DA" w:rsidRDefault="006551DA" w:rsidP="006551DA"/>
    <w:p w14:paraId="663F8C95" w14:textId="77777777" w:rsidR="007936E7" w:rsidRDefault="007936E7" w:rsidP="007936E7">
      <w:pPr>
        <w:pStyle w:val="FirstParagraph"/>
      </w:pPr>
      <w:r>
        <w:t>Collecting the cost functional, the state dynamics and the physical limits, the complete optimal control problem is stated as</w:t>
      </w:r>
    </w:p>
    <w:tbl>
      <w:tblPr>
        <w:tblStyle w:val="Table"/>
        <w:tblW w:w="9072" w:type="dxa"/>
        <w:tblLayout w:type="fixed"/>
        <w:tblLook w:val="04A0" w:firstRow="1" w:lastRow="0" w:firstColumn="1" w:lastColumn="0" w:noHBand="0" w:noVBand="1"/>
      </w:tblPr>
      <w:tblGrid>
        <w:gridCol w:w="700"/>
        <w:gridCol w:w="7672"/>
        <w:gridCol w:w="700"/>
      </w:tblGrid>
      <w:tr w:rsidR="00CA3EA8" w14:paraId="0DD305BC" w14:textId="77777777" w:rsidTr="00CA3EA8">
        <w:trPr>
          <w:trHeight w:val="929"/>
        </w:trPr>
        <w:tc>
          <w:tcPr>
            <w:tcW w:w="700" w:type="dxa"/>
            <w:vAlign w:val="center"/>
          </w:tcPr>
          <w:p w14:paraId="57CE039E" w14:textId="77777777" w:rsidR="00CA3EA8" w:rsidRDefault="00CA3EA8" w:rsidP="00D712D5">
            <w:pPr>
              <w:spacing w:after="0"/>
            </w:pPr>
          </w:p>
        </w:tc>
        <w:tc>
          <w:tcPr>
            <w:tcW w:w="7672" w:type="dxa"/>
            <w:vAlign w:val="center"/>
          </w:tcPr>
          <w:p w14:paraId="156DB432" w14:textId="77777777" w:rsidR="00CA3EA8" w:rsidRDefault="00CA3EA8" w:rsidP="00D712D5">
            <w:pPr>
              <w:spacing w:after="0"/>
              <w:jc w:val="center"/>
            </w:pPr>
            <m:oMathPara>
              <m:oMathParaPr>
                <m:jc m:val="center"/>
              </m:oMathParaPr>
              <m:oMath>
                <m:limLow>
                  <m:limLowPr>
                    <m:ctrlPr>
                      <w:rPr>
                        <w:rFonts w:ascii="Cambria Math" w:hAnsi="Cambria Math"/>
                      </w:rPr>
                    </m:ctrlPr>
                  </m:limLowPr>
                  <m:e>
                    <m:r>
                      <m:rPr>
                        <m:nor/>
                      </m:rPr>
                      <m:t>min</m:t>
                    </m:r>
                  </m:e>
                  <m:lim>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dc</m:t>
                        </m:r>
                        <m:r>
                          <w:rPr>
                            <w:rFonts w:ascii="Cambria Math" w:hAnsi="Cambria Math"/>
                          </w:rPr>
                          <m:t>,k</m:t>
                        </m:r>
                      </m:sub>
                    </m:sSub>
                    <m:sSubSup>
                      <m:sSubSupPr>
                        <m:ctrlPr>
                          <w:rPr>
                            <w:rFonts w:ascii="Cambria Math" w:hAnsi="Cambria Math"/>
                          </w:rPr>
                        </m:ctrlPr>
                      </m:sSubSupPr>
                      <m:e>
                        <m:r>
                          <w:rPr>
                            <w:rFonts w:ascii="Cambria Math" w:hAnsi="Cambria Math"/>
                          </w:rPr>
                          <m:t>}</m:t>
                        </m:r>
                      </m:e>
                      <m:sub>
                        <m:r>
                          <w:rPr>
                            <w:rFonts w:ascii="Cambria Math" w:hAnsi="Cambria Math"/>
                          </w:rPr>
                          <m:t>k=0</m:t>
                        </m:r>
                      </m:sub>
                      <m:sup>
                        <m:r>
                          <w:rPr>
                            <w:rFonts w:ascii="Cambria Math" w:hAnsi="Cambria Math"/>
                          </w:rPr>
                          <m:t>N-1</m:t>
                        </m:r>
                      </m:sup>
                    </m:sSubSup>
                  </m:lim>
                </m:limLow>
                <m:r>
                  <w:rPr>
                    <w:rFonts w:ascii="Cambria Math" w:hAnsi="Cambria Math"/>
                  </w:rPr>
                  <m:t>J=</m:t>
                </m:r>
                <m:nary>
                  <m:naryPr>
                    <m:chr m:val="∑"/>
                    <m:limLoc m:val="undOvr"/>
                    <m:ctrlPr>
                      <w:rPr>
                        <w:rFonts w:ascii="Cambria Math" w:hAnsi="Cambria Math"/>
                      </w:rPr>
                    </m:ctrlPr>
                  </m:naryPr>
                  <m:sub>
                    <m:r>
                      <w:rPr>
                        <w:rFonts w:ascii="Cambria Math" w:hAnsi="Cambria Math"/>
                      </w:rPr>
                      <m:t>k=0</m:t>
                    </m:r>
                  </m:sub>
                  <m:sup>
                    <m:r>
                      <w:rPr>
                        <w:rFonts w:ascii="Cambria Math" w:hAnsi="Cambria Math"/>
                      </w:rPr>
                      <m:t>N-1</m:t>
                    </m:r>
                  </m:sup>
                  <m:e>
                    <m:sSub>
                      <m:sSubPr>
                        <m:ctrlPr>
                          <w:rPr>
                            <w:rFonts w:ascii="Cambria Math" w:hAnsi="Cambria Math"/>
                          </w:rPr>
                        </m:ctrlPr>
                      </m:sSubPr>
                      <m:e>
                        <m:r>
                          <w:rPr>
                            <w:rFonts w:ascii="Cambria Math" w:hAnsi="Cambria Math"/>
                          </w:rPr>
                          <m:t>L</m:t>
                        </m:r>
                      </m:e>
                      <m:sub>
                        <m:r>
                          <w:rPr>
                            <w:rFonts w:ascii="Cambria Math" w:hAnsi="Cambria Math"/>
                          </w:rPr>
                          <m:t>k</m:t>
                        </m:r>
                      </m:sub>
                    </m:sSub>
                  </m:e>
                </m:nary>
                <m:r>
                  <w:rPr>
                    <w:rFonts w:ascii="Cambria Math" w:hAnsi="Cambria Math"/>
                  </w:rPr>
                  <m:t>(</m:t>
                </m:r>
                <m:sSub>
                  <m:sSubPr>
                    <m:ctrlPr>
                      <w:rPr>
                        <w:rFonts w:ascii="Cambria Math" w:hAnsi="Cambria Math"/>
                      </w:rPr>
                    </m:ctrlPr>
                  </m:sSubPr>
                  <m:e>
                    <m:r>
                      <m:rPr>
                        <m:sty m:val="p"/>
                      </m:rPr>
                      <w:rPr>
                        <w:rFonts w:ascii="Cambria Math" w:hAnsi="Cambria Math"/>
                      </w:rPr>
                      <m:t>SoC</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dc</m:t>
                    </m:r>
                    <m:r>
                      <w:rPr>
                        <w:rFonts w:ascii="Cambria Math" w:hAnsi="Cambria Math"/>
                      </w:rPr>
                      <m:t>,k</m:t>
                    </m:r>
                  </m:sub>
                </m:sSub>
                <m:r>
                  <w:rPr>
                    <w:rFonts w:ascii="Cambria Math" w:hAnsi="Cambria Math"/>
                  </w:rPr>
                  <m:t>)+γ(</m:t>
                </m:r>
                <m:sSub>
                  <m:sSubPr>
                    <m:ctrlPr>
                      <w:rPr>
                        <w:rFonts w:ascii="Cambria Math" w:hAnsi="Cambria Math"/>
                      </w:rPr>
                    </m:ctrlPr>
                  </m:sSubPr>
                  <m:e>
                    <m:r>
                      <m:rPr>
                        <m:sty m:val="p"/>
                      </m:rPr>
                      <w:rPr>
                        <w:rFonts w:ascii="Cambria Math" w:hAnsi="Cambria Math"/>
                      </w:rPr>
                      <m:t>SoC</m:t>
                    </m:r>
                  </m:e>
                  <m:sub>
                    <m:r>
                      <w:rPr>
                        <w:rFonts w:ascii="Cambria Math" w:hAnsi="Cambria Math"/>
                      </w:rPr>
                      <m:t>N</m:t>
                    </m:r>
                  </m:sub>
                </m:sSub>
                <m:r>
                  <w:rPr>
                    <w:rFonts w:ascii="Cambria Math" w:hAnsi="Cambria Math"/>
                  </w:rPr>
                  <m:t>-</m:t>
                </m:r>
                <m:sSub>
                  <m:sSubPr>
                    <m:ctrlPr>
                      <w:rPr>
                        <w:rFonts w:ascii="Cambria Math" w:hAnsi="Cambria Math"/>
                      </w:rPr>
                    </m:ctrlPr>
                  </m:sSubPr>
                  <m:e>
                    <m:r>
                      <m:rPr>
                        <m:sty m:val="p"/>
                      </m:rPr>
                      <w:rPr>
                        <w:rFonts w:ascii="Cambria Math" w:hAnsi="Cambria Math"/>
                      </w:rPr>
                      <m:t>SoC</m:t>
                    </m:r>
                  </m:e>
                  <m:sub>
                    <m:r>
                      <m:rPr>
                        <m:sty m:val="p"/>
                      </m:rPr>
                      <w:rPr>
                        <w:rFonts w:ascii="Cambria Math" w:hAnsi="Cambria Math"/>
                      </w:rPr>
                      <m:t>target</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m:oMathPara>
          </w:p>
        </w:tc>
        <w:tc>
          <w:tcPr>
            <w:tcW w:w="700" w:type="dxa"/>
            <w:vAlign w:val="center"/>
          </w:tcPr>
          <w:p w14:paraId="2CA695F1" w14:textId="77777777" w:rsidR="00CA3EA8" w:rsidRDefault="00CA3EA8" w:rsidP="00D712D5">
            <w:pPr>
              <w:spacing w:after="0"/>
              <w:jc w:val="right"/>
            </w:pPr>
            <w:r>
              <w:t>(25)</w:t>
            </w:r>
          </w:p>
        </w:tc>
      </w:tr>
    </w:tbl>
    <w:p w14:paraId="0C2426DB" w14:textId="77777777" w:rsidR="00D83BB7" w:rsidRDefault="00D83BB7" w:rsidP="006551DA"/>
    <w:p w14:paraId="2F5B591C" w14:textId="77777777" w:rsidR="00722B68" w:rsidRDefault="00722B68" w:rsidP="00722B68">
      <w:pPr>
        <w:pStyle w:val="FirstParagraph"/>
      </w:pPr>
      <w:r>
        <w:t xml:space="preserve">subject to the state dynamics of Eq. (18), the power balance of Eq. (2), the initial condition </w:t>
      </w:r>
      <m:oMath>
        <m:sSub>
          <m:sSubPr>
            <m:ctrlPr>
              <w:rPr>
                <w:rFonts w:ascii="Cambria Math" w:hAnsi="Cambria Math"/>
              </w:rPr>
            </m:ctrlPr>
          </m:sSubPr>
          <m:e>
            <m:r>
              <m:rPr>
                <m:sty m:val="p"/>
              </m:rPr>
              <w:rPr>
                <w:rFonts w:ascii="Cambria Math" w:hAnsi="Cambria Math"/>
              </w:rPr>
              <m:t>SoC</m:t>
            </m:r>
          </m:e>
          <m:sub>
            <m:r>
              <w:rPr>
                <w:rFonts w:ascii="Cambria Math" w:hAnsi="Cambria Math"/>
              </w:rPr>
              <m:t>0</m:t>
            </m:r>
          </m:sub>
        </m:sSub>
        <m:r>
          <w:rPr>
            <w:rFonts w:ascii="Cambria Math" w:hAnsi="Cambria Math"/>
          </w:rPr>
          <m:t>=0.90</m:t>
        </m:r>
      </m:oMath>
      <w:r>
        <w:t>, and the operating limits</w:t>
      </w:r>
    </w:p>
    <w:p w14:paraId="499C55DB" w14:textId="77777777" w:rsidR="00CA3EA8" w:rsidRDefault="00CA3EA8" w:rsidP="006551DA"/>
    <w:tbl>
      <w:tblPr>
        <w:tblStyle w:val="Table"/>
        <w:tblW w:w="9072" w:type="dxa"/>
        <w:tblLayout w:type="fixed"/>
        <w:tblLook w:val="04A0" w:firstRow="1" w:lastRow="0" w:firstColumn="1" w:lastColumn="0" w:noHBand="0" w:noVBand="1"/>
      </w:tblPr>
      <w:tblGrid>
        <w:gridCol w:w="700"/>
        <w:gridCol w:w="7672"/>
        <w:gridCol w:w="700"/>
      </w:tblGrid>
      <w:tr w:rsidR="00295AA8" w14:paraId="54C5815A" w14:textId="77777777" w:rsidTr="00295AA8">
        <w:trPr>
          <w:trHeight w:val="370"/>
        </w:trPr>
        <w:tc>
          <w:tcPr>
            <w:tcW w:w="700" w:type="dxa"/>
            <w:vAlign w:val="center"/>
          </w:tcPr>
          <w:p w14:paraId="36DA031B" w14:textId="77777777" w:rsidR="00295AA8" w:rsidRDefault="00295AA8" w:rsidP="00D712D5">
            <w:pPr>
              <w:spacing w:after="0"/>
            </w:pPr>
          </w:p>
        </w:tc>
        <w:tc>
          <w:tcPr>
            <w:tcW w:w="7672" w:type="dxa"/>
            <w:vAlign w:val="center"/>
          </w:tcPr>
          <w:p w14:paraId="64B5FDEB" w14:textId="77777777" w:rsidR="00295AA8" w:rsidRDefault="00295AA8" w:rsidP="00D712D5">
            <w:pPr>
              <w:spacing w:after="0"/>
              <w:jc w:val="center"/>
            </w:pPr>
            <m:oMathPara>
              <m:oMathParaPr>
                <m:jc m:val="center"/>
              </m:oMathParaPr>
              <m:oMath>
                <m:r>
                  <w:rPr>
                    <w:rFonts w:ascii="Cambria Math" w:hAnsi="Cambria Math"/>
                  </w:rPr>
                  <m:t>0≤</m:t>
                </m:r>
                <m:sSub>
                  <m:sSubPr>
                    <m:ctrlPr>
                      <w:rPr>
                        <w:rFonts w:ascii="Cambria Math" w:hAnsi="Cambria Math"/>
                      </w:rPr>
                    </m:ctrlPr>
                  </m:sSubPr>
                  <m:e>
                    <m:r>
                      <w:rPr>
                        <w:rFonts w:ascii="Cambria Math" w:hAnsi="Cambria Math"/>
                      </w:rPr>
                      <m:t>P</m:t>
                    </m:r>
                  </m:e>
                  <m:sub>
                    <m:r>
                      <m:rPr>
                        <m:sty m:val="p"/>
                      </m:rPr>
                      <w:rPr>
                        <w:rFonts w:ascii="Cambria Math" w:hAnsi="Cambria Math"/>
                      </w:rPr>
                      <m:t>dc</m:t>
                    </m:r>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dc</m:t>
                    </m:r>
                  </m:sub>
                  <m:sup>
                    <m:r>
                      <m:rPr>
                        <m:nor/>
                      </m:rPr>
                      <m:t>max</m:t>
                    </m:r>
                  </m:sup>
                </m:sSubSup>
                <m:r>
                  <w:rPr>
                    <w:rFonts w:ascii="Cambria Math" w:hAnsi="Cambria Math"/>
                  </w:rPr>
                  <m:t>, </m:t>
                </m:r>
                <m:sSubSup>
                  <m:sSubSupPr>
                    <m:ctrlPr>
                      <w:rPr>
                        <w:rFonts w:ascii="Cambria Math" w:hAnsi="Cambria Math"/>
                      </w:rPr>
                    </m:ctrlPr>
                  </m:sSubSupPr>
                  <m:e>
                    <m:r>
                      <w:rPr>
                        <w:rFonts w:ascii="Cambria Math" w:hAnsi="Cambria Math"/>
                      </w:rPr>
                      <m:t>P</m:t>
                    </m:r>
                  </m:e>
                  <m:sub>
                    <m:r>
                      <m:rPr>
                        <m:sty m:val="p"/>
                      </m:rPr>
                      <w:rPr>
                        <w:rFonts w:ascii="Cambria Math" w:hAnsi="Cambria Math"/>
                      </w:rPr>
                      <m:t>bat</m:t>
                    </m:r>
                  </m:sub>
                  <m:sup>
                    <m:r>
                      <m:rPr>
                        <m:nor/>
                      </m:rPr>
                      <m:t>min</m:t>
                    </m:r>
                  </m:sup>
                </m:sSubSup>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bat</m:t>
                    </m:r>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bat</m:t>
                    </m:r>
                  </m:sub>
                  <m:sup>
                    <m:r>
                      <m:rPr>
                        <m:nor/>
                      </m:rPr>
                      <m:t>max</m:t>
                    </m:r>
                  </m:sup>
                </m:sSubSup>
                <m:r>
                  <w:rPr>
                    <w:rFonts w:ascii="Cambria Math" w:hAnsi="Cambria Math"/>
                  </w:rPr>
                  <m:t>, </m:t>
                </m:r>
                <m:sSub>
                  <m:sSubPr>
                    <m:ctrlPr>
                      <w:rPr>
                        <w:rFonts w:ascii="Cambria Math" w:hAnsi="Cambria Math"/>
                      </w:rPr>
                    </m:ctrlPr>
                  </m:sSubPr>
                  <m:e>
                    <m:r>
                      <m:rPr>
                        <m:sty m:val="p"/>
                      </m:rPr>
                      <w:rPr>
                        <w:rFonts w:ascii="Cambria Math" w:hAnsi="Cambria Math"/>
                      </w:rPr>
                      <m:t>SoC</m:t>
                    </m:r>
                  </m:e>
                  <m:sub>
                    <m:r>
                      <m:rPr>
                        <m:nor/>
                      </m:rPr>
                      <m:t>min</m:t>
                    </m:r>
                  </m:sub>
                </m:sSub>
                <m:r>
                  <w:rPr>
                    <w:rFonts w:ascii="Cambria Math" w:hAnsi="Cambria Math"/>
                  </w:rPr>
                  <m:t>≤</m:t>
                </m:r>
                <m:sSub>
                  <m:sSubPr>
                    <m:ctrlPr>
                      <w:rPr>
                        <w:rFonts w:ascii="Cambria Math" w:hAnsi="Cambria Math"/>
                      </w:rPr>
                    </m:ctrlPr>
                  </m:sSubPr>
                  <m:e>
                    <m:r>
                      <m:rPr>
                        <m:sty m:val="p"/>
                      </m:rPr>
                      <w:rPr>
                        <w:rFonts w:ascii="Cambria Math" w:hAnsi="Cambria Math"/>
                      </w:rPr>
                      <m:t>SoC</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SoC</m:t>
                    </m:r>
                  </m:e>
                  <m:sub>
                    <m:r>
                      <m:rPr>
                        <m:nor/>
                      </m:rPr>
                      <m:t>max</m:t>
                    </m:r>
                  </m:sub>
                </m:sSub>
                <m:r>
                  <w:rPr>
                    <w:rFonts w:ascii="Cambria Math" w:hAnsi="Cambria Math"/>
                  </w:rPr>
                  <m:t>,</m:t>
                </m:r>
              </m:oMath>
            </m:oMathPara>
          </w:p>
        </w:tc>
        <w:tc>
          <w:tcPr>
            <w:tcW w:w="700" w:type="dxa"/>
            <w:vAlign w:val="center"/>
          </w:tcPr>
          <w:p w14:paraId="34DB1BC7" w14:textId="77777777" w:rsidR="00295AA8" w:rsidRDefault="00295AA8" w:rsidP="00D712D5">
            <w:pPr>
              <w:spacing w:after="0"/>
              <w:jc w:val="right"/>
            </w:pPr>
            <w:r>
              <w:t>(26)</w:t>
            </w:r>
          </w:p>
        </w:tc>
      </w:tr>
    </w:tbl>
    <w:p w14:paraId="080CB48D" w14:textId="77777777" w:rsidR="006551DA" w:rsidRDefault="006551DA" w:rsidP="006551DA"/>
    <w:p w14:paraId="413C2189" w14:textId="6970FE3C" w:rsidR="00295AA8" w:rsidRDefault="004B3A42" w:rsidP="007F5339">
      <w:pPr>
        <w:spacing w:line="276" w:lineRule="auto"/>
        <w:jc w:val="both"/>
      </w:pPr>
      <w:r>
        <w:t xml:space="preserve">in which the battery power bounds are SoC-dependent as encoded by the discriminant of Eq. (17). The problem in Eqs. (25)–(26) involves </w:t>
      </w:r>
      <m:oMath>
        <m:r>
          <w:rPr>
            <w:rFonts w:ascii="Cambria Math" w:hAnsi="Cambria Math"/>
          </w:rPr>
          <m:t>N=3600</m:t>
        </m:r>
      </m:oMath>
      <w:r>
        <w:t xml:space="preserve"> scalar decisions and a one-dimensional state, a size that is tractable offline by DP and in real time by the remaining strategies. The four solution strategies formulated below will be implemented and compared in MAT 4902E.</w:t>
      </w:r>
    </w:p>
    <w:p w14:paraId="6B0A3C0B" w14:textId="77777777" w:rsidR="00FF0B22" w:rsidRDefault="00FF0B22" w:rsidP="007F5339">
      <w:pPr>
        <w:spacing w:line="276" w:lineRule="auto"/>
        <w:jc w:val="both"/>
      </w:pPr>
    </w:p>
    <w:p w14:paraId="48CF3637" w14:textId="67E2AD6D" w:rsidR="00457571" w:rsidRDefault="00126F83" w:rsidP="00457571">
      <w:pPr>
        <w:pStyle w:val="Heading3"/>
        <w:spacing w:line="276" w:lineRule="auto"/>
        <w:jc w:val="both"/>
      </w:pPr>
      <w:bookmarkStart w:id="33" w:name="dynamic-programming"/>
      <w:r>
        <w:t>3.6.2. Dynamic Programming</w:t>
      </w:r>
      <w:bookmarkEnd w:id="33"/>
    </w:p>
    <w:p w14:paraId="4B46D47A" w14:textId="77777777" w:rsidR="00B36030" w:rsidRPr="00B36030" w:rsidRDefault="00B36030" w:rsidP="00B36030"/>
    <w:p w14:paraId="3E7F21E8" w14:textId="01A66EE5" w:rsidR="00457571" w:rsidRDefault="00457571" w:rsidP="00457571">
      <w:pPr>
        <w:pStyle w:val="FirstParagraph"/>
      </w:pPr>
      <w:r>
        <w:lastRenderedPageBreak/>
        <w:t>Dynamic programming computes the global optimum of Eqs. (25)-(26) by the Bellman backward recursion over the cost-to-go function,</w:t>
      </w:r>
    </w:p>
    <w:p w14:paraId="71C8DFCC" w14:textId="77777777" w:rsidR="008D56E2" w:rsidRDefault="008D56E2" w:rsidP="008D56E2">
      <w:pPr>
        <w:pStyle w:val="BodyText"/>
      </w:pPr>
    </w:p>
    <w:tbl>
      <w:tblPr>
        <w:tblStyle w:val="Table"/>
        <w:tblW w:w="9072" w:type="dxa"/>
        <w:tblLayout w:type="fixed"/>
        <w:tblLook w:val="04A0" w:firstRow="1" w:lastRow="0" w:firstColumn="1" w:lastColumn="0" w:noHBand="0" w:noVBand="1"/>
      </w:tblPr>
      <w:tblGrid>
        <w:gridCol w:w="700"/>
        <w:gridCol w:w="7672"/>
        <w:gridCol w:w="700"/>
      </w:tblGrid>
      <w:tr w:rsidR="009A13CB" w14:paraId="60BA985C" w14:textId="77777777" w:rsidTr="00D712D5">
        <w:tc>
          <w:tcPr>
            <w:tcW w:w="700" w:type="dxa"/>
            <w:vAlign w:val="center"/>
          </w:tcPr>
          <w:p w14:paraId="50B7AFA8" w14:textId="77777777" w:rsidR="009A13CB" w:rsidRDefault="009A13CB" w:rsidP="00D712D5">
            <w:pPr>
              <w:spacing w:after="0"/>
            </w:pPr>
          </w:p>
        </w:tc>
        <w:tc>
          <w:tcPr>
            <w:tcW w:w="7672" w:type="dxa"/>
            <w:vAlign w:val="center"/>
          </w:tcPr>
          <w:p w14:paraId="31DAA5EF" w14:textId="77777777" w:rsidR="009A13CB" w:rsidRDefault="009A13CB" w:rsidP="00D712D5">
            <w:pPr>
              <w:spacing w:after="0"/>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SoC</m:t>
                    </m:r>
                  </m:e>
                  <m:sub>
                    <m:r>
                      <w:rPr>
                        <w:rFonts w:ascii="Cambria Math" w:hAnsi="Cambria Math"/>
                      </w:rPr>
                      <m:t>k</m:t>
                    </m:r>
                  </m:sub>
                </m:sSub>
                <m:r>
                  <w:rPr>
                    <w:rFonts w:ascii="Cambria Math" w:hAnsi="Cambria Math"/>
                  </w:rPr>
                  <m:t>)=</m:t>
                </m:r>
                <m:limLow>
                  <m:limLowPr>
                    <m:ctrlPr>
                      <w:rPr>
                        <w:rFonts w:ascii="Cambria Math" w:hAnsi="Cambria Math"/>
                      </w:rPr>
                    </m:ctrlPr>
                  </m:limLowPr>
                  <m:e>
                    <m:r>
                      <m:rPr>
                        <m:nor/>
                      </m:rPr>
                      <m:t>min</m:t>
                    </m:r>
                  </m:e>
                  <m:lim>
                    <m:sSub>
                      <m:sSubPr>
                        <m:ctrlPr>
                          <w:rPr>
                            <w:rFonts w:ascii="Cambria Math" w:hAnsi="Cambria Math"/>
                          </w:rPr>
                        </m:ctrlPr>
                      </m:sSubPr>
                      <m:e>
                        <m:r>
                          <w:rPr>
                            <w:rFonts w:ascii="Cambria Math" w:hAnsi="Cambria Math"/>
                          </w:rPr>
                          <m:t>P</m:t>
                        </m:r>
                      </m:e>
                      <m:sub>
                        <m:r>
                          <m:rPr>
                            <m:sty m:val="p"/>
                          </m:rPr>
                          <w:rPr>
                            <w:rFonts w:ascii="Cambria Math" w:hAnsi="Cambria Math"/>
                          </w:rPr>
                          <m:t>dc</m:t>
                        </m:r>
                        <m:r>
                          <w:rPr>
                            <w:rFonts w:ascii="Cambria Math" w:hAnsi="Cambria Math"/>
                          </w:rPr>
                          <m:t>,k</m:t>
                        </m:r>
                      </m:sub>
                    </m:sSub>
                  </m:lim>
                </m:limLow>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SoC</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dc</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k+1</m:t>
                    </m:r>
                  </m:sub>
                </m:sSub>
                <m:r>
                  <w:rPr>
                    <w:rFonts w:ascii="Cambria Math" w:hAnsi="Cambria Math"/>
                  </w:rPr>
                  <m:t>(</m:t>
                </m:r>
                <m:sSub>
                  <m:sSubPr>
                    <m:ctrlPr>
                      <w:rPr>
                        <w:rFonts w:ascii="Cambria Math" w:hAnsi="Cambria Math"/>
                      </w:rPr>
                    </m:ctrlPr>
                  </m:sSubPr>
                  <m:e>
                    <m:r>
                      <m:rPr>
                        <m:sty m:val="p"/>
                      </m:rPr>
                      <w:rPr>
                        <w:rFonts w:ascii="Cambria Math" w:hAnsi="Cambria Math"/>
                      </w:rPr>
                      <m:t>SoC</m:t>
                    </m:r>
                  </m:e>
                  <m:sub>
                    <m:r>
                      <w:rPr>
                        <w:rFonts w:ascii="Cambria Math" w:hAnsi="Cambria Math"/>
                      </w:rPr>
                      <m:t>k+1</m:t>
                    </m:r>
                  </m:sub>
                </m:sSub>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=Φ(</m:t>
                </m:r>
                <m:sSub>
                  <m:sSubPr>
                    <m:ctrlPr>
                      <w:rPr>
                        <w:rFonts w:ascii="Cambria Math" w:hAnsi="Cambria Math"/>
                      </w:rPr>
                    </m:ctrlPr>
                  </m:sSubPr>
                  <m:e>
                    <m:r>
                      <m:rPr>
                        <m:sty m:val="p"/>
                      </m:rPr>
                      <w:rPr>
                        <w:rFonts w:ascii="Cambria Math" w:hAnsi="Cambria Math"/>
                      </w:rPr>
                      <m:t>SoC</m:t>
                    </m:r>
                  </m:e>
                  <m:sub>
                    <m:r>
                      <w:rPr>
                        <w:rFonts w:ascii="Cambria Math" w:hAnsi="Cambria Math"/>
                      </w:rPr>
                      <m:t>N</m:t>
                    </m:r>
                  </m:sub>
                </m:sSub>
                <m:r>
                  <w:rPr>
                    <w:rFonts w:ascii="Cambria Math" w:hAnsi="Cambria Math"/>
                  </w:rPr>
                  <m:t>),</m:t>
                </m:r>
              </m:oMath>
            </m:oMathPara>
          </w:p>
        </w:tc>
        <w:tc>
          <w:tcPr>
            <w:tcW w:w="700" w:type="dxa"/>
            <w:vAlign w:val="center"/>
          </w:tcPr>
          <w:p w14:paraId="2C1C9CDD" w14:textId="77777777" w:rsidR="009A13CB" w:rsidRDefault="009A13CB" w:rsidP="00D712D5">
            <w:pPr>
              <w:spacing w:after="0"/>
              <w:jc w:val="right"/>
            </w:pPr>
            <w:r>
              <w:t>(27)</w:t>
            </w:r>
          </w:p>
        </w:tc>
      </w:tr>
    </w:tbl>
    <w:p w14:paraId="1D012A12" w14:textId="77777777" w:rsidR="009A13CB" w:rsidRPr="008D56E2" w:rsidRDefault="009A13CB" w:rsidP="008D56E2">
      <w:pPr>
        <w:pStyle w:val="BodyText"/>
      </w:pPr>
    </w:p>
    <w:p w14:paraId="6B1ABFAC" w14:textId="31B9A43B" w:rsidR="00126F83" w:rsidRDefault="00DF5F77" w:rsidP="007F5339">
      <w:pPr>
        <w:spacing w:line="276" w:lineRule="auto"/>
        <w:jc w:val="both"/>
      </w:pPr>
      <w:r>
        <w:t>evaluated on a discretized state decision grid (</w:t>
      </w:r>
      <m:oMath>
        <m:r>
          <w:rPr>
            <w:rFonts w:ascii="Cambria Math" w:hAnsi="Cambria Math"/>
          </w:rPr>
          <m:t>Δ</m:t>
        </m:r>
        <m:r>
          <m:rPr>
            <m:sty m:val="p"/>
          </m:rPr>
          <w:rPr>
            <w:rFonts w:ascii="Cambria Math" w:hAnsi="Cambria Math"/>
          </w:rPr>
          <m:t>SoC</m:t>
        </m:r>
        <m:r>
          <w:rPr>
            <w:rFonts w:ascii="Cambria Math" w:hAnsi="Cambria Math"/>
          </w:rPr>
          <m:t>=0.005</m:t>
        </m:r>
      </m:oMath>
      <w:r>
        <w:t xml:space="preserve">, </w:t>
      </w:r>
      <m:oMath>
        <m:r>
          <w:rPr>
            <w:rFonts w:ascii="Cambria Math" w:hAnsi="Cambria Math"/>
          </w:rPr>
          <m:t>Δ</m:t>
        </m:r>
        <m:sSub>
          <m:sSubPr>
            <m:ctrlPr>
              <w:rPr>
                <w:rFonts w:ascii="Cambria Math" w:hAnsi="Cambria Math"/>
              </w:rPr>
            </m:ctrlPr>
          </m:sSubPr>
          <m:e>
            <m:r>
              <w:rPr>
                <w:rFonts w:ascii="Cambria Math" w:hAnsi="Cambria Math"/>
              </w:rPr>
              <m:t>P</m:t>
            </m:r>
          </m:e>
          <m:sub>
            <m:r>
              <m:rPr>
                <m:sty m:val="p"/>
              </m:rPr>
              <w:rPr>
                <w:rFonts w:ascii="Cambria Math" w:hAnsi="Cambria Math"/>
              </w:rPr>
              <m:t>dc</m:t>
            </m:r>
          </m:sub>
        </m:sSub>
        <m:r>
          <w:rPr>
            <w:rFonts w:ascii="Cambria Math" w:hAnsi="Cambria Math"/>
          </w:rPr>
          <m:t>=1</m:t>
        </m:r>
      </m:oMath>
      <w:r>
        <w:t xml:space="preserve"> kW), following the implementation structure of Sundström and Guzzella [15] and the theoretical framework of Bertsekas [16]. Because DP requires knowing the entire power demand in advance, it cannot be implemented in a real vehicle. Instead, it serves purely as a theoretical benchmark to evaluate real-time strategies. </w:t>
      </w:r>
    </w:p>
    <w:p w14:paraId="636DFB0A" w14:textId="77777777" w:rsidR="00B36030" w:rsidRDefault="00B36030" w:rsidP="007F5339">
      <w:pPr>
        <w:spacing w:line="276" w:lineRule="auto"/>
        <w:jc w:val="both"/>
      </w:pPr>
    </w:p>
    <w:p w14:paraId="4ED7B2AC" w14:textId="77777777" w:rsidR="00B36030" w:rsidRDefault="00B36030" w:rsidP="00B36030">
      <w:pPr>
        <w:pStyle w:val="Heading3"/>
      </w:pPr>
      <w:bookmarkStart w:id="34" w:name="adaptive-ecms"/>
      <w:r>
        <w:t>3.6.3. Adaptive ECMS</w:t>
      </w:r>
      <w:bookmarkEnd w:id="34"/>
    </w:p>
    <w:p w14:paraId="1D89E9B6" w14:textId="77777777" w:rsidR="00B36030" w:rsidRDefault="00B36030" w:rsidP="007F5339">
      <w:pPr>
        <w:spacing w:line="276" w:lineRule="auto"/>
        <w:jc w:val="both"/>
      </w:pPr>
    </w:p>
    <w:p w14:paraId="6C7F2517" w14:textId="7E38C30A" w:rsidR="000761C4" w:rsidRDefault="000761C4" w:rsidP="000761C4">
      <w:pPr>
        <w:pStyle w:val="FirstParagraph"/>
      </w:pPr>
      <w:r>
        <w:t>The real-time counterpart of the optimal solution is constructed from Pontryagin’s Minimum Principle, according to which the optimal decision minimizes, at every instant, the Hamiltonian</w:t>
      </w:r>
    </w:p>
    <w:p w14:paraId="6AA9EB29" w14:textId="77777777" w:rsidR="00B36030" w:rsidRDefault="00B36030" w:rsidP="007F5339">
      <w:pPr>
        <w:spacing w:line="276" w:lineRule="auto"/>
        <w:jc w:val="both"/>
      </w:pPr>
    </w:p>
    <w:tbl>
      <w:tblPr>
        <w:tblStyle w:val="Table"/>
        <w:tblW w:w="9072" w:type="dxa"/>
        <w:tblLayout w:type="fixed"/>
        <w:tblLook w:val="04A0" w:firstRow="1" w:lastRow="0" w:firstColumn="1" w:lastColumn="0" w:noHBand="0" w:noVBand="1"/>
      </w:tblPr>
      <w:tblGrid>
        <w:gridCol w:w="700"/>
        <w:gridCol w:w="7672"/>
        <w:gridCol w:w="700"/>
      </w:tblGrid>
      <w:tr w:rsidR="00587746" w14:paraId="322C1C1C" w14:textId="77777777" w:rsidTr="00D712D5">
        <w:tc>
          <w:tcPr>
            <w:tcW w:w="700" w:type="dxa"/>
            <w:vAlign w:val="center"/>
          </w:tcPr>
          <w:p w14:paraId="54408636" w14:textId="77777777" w:rsidR="00587746" w:rsidRDefault="00587746" w:rsidP="00D712D5">
            <w:pPr>
              <w:spacing w:after="0"/>
            </w:pPr>
          </w:p>
        </w:tc>
        <w:tc>
          <w:tcPr>
            <w:tcW w:w="7672" w:type="dxa"/>
            <w:vAlign w:val="center"/>
          </w:tcPr>
          <w:p w14:paraId="4A6997AA" w14:textId="77777777" w:rsidR="00587746" w:rsidRDefault="00587746" w:rsidP="00D712D5">
            <w:pPr>
              <w:spacing w:after="0"/>
              <w:jc w:val="center"/>
            </w:pPr>
            <m:oMathPara>
              <m:oMathParaPr>
                <m:jc m:val="center"/>
              </m:oMathParaPr>
              <m:oMath>
                <m:r>
                  <w:rPr>
                    <w:rFonts w:ascii="Cambria Math" w:hAnsi="Cambria Math"/>
                  </w:rPr>
                  <m:t>H(</m:t>
                </m:r>
                <m:r>
                  <m:rPr>
                    <m:sty m:val="p"/>
                  </m:rPr>
                  <w:rPr>
                    <w:rFonts w:ascii="Cambria Math" w:hAnsi="Cambria Math"/>
                  </w:rPr>
                  <m:t>SoC</m:t>
                </m:r>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dc</m:t>
                    </m:r>
                  </m:sub>
                </m:sSub>
                <m:r>
                  <w:rPr>
                    <w:rFonts w:ascii="Cambria Math" w:hAnsi="Cambria Math"/>
                  </w:rPr>
                  <m:t>,λ,t)=L(</m:t>
                </m:r>
                <m:r>
                  <m:rPr>
                    <m:sty m:val="p"/>
                  </m:rPr>
                  <w:rPr>
                    <w:rFonts w:ascii="Cambria Math" w:hAnsi="Cambria Math"/>
                  </w:rPr>
                  <m:t>SoC</m:t>
                </m:r>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dc</m:t>
                    </m:r>
                  </m:sub>
                </m:sSub>
                <m:r>
                  <w:rPr>
                    <w:rFonts w:ascii="Cambria Math" w:hAnsi="Cambria Math"/>
                  </w:rPr>
                  <m:t>)+λ </m:t>
                </m:r>
                <m:acc>
                  <m:accPr>
                    <m:chr m:val="̇"/>
                    <m:ctrlPr>
                      <w:rPr>
                        <w:rFonts w:ascii="Cambria Math" w:hAnsi="Cambria Math"/>
                      </w:rPr>
                    </m:ctrlPr>
                  </m:accPr>
                  <m:e>
                    <m:r>
                      <m:rPr>
                        <m:sty m:val="p"/>
                      </m:rPr>
                      <w:rPr>
                        <w:rFonts w:ascii="Cambria Math" w:hAnsi="Cambria Math"/>
                      </w:rPr>
                      <m:t>SoC</m:t>
                    </m:r>
                  </m:e>
                </m:acc>
                <m:r>
                  <w:rPr>
                    <w:rFonts w:ascii="Cambria Math" w:hAnsi="Cambria Math"/>
                  </w:rPr>
                  <m:t>,</m:t>
                </m:r>
              </m:oMath>
            </m:oMathPara>
          </w:p>
        </w:tc>
        <w:tc>
          <w:tcPr>
            <w:tcW w:w="700" w:type="dxa"/>
            <w:vAlign w:val="center"/>
          </w:tcPr>
          <w:p w14:paraId="4FEC2AA0" w14:textId="77777777" w:rsidR="00587746" w:rsidRDefault="00587746" w:rsidP="00D712D5">
            <w:pPr>
              <w:spacing w:after="0"/>
              <w:jc w:val="right"/>
            </w:pPr>
            <w:r>
              <w:t>(28)</w:t>
            </w:r>
          </w:p>
        </w:tc>
      </w:tr>
    </w:tbl>
    <w:p w14:paraId="7DDA9943" w14:textId="77777777" w:rsidR="006551DA" w:rsidRDefault="006551DA" w:rsidP="006551DA"/>
    <w:p w14:paraId="0233C5B2" w14:textId="77777777" w:rsidR="00310F4E" w:rsidRDefault="00310F4E" w:rsidP="00310F4E">
      <w:pPr>
        <w:pStyle w:val="FirstParagraph"/>
      </w:pPr>
      <w:r>
        <w:t xml:space="preserve">where </w:t>
      </w:r>
      <m:oMath>
        <m:r>
          <w:rPr>
            <w:rFonts w:ascii="Cambria Math" w:hAnsi="Cambria Math"/>
          </w:rPr>
          <m:t>λ</m:t>
        </m:r>
      </m:oMath>
      <w:r>
        <w:t xml:space="preserve"> is the co-state [2], [4]. In the adaptive ECMS implementation, the role of the co-state is taken by an equivalence factor </w:t>
      </w:r>
      <m:oMath>
        <m:r>
          <w:rPr>
            <w:rFonts w:ascii="Cambria Math" w:hAnsi="Cambria Math"/>
          </w:rPr>
          <m:t>s(t)</m:t>
        </m:r>
      </m:oMath>
      <w:r>
        <w:t xml:space="preserve"> which is updated online by a proportional–integral law on the SoC tracking error, following Gao et al. [5],</w:t>
      </w:r>
    </w:p>
    <w:p w14:paraId="149E9D5B" w14:textId="77777777" w:rsidR="00F61B41" w:rsidRDefault="00F61B41" w:rsidP="00F61B41">
      <w:pPr>
        <w:pStyle w:val="BodyText"/>
      </w:pPr>
    </w:p>
    <w:tbl>
      <w:tblPr>
        <w:tblStyle w:val="Table"/>
        <w:tblW w:w="9072" w:type="dxa"/>
        <w:tblLayout w:type="fixed"/>
        <w:tblLook w:val="04A0" w:firstRow="1" w:lastRow="0" w:firstColumn="1" w:lastColumn="0" w:noHBand="0" w:noVBand="1"/>
      </w:tblPr>
      <w:tblGrid>
        <w:gridCol w:w="700"/>
        <w:gridCol w:w="7672"/>
        <w:gridCol w:w="700"/>
      </w:tblGrid>
      <w:tr w:rsidR="00F61B41" w14:paraId="159FC87A" w14:textId="77777777" w:rsidTr="00D712D5">
        <w:tc>
          <w:tcPr>
            <w:tcW w:w="700" w:type="dxa"/>
            <w:vAlign w:val="center"/>
          </w:tcPr>
          <w:p w14:paraId="5011D501" w14:textId="77777777" w:rsidR="00F61B41" w:rsidRDefault="00F61B41" w:rsidP="00D712D5">
            <w:pPr>
              <w:spacing w:after="0"/>
            </w:pPr>
          </w:p>
        </w:tc>
        <w:tc>
          <w:tcPr>
            <w:tcW w:w="7672" w:type="dxa"/>
            <w:vAlign w:val="center"/>
          </w:tcPr>
          <w:p w14:paraId="57256F10" w14:textId="77777777" w:rsidR="00F61B41" w:rsidRDefault="00F61B41" w:rsidP="00D712D5">
            <w:pPr>
              <w:spacing w:after="0"/>
              <w:jc w:val="center"/>
            </w:pPr>
            <m:oMathPara>
              <m:oMathParaPr>
                <m:jc m:val="center"/>
              </m:oMathParaPr>
              <m:oMath>
                <m:r>
                  <w:rPr>
                    <w:rFonts w:ascii="Cambria Math" w:hAnsi="Cambria Math"/>
                  </w:rPr>
                  <m:t>s(t)=</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 </m:t>
                </m:r>
                <m:sSub>
                  <m:sSubPr>
                    <m:ctrlPr>
                      <w:rPr>
                        <w:rFonts w:ascii="Cambria Math" w:hAnsi="Cambria Math"/>
                      </w:rPr>
                    </m:ctrlPr>
                  </m:sSubPr>
                  <m:e>
                    <m:r>
                      <w:rPr>
                        <w:rFonts w:ascii="Cambria Math" w:hAnsi="Cambria Math"/>
                      </w:rPr>
                      <m:t>e</m:t>
                    </m:r>
                  </m:e>
                  <m:sub>
                    <m:r>
                      <m:rPr>
                        <m:sty m:val="p"/>
                      </m:rPr>
                      <w:rPr>
                        <w:rFonts w:ascii="Cambria Math" w:hAnsi="Cambria Math"/>
                      </w:rPr>
                      <m:t>SoC</m:t>
                    </m:r>
                  </m:sub>
                </m:sSub>
                <m:r>
                  <w:rPr>
                    <w:rFonts w:ascii="Cambria Math" w:hAnsi="Cambria Math"/>
                  </w:rPr>
                  <m:t>(t)+n</m:t>
                </m:r>
                <m:nary>
                  <m:naryPr>
                    <m:limLoc m:val="subSup"/>
                    <m:ctrlPr>
                      <w:rPr>
                        <w:rFonts w:ascii="Cambria Math" w:hAnsi="Cambria Math"/>
                      </w:rPr>
                    </m:ctrlPr>
                  </m:naryPr>
                  <m:sub>
                    <m:r>
                      <w:rPr>
                        <w:rFonts w:ascii="Cambria Math" w:hAnsi="Cambria Math"/>
                      </w:rPr>
                      <m:t>0</m:t>
                    </m:r>
                  </m:sub>
                  <m:sup>
                    <m:r>
                      <w:rPr>
                        <w:rFonts w:ascii="Cambria Math" w:hAnsi="Cambria Math"/>
                      </w:rPr>
                      <m:t>t</m:t>
                    </m:r>
                  </m:sup>
                  <m:e>
                    <m:sSub>
                      <m:sSubPr>
                        <m:ctrlPr>
                          <w:rPr>
                            <w:rFonts w:ascii="Cambria Math" w:hAnsi="Cambria Math"/>
                          </w:rPr>
                        </m:ctrlPr>
                      </m:sSubPr>
                      <m:e>
                        <m:r>
                          <w:rPr>
                            <w:rFonts w:ascii="Cambria Math" w:hAnsi="Cambria Math"/>
                          </w:rPr>
                          <m:t>e</m:t>
                        </m:r>
                      </m:e>
                      <m:sub>
                        <m:r>
                          <m:rPr>
                            <m:sty m:val="p"/>
                          </m:rPr>
                          <w:rPr>
                            <w:rFonts w:ascii="Cambria Math" w:hAnsi="Cambria Math"/>
                          </w:rPr>
                          <m:t>SoC</m:t>
                        </m:r>
                      </m:sub>
                    </m:sSub>
                  </m:e>
                </m:nary>
                <m:r>
                  <w:rPr>
                    <w:rFonts w:ascii="Cambria Math" w:hAnsi="Cambria Math"/>
                  </w:rPr>
                  <m:t>(τ) </m:t>
                </m:r>
                <m:r>
                  <m:rPr>
                    <m:sty m:val="p"/>
                  </m:rPr>
                  <w:rPr>
                    <w:rFonts w:ascii="Cambria Math" w:hAnsi="Cambria Math"/>
                  </w:rPr>
                  <m:t>d</m:t>
                </m:r>
                <m:r>
                  <w:rPr>
                    <w:rFonts w:ascii="Cambria Math" w:hAnsi="Cambria Math"/>
                  </w:rPr>
                  <m:t>τ,  </m:t>
                </m:r>
                <m:sSub>
                  <m:sSubPr>
                    <m:ctrlPr>
                      <w:rPr>
                        <w:rFonts w:ascii="Cambria Math" w:hAnsi="Cambria Math"/>
                      </w:rPr>
                    </m:ctrlPr>
                  </m:sSubPr>
                  <m:e>
                    <m:r>
                      <w:rPr>
                        <w:rFonts w:ascii="Cambria Math" w:hAnsi="Cambria Math"/>
                      </w:rPr>
                      <m:t>e</m:t>
                    </m:r>
                  </m:e>
                  <m:sub>
                    <m:r>
                      <m:rPr>
                        <m:sty m:val="p"/>
                      </m:rPr>
                      <w:rPr>
                        <w:rFonts w:ascii="Cambria Math" w:hAnsi="Cambria Math"/>
                      </w:rPr>
                      <m:t>SoC</m:t>
                    </m:r>
                  </m:sub>
                </m:sSub>
                <m:r>
                  <w:rPr>
                    <w:rFonts w:ascii="Cambria Math" w:hAnsi="Cambria Math"/>
                  </w:rPr>
                  <m:t>=</m:t>
                </m:r>
                <m:sSub>
                  <m:sSubPr>
                    <m:ctrlPr>
                      <w:rPr>
                        <w:rFonts w:ascii="Cambria Math" w:hAnsi="Cambria Math"/>
                      </w:rPr>
                    </m:ctrlPr>
                  </m:sSubPr>
                  <m:e>
                    <m:r>
                      <m:rPr>
                        <m:sty m:val="p"/>
                      </m:rPr>
                      <w:rPr>
                        <w:rFonts w:ascii="Cambria Math" w:hAnsi="Cambria Math"/>
                      </w:rPr>
                      <m:t>SoC</m:t>
                    </m:r>
                  </m:e>
                  <m:sub>
                    <m:r>
                      <m:rPr>
                        <m:sty m:val="p"/>
                      </m:rPr>
                      <w:rPr>
                        <w:rFonts w:ascii="Cambria Math" w:hAnsi="Cambria Math"/>
                      </w:rPr>
                      <m:t>ref</m:t>
                    </m:r>
                  </m:sub>
                </m:sSub>
                <m:r>
                  <w:rPr>
                    <w:rFonts w:ascii="Cambria Math" w:hAnsi="Cambria Math"/>
                  </w:rPr>
                  <m:t>(t)-</m:t>
                </m:r>
                <m:r>
                  <m:rPr>
                    <m:sty m:val="p"/>
                  </m:rPr>
                  <w:rPr>
                    <w:rFonts w:ascii="Cambria Math" w:hAnsi="Cambria Math"/>
                  </w:rPr>
                  <m:t>SoC</m:t>
                </m:r>
                <m:r>
                  <w:rPr>
                    <w:rFonts w:ascii="Cambria Math" w:hAnsi="Cambria Math"/>
                  </w:rPr>
                  <m:t>(t),</m:t>
                </m:r>
              </m:oMath>
            </m:oMathPara>
          </w:p>
        </w:tc>
        <w:tc>
          <w:tcPr>
            <w:tcW w:w="700" w:type="dxa"/>
            <w:vAlign w:val="center"/>
          </w:tcPr>
          <w:p w14:paraId="5222A1A3" w14:textId="77777777" w:rsidR="00F61B41" w:rsidRDefault="00F61B41" w:rsidP="00D712D5">
            <w:pPr>
              <w:spacing w:after="0"/>
              <w:jc w:val="right"/>
            </w:pPr>
            <w:r>
              <w:t>(29)</w:t>
            </w:r>
          </w:p>
        </w:tc>
      </w:tr>
    </w:tbl>
    <w:p w14:paraId="4AAC53A6" w14:textId="77777777" w:rsidR="00F61B41" w:rsidRDefault="00F61B41" w:rsidP="00F61B41">
      <w:pPr>
        <w:pStyle w:val="BodyText"/>
      </w:pPr>
    </w:p>
    <w:p w14:paraId="2E5D4892" w14:textId="3DBC4B19" w:rsidR="006B31F2" w:rsidRDefault="00D3235A" w:rsidP="000301E8">
      <w:pPr>
        <w:pStyle w:val="BodyText"/>
        <w:spacing w:line="276" w:lineRule="auto"/>
        <w:jc w:val="both"/>
      </w:pPr>
      <w:r>
        <w:t xml:space="preserve">where the reference trajectory </w:t>
      </w:r>
      <m:oMath>
        <m:sSub>
          <m:sSubPr>
            <m:ctrlPr>
              <w:rPr>
                <w:rFonts w:ascii="Cambria Math" w:hAnsi="Cambria Math"/>
              </w:rPr>
            </m:ctrlPr>
          </m:sSubPr>
          <m:e>
            <m:r>
              <m:rPr>
                <m:sty m:val="p"/>
              </m:rPr>
              <w:rPr>
                <w:rFonts w:ascii="Cambria Math" w:hAnsi="Cambria Math"/>
              </w:rPr>
              <m:t>SoC</m:t>
            </m:r>
          </m:e>
          <m:sub>
            <m:r>
              <m:rPr>
                <m:sty m:val="p"/>
              </m:rPr>
              <w:rPr>
                <w:rFonts w:ascii="Cambria Math" w:hAnsi="Cambria Math"/>
              </w:rPr>
              <m:t>ref</m:t>
            </m:r>
          </m:sub>
        </m:sSub>
        <m:r>
          <w:rPr>
            <w:rFonts w:ascii="Cambria Math" w:hAnsi="Cambria Math"/>
          </w:rPr>
          <m:t>(t)</m:t>
        </m:r>
      </m:oMath>
      <w:r>
        <w:t xml:space="preserve"> decreases linearly from 0.90 to 0.25 over the trip, in accordance with the charge-depleting character of the plug-in operation [4]. For the plug-in case, adapting the equivalence factor (Eq. 29) is important. As shown by Xu et al. [4], a constant factor can push the strategy to extreme physical limits. To prevent this, a feedback law continuously guides the SoC toward its reference. At each time step, the Hamiltonian (Eq. 28) is evaluated across a discrete grid, and the power </w:t>
      </w:r>
      <m:oMath>
        <m:sSub>
          <m:sSubPr>
            <m:ctrlPr>
              <w:rPr>
                <w:rFonts w:ascii="Cambria Math" w:hAnsi="Cambria Math"/>
              </w:rPr>
            </m:ctrlPr>
          </m:sSubPr>
          <m:e>
            <m:r>
              <w:rPr>
                <w:rFonts w:ascii="Cambria Math" w:hAnsi="Cambria Math"/>
              </w:rPr>
              <m:t>P</m:t>
            </m:r>
          </m:e>
          <m:sub>
            <m:r>
              <m:rPr>
                <m:sty m:val="p"/>
              </m:rPr>
              <w:rPr>
                <w:rFonts w:ascii="Cambria Math" w:hAnsi="Cambria Math"/>
              </w:rPr>
              <m:t>dc</m:t>
            </m:r>
          </m:sub>
        </m:sSub>
      </m:oMath>
      <w:r>
        <w:rPr>
          <w:rFonts w:eastAsiaTheme="minorEastAsia"/>
        </w:rPr>
        <w:t xml:space="preserve"> </w:t>
      </w:r>
      <w:r>
        <w:t>that minimizes the cost is applied.</w:t>
      </w:r>
      <w:bookmarkStart w:id="35" w:name="model-predictive-control"/>
    </w:p>
    <w:p w14:paraId="3E1452D4" w14:textId="77777777" w:rsidR="000301E8" w:rsidRDefault="000301E8" w:rsidP="006B31F2">
      <w:pPr>
        <w:pStyle w:val="Heading3"/>
        <w:spacing w:line="276" w:lineRule="auto"/>
        <w:jc w:val="both"/>
      </w:pPr>
    </w:p>
    <w:p w14:paraId="1D35BD47" w14:textId="4A085E3E" w:rsidR="006B31F2" w:rsidRDefault="006B31F2" w:rsidP="006B31F2">
      <w:pPr>
        <w:pStyle w:val="Heading3"/>
        <w:spacing w:line="276" w:lineRule="auto"/>
        <w:jc w:val="both"/>
      </w:pPr>
      <w:r>
        <w:t>3.6.4. Model Predictive Control</w:t>
      </w:r>
      <w:bookmarkEnd w:id="35"/>
    </w:p>
    <w:p w14:paraId="5C4BD611" w14:textId="77777777" w:rsidR="006B31F2" w:rsidRDefault="006B31F2" w:rsidP="006B31F2"/>
    <w:p w14:paraId="6206D494" w14:textId="77777777" w:rsidR="00A417E0" w:rsidRDefault="00A417E0" w:rsidP="00A417E0">
      <w:pPr>
        <w:pStyle w:val="FirstParagraph"/>
      </w:pPr>
      <w:r>
        <w:t xml:space="preserve">MPC solves, at every instant </w:t>
      </w:r>
      <m:oMath>
        <m:r>
          <w:rPr>
            <w:rFonts w:ascii="Cambria Math" w:hAnsi="Cambria Math"/>
          </w:rPr>
          <m:t>k</m:t>
        </m:r>
      </m:oMath>
      <w:r>
        <w:t>, the finite-horizon restriction of Eqs. (25)–(26),</w:t>
      </w:r>
    </w:p>
    <w:tbl>
      <w:tblPr>
        <w:tblStyle w:val="Table"/>
        <w:tblW w:w="9072" w:type="dxa"/>
        <w:tblLayout w:type="fixed"/>
        <w:tblLook w:val="04A0" w:firstRow="1" w:lastRow="0" w:firstColumn="1" w:lastColumn="0" w:noHBand="0" w:noVBand="1"/>
      </w:tblPr>
      <w:tblGrid>
        <w:gridCol w:w="700"/>
        <w:gridCol w:w="7672"/>
        <w:gridCol w:w="700"/>
      </w:tblGrid>
      <w:tr w:rsidR="000301E8" w14:paraId="4605E0AF" w14:textId="77777777" w:rsidTr="00D712D5">
        <w:tc>
          <w:tcPr>
            <w:tcW w:w="700" w:type="dxa"/>
            <w:vAlign w:val="center"/>
          </w:tcPr>
          <w:p w14:paraId="2CAAAB5C" w14:textId="77777777" w:rsidR="000301E8" w:rsidRDefault="000301E8" w:rsidP="00D712D5">
            <w:pPr>
              <w:spacing w:after="0"/>
            </w:pPr>
          </w:p>
        </w:tc>
        <w:tc>
          <w:tcPr>
            <w:tcW w:w="7672" w:type="dxa"/>
            <w:vAlign w:val="center"/>
          </w:tcPr>
          <w:p w14:paraId="2A7CA557" w14:textId="77777777" w:rsidR="000301E8" w:rsidRDefault="000301E8" w:rsidP="00D712D5">
            <w:pPr>
              <w:spacing w:after="0"/>
              <w:jc w:val="center"/>
            </w:pPr>
            <m:oMathPara>
              <m:oMathParaPr>
                <m:jc m:val="center"/>
              </m:oMathParaPr>
              <m:oMath>
                <m:limLow>
                  <m:limLowPr>
                    <m:ctrlPr>
                      <w:rPr>
                        <w:rFonts w:ascii="Cambria Math" w:hAnsi="Cambria Math"/>
                      </w:rPr>
                    </m:ctrlPr>
                  </m:limLowPr>
                  <m:e>
                    <m:r>
                      <m:rPr>
                        <m:nor/>
                      </m:rPr>
                      <m:t>min</m:t>
                    </m:r>
                  </m:e>
                  <m:lim>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dc</m:t>
                        </m:r>
                        <m:r>
                          <w:rPr>
                            <w:rFonts w:ascii="Cambria Math" w:hAnsi="Cambria Math"/>
                          </w:rPr>
                          <m:t>,j</m:t>
                        </m:r>
                      </m:sub>
                    </m:sSub>
                    <m:sSubSup>
                      <m:sSubSupPr>
                        <m:ctrlPr>
                          <w:rPr>
                            <w:rFonts w:ascii="Cambria Math" w:hAnsi="Cambria Math"/>
                          </w:rPr>
                        </m:ctrlPr>
                      </m:sSubSupPr>
                      <m:e>
                        <m:r>
                          <w:rPr>
                            <w:rFonts w:ascii="Cambria Math" w:hAnsi="Cambria Math"/>
                          </w:rPr>
                          <m:t>}</m:t>
                        </m:r>
                      </m:e>
                      <m:sub>
                        <m:r>
                          <w:rPr>
                            <w:rFonts w:ascii="Cambria Math" w:hAnsi="Cambria Math"/>
                          </w:rPr>
                          <m:t>j=k</m:t>
                        </m:r>
                      </m:sub>
                      <m:sup>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-1</m:t>
                        </m:r>
                      </m:sup>
                    </m:sSubSup>
                  </m:lim>
                </m:limLow>
                <m:nary>
                  <m:naryPr>
                    <m:chr m:val="∑"/>
                    <m:limLoc m:val="undOvr"/>
                    <m:ctrlPr>
                      <w:rPr>
                        <w:rFonts w:ascii="Cambria Math" w:hAnsi="Cambria Math"/>
                      </w:rPr>
                    </m:ctrlPr>
                  </m:naryPr>
                  <m:sub>
                    <m:r>
                      <w:rPr>
                        <w:rFonts w:ascii="Cambria Math" w:hAnsi="Cambria Math"/>
                      </w:rPr>
                      <m:t>j=k</m:t>
                    </m:r>
                  </m:sub>
                  <m:sup>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-1</m:t>
                    </m:r>
                  </m:sup>
                  <m:e>
                    <m:sSub>
                      <m:sSubPr>
                        <m:ctrlPr>
                          <w:rPr>
                            <w:rFonts w:ascii="Cambria Math" w:hAnsi="Cambria Math"/>
                          </w:rPr>
                        </m:ctrlPr>
                      </m:sSubPr>
                      <m:e>
                        <m:r>
                          <w:rPr>
                            <w:rFonts w:ascii="Cambria Math" w:hAnsi="Cambria Math"/>
                          </w:rPr>
                          <m:t>L</m:t>
                        </m:r>
                      </m:e>
                      <m:sub>
                        <m:r>
                          <w:rPr>
                            <w:rFonts w:ascii="Cambria Math" w:hAnsi="Cambria Math"/>
                          </w:rPr>
                          <m:t>j</m:t>
                        </m:r>
                      </m:sub>
                    </m:sSub>
                  </m:e>
                </m:nary>
                <m:r>
                  <w:rPr>
                    <w:rFonts w:ascii="Cambria Math" w:hAnsi="Cambria Math"/>
                  </w:rPr>
                  <m:t>(</m:t>
                </m:r>
                <m:sSub>
                  <m:sSubPr>
                    <m:ctrlPr>
                      <w:rPr>
                        <w:rFonts w:ascii="Cambria Math" w:hAnsi="Cambria Math"/>
                      </w:rPr>
                    </m:ctrlPr>
                  </m:sSubPr>
                  <m:e>
                    <m:r>
                      <m:rPr>
                        <m:sty m:val="p"/>
                      </m:rPr>
                      <w:rPr>
                        <w:rFonts w:ascii="Cambria Math" w:hAnsi="Cambria Math"/>
                      </w:rPr>
                      <m:t>SoC</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dc</m:t>
                    </m:r>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γ</m:t>
                    </m:r>
                  </m:e>
                  <m:sub>
                    <m:r>
                      <m:rPr>
                        <m:sty m:val="p"/>
                      </m:rPr>
                      <w:rPr>
                        <w:rFonts w:ascii="Cambria Math" w:hAnsi="Cambria Math"/>
                      </w:rPr>
                      <m:t>MPC</m:t>
                    </m:r>
                  </m:sub>
                </m:sSub>
                <m:r>
                  <w:rPr>
                    <w:rFonts w:ascii="Cambria Math" w:hAnsi="Cambria Math"/>
                  </w:rPr>
                  <m:t>(</m:t>
                </m:r>
                <m:sSub>
                  <m:sSubPr>
                    <m:ctrlPr>
                      <w:rPr>
                        <w:rFonts w:ascii="Cambria Math" w:hAnsi="Cambria Math"/>
                      </w:rPr>
                    </m:ctrlPr>
                  </m:sSubPr>
                  <m:e>
                    <m:r>
                      <m:rPr>
                        <m:sty m:val="p"/>
                      </m:rPr>
                      <w:rPr>
                        <w:rFonts w:ascii="Cambria Math" w:hAnsi="Cambria Math"/>
                      </w:rPr>
                      <m:t>SoC</m:t>
                    </m:r>
                  </m:e>
                  <m:sub>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p</m:t>
                        </m:r>
                      </m:sub>
                    </m:sSub>
                  </m:sub>
                </m:sSub>
                <m:r>
                  <w:rPr>
                    <w:rFonts w:ascii="Cambria Math" w:hAnsi="Cambria Math"/>
                  </w:rPr>
                  <m:t>-</m:t>
                </m:r>
                <m:sSub>
                  <m:sSubPr>
                    <m:ctrlPr>
                      <w:rPr>
                        <w:rFonts w:ascii="Cambria Math" w:hAnsi="Cambria Math"/>
                      </w:rPr>
                    </m:ctrlPr>
                  </m:sSubPr>
                  <m:e>
                    <m:r>
                      <m:rPr>
                        <m:sty m:val="p"/>
                      </m:rPr>
                      <w:rPr>
                        <w:rFonts w:ascii="Cambria Math" w:hAnsi="Cambria Math"/>
                      </w:rPr>
                      <m:t>SoC</m:t>
                    </m:r>
                  </m:e>
                  <m:sub>
                    <m:r>
                      <m:rPr>
                        <m:sty m:val="p"/>
                      </m:rPr>
                      <w:rPr>
                        <w:rFonts w:ascii="Cambria Math" w:hAnsi="Cambria Math"/>
                      </w:rPr>
                      <m:t>ref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p</m:t>
                        </m:r>
                      </m:sub>
                    </m:sSub>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m:oMathPara>
          </w:p>
        </w:tc>
        <w:tc>
          <w:tcPr>
            <w:tcW w:w="700" w:type="dxa"/>
            <w:vAlign w:val="center"/>
          </w:tcPr>
          <w:p w14:paraId="0ADFC7EF" w14:textId="77777777" w:rsidR="000301E8" w:rsidRDefault="000301E8" w:rsidP="00D712D5">
            <w:pPr>
              <w:spacing w:after="0"/>
              <w:jc w:val="right"/>
            </w:pPr>
            <w:r>
              <w:t>(30)</w:t>
            </w:r>
          </w:p>
        </w:tc>
      </w:tr>
    </w:tbl>
    <w:p w14:paraId="56F0C385" w14:textId="77777777" w:rsidR="006B31F2" w:rsidRPr="006B31F2" w:rsidRDefault="006B31F2" w:rsidP="006B31F2">
      <w:pPr>
        <w:spacing w:line="276" w:lineRule="auto"/>
        <w:jc w:val="both"/>
      </w:pPr>
    </w:p>
    <w:p w14:paraId="2478F35B" w14:textId="11821F5C" w:rsidR="00587746" w:rsidRDefault="00051C88" w:rsidP="0054331B">
      <w:pPr>
        <w:tabs>
          <w:tab w:val="left" w:pos="1507"/>
        </w:tabs>
        <w:spacing w:line="276" w:lineRule="auto"/>
        <w:jc w:val="both"/>
      </w:pPr>
      <w:r>
        <w:t xml:space="preserve">Subject to the dynamics of Eq. (18) and the limits of Eq. (26), the algorithm uses a receding horizon approach. It assumes a constant future load over a prediction horizon of </w:t>
      </w:r>
      <m:oMath>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 xml:space="preserve">=15 </m:t>
        </m:r>
      </m:oMath>
      <w:r>
        <w:t>applies only the first step of the optimal sequence and repeats the optimization at the next instant.</w:t>
      </w:r>
    </w:p>
    <w:p w14:paraId="003A71C7" w14:textId="77777777" w:rsidR="00157F24" w:rsidRDefault="00157F24" w:rsidP="006B31F2">
      <w:pPr>
        <w:tabs>
          <w:tab w:val="left" w:pos="1507"/>
        </w:tabs>
      </w:pPr>
    </w:p>
    <w:p w14:paraId="05D1A8AA" w14:textId="77777777" w:rsidR="001A39D9" w:rsidRDefault="001A39D9" w:rsidP="001A39D9">
      <w:pPr>
        <w:pStyle w:val="Heading3"/>
      </w:pPr>
      <w:bookmarkStart w:id="36" w:name="boundary-layer-surface-following"/>
      <w:r>
        <w:t>3.6.5. Boundary Layer Surface Following</w:t>
      </w:r>
      <w:bookmarkEnd w:id="36"/>
    </w:p>
    <w:p w14:paraId="1847802C" w14:textId="77777777" w:rsidR="001A39D9" w:rsidRDefault="001A39D9" w:rsidP="006B31F2">
      <w:pPr>
        <w:tabs>
          <w:tab w:val="left" w:pos="1507"/>
        </w:tabs>
      </w:pPr>
    </w:p>
    <w:p w14:paraId="26E3A22F" w14:textId="4759E218" w:rsidR="001A39D9" w:rsidRDefault="00222FB2" w:rsidP="00723BC0">
      <w:pPr>
        <w:tabs>
          <w:tab w:val="left" w:pos="1507"/>
        </w:tabs>
        <w:spacing w:line="276" w:lineRule="auto"/>
        <w:jc w:val="both"/>
      </w:pPr>
      <w:r>
        <w:t>BLFS is not an independent EMS but a lightweight lower-level protection layer operating under A-ECMS or MPC. It defines a hysteresis band of half-width 0.05 around the SoC reference trajectory: above the band the fuel cell is held at minimum power so that the battery is depleted, below the band the fuel cell is held at its peak-efficiency operating point so that the battery is recharged, and inside the band the command of the upper-level strategy is passed through.</w:t>
      </w:r>
      <w:r>
        <w:rPr>
          <w:b/>
          <w:i/>
          <w:color w:val="FF0000"/>
        </w:rPr>
        <w:t xml:space="preserve"> An example of such a layered energy management structure is given in Figure 7.</w:t>
      </w:r>
      <w:r>
        <w:t xml:space="preserve"> In addition, the fuel cell load ramp is limited to</w:t>
      </w:r>
    </w:p>
    <w:p w14:paraId="6006E089" w14:textId="77777777" w:rsidR="00723BC0" w:rsidRDefault="00723BC0" w:rsidP="00723BC0">
      <w:pPr>
        <w:tabs>
          <w:tab w:val="left" w:pos="1507"/>
        </w:tabs>
        <w:spacing w:line="276" w:lineRule="auto"/>
        <w:jc w:val="both"/>
      </w:pPr>
    </w:p>
    <w:tbl>
      <w:tblPr>
        <w:tblStyle w:val="Table"/>
        <w:tblW w:w="9072" w:type="dxa"/>
        <w:tblLayout w:type="fixed"/>
        <w:tblLook w:val="04A0" w:firstRow="1" w:lastRow="0" w:firstColumn="1" w:lastColumn="0" w:noHBand="0" w:noVBand="1"/>
      </w:tblPr>
      <w:tblGrid>
        <w:gridCol w:w="700"/>
        <w:gridCol w:w="7672"/>
        <w:gridCol w:w="700"/>
      </w:tblGrid>
      <w:tr w:rsidR="00723BC0" w14:paraId="2F93EED9" w14:textId="77777777" w:rsidTr="00D712D5">
        <w:tc>
          <w:tcPr>
            <w:tcW w:w="700" w:type="dxa"/>
            <w:vAlign w:val="center"/>
          </w:tcPr>
          <w:p w14:paraId="0887A06E" w14:textId="77777777" w:rsidR="00723BC0" w:rsidRDefault="00723BC0" w:rsidP="00D712D5">
            <w:pPr>
              <w:spacing w:after="0"/>
            </w:pPr>
          </w:p>
        </w:tc>
        <w:tc>
          <w:tcPr>
            <w:tcW w:w="7672" w:type="dxa"/>
            <w:vAlign w:val="center"/>
          </w:tcPr>
          <w:p w14:paraId="562241F2" w14:textId="77777777" w:rsidR="00723BC0" w:rsidRDefault="00723BC0" w:rsidP="00D712D5">
            <w:pPr>
              <w:spacing w:after="0"/>
              <w:jc w:val="center"/>
            </w:pPr>
            <m:oMathPara>
              <m:oMathParaPr>
                <m:jc m:val="center"/>
              </m:oMathParaPr>
              <m:oMath>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P</m:t>
                            </m:r>
                          </m:e>
                          <m:sub>
                            <m:r>
                              <m:rPr>
                                <m:sty m:val="p"/>
                              </m:rPr>
                              <w:rPr>
                                <w:rFonts w:ascii="Cambria Math" w:hAnsi="Cambria Math"/>
                              </w:rPr>
                              <m:t>fc</m:t>
                            </m:r>
                          </m:sub>
                        </m:sSub>
                      </m:num>
                      <m:den>
                        <m:r>
                          <m:rPr>
                            <m:sty m:val="p"/>
                          </m:rPr>
                          <w:rPr>
                            <w:rFonts w:ascii="Cambria Math" w:hAnsi="Cambria Math"/>
                          </w:rPr>
                          <m:t>d</m:t>
                        </m:r>
                        <m:r>
                          <w:rPr>
                            <w:rFonts w:ascii="Cambria Math" w:hAnsi="Cambria Math"/>
                          </w:rPr>
                          <m:t>t</m:t>
                        </m:r>
                      </m:den>
                    </m:f>
                  </m:e>
                </m:d>
                <m:r>
                  <w:rPr>
                    <w:rFonts w:ascii="Cambria Math" w:hAnsi="Cambria Math"/>
                  </w:rPr>
                  <m:t>≤5 </m:t>
                </m:r>
                <m:r>
                  <m:rPr>
                    <m:sty m:val="p"/>
                  </m:rPr>
                  <w:rPr>
                    <w:rFonts w:ascii="Cambria Math" w:hAnsi="Cambria Math"/>
                  </w:rPr>
                  <m:t>kW/s</m:t>
                </m:r>
                <m:r>
                  <w:rPr>
                    <w:rFonts w:ascii="Cambria Math" w:hAnsi="Cambria Math"/>
                  </w:rPr>
                  <m:t>,</m:t>
                </m:r>
              </m:oMath>
            </m:oMathPara>
          </w:p>
        </w:tc>
        <w:tc>
          <w:tcPr>
            <w:tcW w:w="700" w:type="dxa"/>
            <w:vAlign w:val="center"/>
          </w:tcPr>
          <w:p w14:paraId="7B48B6A6" w14:textId="77777777" w:rsidR="00723BC0" w:rsidRDefault="00723BC0" w:rsidP="00D712D5">
            <w:pPr>
              <w:spacing w:after="0"/>
              <w:jc w:val="right"/>
            </w:pPr>
            <w:r>
              <w:t>(31)</w:t>
            </w:r>
          </w:p>
        </w:tc>
      </w:tr>
    </w:tbl>
    <w:p w14:paraId="03D7CAB1" w14:textId="77777777" w:rsidR="00723BC0" w:rsidRDefault="00723BC0" w:rsidP="00723BC0">
      <w:pPr>
        <w:tabs>
          <w:tab w:val="left" w:pos="1507"/>
        </w:tabs>
        <w:spacing w:line="276" w:lineRule="auto"/>
        <w:jc w:val="both"/>
      </w:pPr>
    </w:p>
    <w:p w14:paraId="0654E051" w14:textId="1C9CD54C" w:rsidR="00AF62A7" w:rsidRDefault="00AF62A7" w:rsidP="00AF62A7">
      <w:pPr>
        <w:pStyle w:val="FirstParagraph"/>
      </w:pPr>
      <w:r>
        <w:t>which prevents gas starvation and membrane exhaustion caused by rapid transients; the constraint in Eq. (31) thereby protects fuel cell durability without entering the cost functional explicitly. The qualitative comparison of the four strategies is summarized in Table 4.</w:t>
      </w:r>
    </w:p>
    <w:p w14:paraId="3A6AF244" w14:textId="77777777" w:rsidR="00797514" w:rsidRDefault="00797514" w:rsidP="00797514">
      <w:pPr>
        <w:pStyle w:val="BodyText"/>
      </w:pPr>
    </w:p>
    <w:tbl>
      <w:tblPr>
        <w:tblStyle w:val="Table"/>
        <w:tblW w:w="9072" w:type="dxa"/>
        <w:tblBorders>
          <w:top w:val="single" w:sz="8" w:space="0" w:color="000000"/>
          <w:bottom w:val="single" w:sz="8" w:space="0" w:color="000000"/>
        </w:tblBorders>
        <w:tblLook w:val="07E0" w:firstRow="1" w:lastRow="1" w:firstColumn="1" w:lastColumn="1" w:noHBand="1" w:noVBand="1"/>
      </w:tblPr>
      <w:tblGrid>
        <w:gridCol w:w="1815"/>
        <w:gridCol w:w="1815"/>
        <w:gridCol w:w="1814"/>
        <w:gridCol w:w="1814"/>
        <w:gridCol w:w="1814"/>
      </w:tblGrid>
      <w:tr w:rsidR="00797514" w14:paraId="5C93EA6B" w14:textId="77777777" w:rsidTr="00D712D5">
        <w:tc>
          <w:tcPr>
            <w:tcW w:w="1814" w:type="dxa"/>
            <w:tcBorders>
              <w:bottom w:val="single" w:sz="0" w:space="0" w:color="auto"/>
            </w:tcBorders>
            <w:vAlign w:val="bottom"/>
          </w:tcPr>
          <w:p w14:paraId="679B1819" w14:textId="77777777" w:rsidR="00797514" w:rsidRDefault="00797514" w:rsidP="00D712D5">
            <w:pPr>
              <w:pStyle w:val="Compact"/>
              <w:jc w:val="left"/>
            </w:pPr>
            <w:r>
              <w:t>Property</w:t>
            </w:r>
          </w:p>
        </w:tc>
        <w:tc>
          <w:tcPr>
            <w:tcW w:w="1814" w:type="dxa"/>
            <w:tcBorders>
              <w:bottom w:val="single" w:sz="0" w:space="0" w:color="auto"/>
            </w:tcBorders>
            <w:vAlign w:val="bottom"/>
          </w:tcPr>
          <w:p w14:paraId="43F85E55" w14:textId="77777777" w:rsidR="00797514" w:rsidRDefault="00797514" w:rsidP="00D712D5">
            <w:pPr>
              <w:pStyle w:val="Compact"/>
              <w:jc w:val="left"/>
            </w:pPr>
            <w:r>
              <w:t>DP</w:t>
            </w:r>
          </w:p>
        </w:tc>
        <w:tc>
          <w:tcPr>
            <w:tcW w:w="1814" w:type="dxa"/>
            <w:tcBorders>
              <w:bottom w:val="single" w:sz="0" w:space="0" w:color="auto"/>
            </w:tcBorders>
            <w:vAlign w:val="bottom"/>
          </w:tcPr>
          <w:p w14:paraId="2A47C842" w14:textId="77777777" w:rsidR="00797514" w:rsidRDefault="00797514" w:rsidP="00D712D5">
            <w:pPr>
              <w:pStyle w:val="Compact"/>
              <w:jc w:val="left"/>
            </w:pPr>
            <w:r>
              <w:t>A-ECMS</w:t>
            </w:r>
          </w:p>
        </w:tc>
        <w:tc>
          <w:tcPr>
            <w:tcW w:w="1814" w:type="dxa"/>
            <w:tcBorders>
              <w:bottom w:val="single" w:sz="0" w:space="0" w:color="auto"/>
            </w:tcBorders>
            <w:vAlign w:val="bottom"/>
          </w:tcPr>
          <w:p w14:paraId="1EDA5C9A" w14:textId="77777777" w:rsidR="00797514" w:rsidRDefault="00797514" w:rsidP="00D712D5">
            <w:pPr>
              <w:pStyle w:val="Compact"/>
              <w:jc w:val="left"/>
            </w:pPr>
            <w:r>
              <w:t>MPC</w:t>
            </w:r>
          </w:p>
        </w:tc>
        <w:tc>
          <w:tcPr>
            <w:tcW w:w="1814" w:type="dxa"/>
            <w:tcBorders>
              <w:bottom w:val="single" w:sz="0" w:space="0" w:color="auto"/>
            </w:tcBorders>
            <w:vAlign w:val="bottom"/>
          </w:tcPr>
          <w:p w14:paraId="3A1F4481" w14:textId="77777777" w:rsidR="00797514" w:rsidRDefault="00797514" w:rsidP="00D712D5">
            <w:pPr>
              <w:pStyle w:val="Compact"/>
              <w:jc w:val="left"/>
            </w:pPr>
            <w:r>
              <w:t>BLFS</w:t>
            </w:r>
          </w:p>
        </w:tc>
      </w:tr>
      <w:tr w:rsidR="00797514" w14:paraId="1B53BBCF" w14:textId="77777777" w:rsidTr="00D712D5">
        <w:tc>
          <w:tcPr>
            <w:tcW w:w="1814" w:type="dxa"/>
          </w:tcPr>
          <w:p w14:paraId="3194F7BE" w14:textId="77777777" w:rsidR="00797514" w:rsidRDefault="00797514" w:rsidP="00D712D5">
            <w:pPr>
              <w:pStyle w:val="Compact"/>
              <w:jc w:val="left"/>
            </w:pPr>
            <w:r>
              <w:t>Information required</w:t>
            </w:r>
          </w:p>
        </w:tc>
        <w:tc>
          <w:tcPr>
            <w:tcW w:w="1814" w:type="dxa"/>
          </w:tcPr>
          <w:p w14:paraId="3AF10AF1" w14:textId="77777777" w:rsidR="00797514" w:rsidRDefault="00797514" w:rsidP="00D712D5">
            <w:pPr>
              <w:pStyle w:val="Compact"/>
              <w:jc w:val="left"/>
            </w:pPr>
            <w:r>
              <w:t>Full cycle</w:t>
            </w:r>
          </w:p>
        </w:tc>
        <w:tc>
          <w:tcPr>
            <w:tcW w:w="1814" w:type="dxa"/>
          </w:tcPr>
          <w:p w14:paraId="4C3D8E00" w14:textId="77777777" w:rsidR="00797514" w:rsidRDefault="00797514" w:rsidP="00D712D5">
            <w:pPr>
              <w:pStyle w:val="Compact"/>
              <w:jc w:val="left"/>
            </w:pPr>
            <w:r>
              <w:t>Instantaneous + SoC ref.</w:t>
            </w:r>
          </w:p>
        </w:tc>
        <w:tc>
          <w:tcPr>
            <w:tcW w:w="1814" w:type="dxa"/>
          </w:tcPr>
          <w:p w14:paraId="707D76A8" w14:textId="77777777" w:rsidR="00797514" w:rsidRDefault="00797514" w:rsidP="00D712D5">
            <w:pPr>
              <w:pStyle w:val="Compact"/>
              <w:jc w:val="left"/>
            </w:pPr>
            <w:r>
              <w:t>Finite horizon</w:t>
            </w:r>
          </w:p>
        </w:tc>
        <w:tc>
          <w:tcPr>
            <w:tcW w:w="1814" w:type="dxa"/>
          </w:tcPr>
          <w:p w14:paraId="183DF103" w14:textId="77777777" w:rsidR="00797514" w:rsidRDefault="00797514" w:rsidP="00D712D5">
            <w:pPr>
              <w:pStyle w:val="Compact"/>
              <w:jc w:val="left"/>
            </w:pPr>
            <w:r>
              <w:t>Instantaneous SoC</w:t>
            </w:r>
          </w:p>
        </w:tc>
      </w:tr>
      <w:tr w:rsidR="00797514" w14:paraId="1571429A" w14:textId="77777777" w:rsidTr="00D712D5">
        <w:tc>
          <w:tcPr>
            <w:tcW w:w="1814" w:type="dxa"/>
          </w:tcPr>
          <w:p w14:paraId="7658C51E" w14:textId="77777777" w:rsidR="00797514" w:rsidRDefault="00797514" w:rsidP="00D712D5">
            <w:pPr>
              <w:pStyle w:val="Compact"/>
              <w:jc w:val="left"/>
            </w:pPr>
            <w:r>
              <w:t>Optimality</w:t>
            </w:r>
          </w:p>
        </w:tc>
        <w:tc>
          <w:tcPr>
            <w:tcW w:w="1814" w:type="dxa"/>
          </w:tcPr>
          <w:p w14:paraId="468F16B2" w14:textId="77777777" w:rsidR="00797514" w:rsidRDefault="00797514" w:rsidP="00D712D5">
            <w:pPr>
              <w:pStyle w:val="Compact"/>
              <w:jc w:val="left"/>
            </w:pPr>
            <w:r>
              <w:t>Global</w:t>
            </w:r>
          </w:p>
        </w:tc>
        <w:tc>
          <w:tcPr>
            <w:tcW w:w="1814" w:type="dxa"/>
          </w:tcPr>
          <w:p w14:paraId="7A667BCF" w14:textId="77777777" w:rsidR="00797514" w:rsidRDefault="00797514" w:rsidP="00D712D5">
            <w:pPr>
              <w:pStyle w:val="Compact"/>
              <w:jc w:val="left"/>
            </w:pPr>
            <w:r>
              <w:t>Near-optimal (PMP)</w:t>
            </w:r>
          </w:p>
        </w:tc>
        <w:tc>
          <w:tcPr>
            <w:tcW w:w="1814" w:type="dxa"/>
          </w:tcPr>
          <w:p w14:paraId="48A8A989" w14:textId="77777777" w:rsidR="00797514" w:rsidRDefault="00797514" w:rsidP="00D712D5">
            <w:pPr>
              <w:pStyle w:val="Compact"/>
              <w:jc w:val="left"/>
            </w:pPr>
            <w:r>
              <w:t>Local</w:t>
            </w:r>
          </w:p>
        </w:tc>
        <w:tc>
          <w:tcPr>
            <w:tcW w:w="1814" w:type="dxa"/>
          </w:tcPr>
          <w:p w14:paraId="097CD7D9" w14:textId="77777777" w:rsidR="00797514" w:rsidRDefault="00797514" w:rsidP="00D712D5">
            <w:pPr>
              <w:pStyle w:val="Compact"/>
              <w:jc w:val="left"/>
            </w:pPr>
            <w:r>
              <w:t>None (rule-based)</w:t>
            </w:r>
          </w:p>
        </w:tc>
      </w:tr>
      <w:tr w:rsidR="00797514" w14:paraId="4AD26268" w14:textId="77777777" w:rsidTr="00D712D5">
        <w:tc>
          <w:tcPr>
            <w:tcW w:w="1814" w:type="dxa"/>
          </w:tcPr>
          <w:p w14:paraId="3514CC36" w14:textId="77777777" w:rsidR="00797514" w:rsidRDefault="00797514" w:rsidP="00D712D5">
            <w:pPr>
              <w:pStyle w:val="Compact"/>
              <w:jc w:val="left"/>
            </w:pPr>
            <w:r>
              <w:t>Real-time capable</w:t>
            </w:r>
          </w:p>
        </w:tc>
        <w:tc>
          <w:tcPr>
            <w:tcW w:w="1814" w:type="dxa"/>
          </w:tcPr>
          <w:p w14:paraId="79EB0B48" w14:textId="77777777" w:rsidR="00797514" w:rsidRDefault="00797514" w:rsidP="00D712D5">
            <w:pPr>
              <w:pStyle w:val="Compact"/>
              <w:jc w:val="left"/>
            </w:pPr>
            <w:r>
              <w:t>No</w:t>
            </w:r>
          </w:p>
        </w:tc>
        <w:tc>
          <w:tcPr>
            <w:tcW w:w="1814" w:type="dxa"/>
          </w:tcPr>
          <w:p w14:paraId="491CB6ED" w14:textId="77777777" w:rsidR="00797514" w:rsidRDefault="00797514" w:rsidP="00D712D5">
            <w:pPr>
              <w:pStyle w:val="Compact"/>
              <w:jc w:val="left"/>
            </w:pPr>
            <w:r>
              <w:t>Yes</w:t>
            </w:r>
          </w:p>
        </w:tc>
        <w:tc>
          <w:tcPr>
            <w:tcW w:w="1814" w:type="dxa"/>
          </w:tcPr>
          <w:p w14:paraId="6DA27FFB" w14:textId="77777777" w:rsidR="00797514" w:rsidRDefault="00797514" w:rsidP="00D712D5">
            <w:pPr>
              <w:pStyle w:val="Compact"/>
              <w:jc w:val="left"/>
            </w:pPr>
            <w:r>
              <w:t>Yes</w:t>
            </w:r>
          </w:p>
        </w:tc>
        <w:tc>
          <w:tcPr>
            <w:tcW w:w="1814" w:type="dxa"/>
          </w:tcPr>
          <w:p w14:paraId="0E14B0E1" w14:textId="77777777" w:rsidR="00797514" w:rsidRDefault="00797514" w:rsidP="00D712D5">
            <w:pPr>
              <w:pStyle w:val="Compact"/>
              <w:jc w:val="left"/>
            </w:pPr>
            <w:r>
              <w:t>Yes</w:t>
            </w:r>
          </w:p>
        </w:tc>
      </w:tr>
      <w:tr w:rsidR="00797514" w14:paraId="43D5AF72" w14:textId="77777777" w:rsidTr="00D712D5">
        <w:tc>
          <w:tcPr>
            <w:tcW w:w="1814" w:type="dxa"/>
          </w:tcPr>
          <w:p w14:paraId="0416123E" w14:textId="77777777" w:rsidR="00797514" w:rsidRDefault="00797514" w:rsidP="00D712D5">
            <w:pPr>
              <w:pStyle w:val="Compact"/>
              <w:jc w:val="left"/>
            </w:pPr>
            <w:r>
              <w:t>Computational load</w:t>
            </w:r>
          </w:p>
        </w:tc>
        <w:tc>
          <w:tcPr>
            <w:tcW w:w="1814" w:type="dxa"/>
          </w:tcPr>
          <w:p w14:paraId="5DC67B8F" w14:textId="77777777" w:rsidR="00797514" w:rsidRDefault="00797514" w:rsidP="00D712D5">
            <w:pPr>
              <w:pStyle w:val="Compact"/>
              <w:jc w:val="left"/>
            </w:pPr>
            <w:r>
              <w:t>High (offline)</w:t>
            </w:r>
          </w:p>
        </w:tc>
        <w:tc>
          <w:tcPr>
            <w:tcW w:w="1814" w:type="dxa"/>
          </w:tcPr>
          <w:p w14:paraId="227F0F24" w14:textId="77777777" w:rsidR="00797514" w:rsidRDefault="00797514" w:rsidP="00D712D5">
            <w:pPr>
              <w:pStyle w:val="Compact"/>
              <w:jc w:val="left"/>
            </w:pPr>
            <w:r>
              <w:t>Low</w:t>
            </w:r>
          </w:p>
        </w:tc>
        <w:tc>
          <w:tcPr>
            <w:tcW w:w="1814" w:type="dxa"/>
          </w:tcPr>
          <w:p w14:paraId="7F74AB05" w14:textId="77777777" w:rsidR="00797514" w:rsidRDefault="00797514" w:rsidP="00D712D5">
            <w:pPr>
              <w:pStyle w:val="Compact"/>
              <w:jc w:val="left"/>
            </w:pPr>
            <w:r>
              <w:t>Medium</w:t>
            </w:r>
          </w:p>
        </w:tc>
        <w:tc>
          <w:tcPr>
            <w:tcW w:w="1814" w:type="dxa"/>
          </w:tcPr>
          <w:p w14:paraId="39D1E1F1" w14:textId="77777777" w:rsidR="00797514" w:rsidRDefault="00797514" w:rsidP="00D712D5">
            <w:pPr>
              <w:pStyle w:val="Compact"/>
              <w:jc w:val="left"/>
            </w:pPr>
            <w:r>
              <w:t>Very low</w:t>
            </w:r>
          </w:p>
        </w:tc>
      </w:tr>
      <w:tr w:rsidR="00797514" w14:paraId="0C7015EA" w14:textId="77777777" w:rsidTr="00D712D5">
        <w:tc>
          <w:tcPr>
            <w:tcW w:w="1814" w:type="dxa"/>
          </w:tcPr>
          <w:p w14:paraId="77B87A88" w14:textId="77777777" w:rsidR="00797514" w:rsidRDefault="00797514" w:rsidP="00D712D5">
            <w:pPr>
              <w:pStyle w:val="Compact"/>
              <w:jc w:val="left"/>
            </w:pPr>
            <w:r>
              <w:t>Role</w:t>
            </w:r>
          </w:p>
        </w:tc>
        <w:tc>
          <w:tcPr>
            <w:tcW w:w="1814" w:type="dxa"/>
          </w:tcPr>
          <w:p w14:paraId="7B41B69A" w14:textId="77777777" w:rsidR="00797514" w:rsidRDefault="00797514" w:rsidP="00D712D5">
            <w:pPr>
              <w:pStyle w:val="Compact"/>
              <w:jc w:val="left"/>
            </w:pPr>
            <w:r>
              <w:t>Benchmark</w:t>
            </w:r>
          </w:p>
        </w:tc>
        <w:tc>
          <w:tcPr>
            <w:tcW w:w="1814" w:type="dxa"/>
          </w:tcPr>
          <w:p w14:paraId="2307343F" w14:textId="77777777" w:rsidR="00797514" w:rsidRDefault="00797514" w:rsidP="00D712D5">
            <w:pPr>
              <w:pStyle w:val="Compact"/>
              <w:jc w:val="left"/>
            </w:pPr>
            <w:r>
              <w:t>Production candidate</w:t>
            </w:r>
          </w:p>
        </w:tc>
        <w:tc>
          <w:tcPr>
            <w:tcW w:w="1814" w:type="dxa"/>
          </w:tcPr>
          <w:p w14:paraId="666C29EE" w14:textId="77777777" w:rsidR="00797514" w:rsidRDefault="00797514" w:rsidP="00D712D5">
            <w:pPr>
              <w:pStyle w:val="Compact"/>
              <w:jc w:val="left"/>
            </w:pPr>
            <w:r>
              <w:t>Production candidate</w:t>
            </w:r>
          </w:p>
        </w:tc>
        <w:tc>
          <w:tcPr>
            <w:tcW w:w="1814" w:type="dxa"/>
          </w:tcPr>
          <w:p w14:paraId="5E916F84" w14:textId="77777777" w:rsidR="00797514" w:rsidRDefault="00797514" w:rsidP="004C2B73">
            <w:pPr>
              <w:pStyle w:val="Compact"/>
              <w:keepNext/>
              <w:jc w:val="left"/>
            </w:pPr>
            <w:r>
              <w:t>Protection layer</w:t>
            </w:r>
          </w:p>
        </w:tc>
      </w:tr>
    </w:tbl>
    <w:p w14:paraId="3D119C04" w14:textId="1314A53C" w:rsidR="00797514" w:rsidRDefault="004C2B73" w:rsidP="004C2B73">
      <w:pPr>
        <w:pStyle w:val="Caption"/>
        <w:spacing w:line="276" w:lineRule="auto"/>
        <w:jc w:val="center"/>
      </w:pPr>
      <w:r>
        <w:t xml:space="preserve">Table </w:t>
        <w:fldChar w:fldCharType="begin"/>
        <w:instrText xml:space="preserve"> SEQ Table \* ARABIC </w:instrText>
        <w:fldChar w:fldCharType="separate"/>
      </w:r>
      <w:r>
        <w:rPr>
          <w:noProof/>
        </w:rPr>
        <w:t>4</w:t>
      </w:r>
      <w:r>
        <w:fldChar w:fldCharType="end"/>
        <w:t xml:space="preserve"> Qualitative comparison of the four EMS strategies.</w:t>
      </w:r>
    </w:p>
    <w:p w14:paraId="3B4E4EC2" w14:textId="77777777" w:rsidR="00EE5E11" w:rsidRDefault="00EE5E11" w:rsidP="00EE5E11"/>
    <w:p w14:paraId="43A977E4" w14:textId="77777777" w:rsidR="00EE5E11" w:rsidRDefault="00EE5E11" w:rsidP="00EE5E11"/>
    <w:p w14:paraId="1DADB464" w14:textId="77777777" w:rsidR="00EE5E11" w:rsidRDefault="00EE5E11" w:rsidP="00EE5E11">
      <w:pPr>
        <w:keepNext/>
        <w:jc w:val="center"/>
      </w:pPr>
      <w:r>
        <w:lastRenderedPageBreak/>
        <w:drawing>
          <wp:inline distT="0" distB="0" distL="0" distR="0" wp14:anchorId="46861374" wp14:editId="77CDFDB6">
            <wp:extent cx="4326466" cy="1982844"/>
            <wp:effectExtent l="0" t="0" r="4445" b="0"/>
            <wp:docPr id="614000741" name="Picture 1" descr="A diagram of a motor controll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00741" name="Picture 1" descr="A diagram of a motor controller  AI-generated content may be incorrect."/>
                    <pic:cNvPicPr/>
                  </pic:nvPicPr>
                  <pic:blipFill>
                    <a:blip r:embed="rId15"/>
                    <a:stretch>
                      <a:fillRect/>
                    </a:stretch>
                  </pic:blipFill>
                  <pic:spPr>
                    <a:xfrm>
                      <a:off x="0" y="0"/>
                      <a:ext cx="4367614" cy="2001703"/>
                    </a:xfrm>
                    <a:prstGeom prst="rect">
                      <a:avLst/>
                    </a:prstGeom>
                  </pic:spPr>
                </pic:pic>
              </a:graphicData>
            </a:graphic>
          </wp:inline>
        </w:drawing>
      </w:r>
    </w:p>
    <w:p w14:paraId="78DD9E9E" w14:textId="09E51AA3" w:rsidR="00EE5E11" w:rsidRDefault="00EE5E11" w:rsidP="00EE5E11">
      <w:pPr>
        <w:pStyle w:val="Caption"/>
        <w:jc w:val="center"/>
      </w:pPr>
      <w:r>
        <w:t xml:space="preserve">Figure </w:t>
        <w:fldChar w:fldCharType="begin"/>
        <w:instrText xml:space="preserve"> SEQ Figure \* ARABIC </w:instrText>
        <w:fldChar w:fldCharType="separate"/>
      </w:r>
      <w:r>
        <w:rPr>
          <w:noProof/>
        </w:rPr>
        <w:t>7</w:t>
      </w:r>
      <w:r>
        <w:fldChar w:fldCharType="end"/>
        <w:t xml:space="preserve"> Example of structure of the energy management strategy [5].</w:t>
      </w:r>
    </w:p>
    <w:p w14:paraId="50051E85" w14:textId="77777777" w:rsidR="00EE5E11" w:rsidRPr="00EE5E11" w:rsidRDefault="00EE5E11" w:rsidP="00EE5E11"/>
    <w:p w14:paraId="0C684825" w14:textId="659E2666" w:rsidR="0048676D" w:rsidRDefault="0048676D" w:rsidP="0048676D">
      <w:pPr>
        <w:pStyle w:val="Heading2"/>
      </w:pPr>
      <w:r>
        <w:t>3.7</w:t>
      </w:r>
      <w:bookmarkEnd w:id="30"/>
      <w:bookmarkEnd w:id="31"/>
      <w:r>
        <w:t xml:space="preserve"> Current Status of the Study and Outline of Graduation Project II</w:t>
      </w:r>
    </w:p>
    <w:p w14:paraId="08737E6F" w14:textId="77777777" w:rsidR="00315D65" w:rsidRDefault="00315D65" w:rsidP="00315D65"/>
    <w:p w14:paraId="301082D9" w14:textId="6854F6F6" w:rsidR="008E1A88" w:rsidRDefault="008C402F" w:rsidP="008E1A88">
      <w:pPr>
        <w:spacing w:line="276" w:lineRule="auto"/>
        <w:jc w:val="both"/>
      </w:pPr>
      <w:r>
        <w:t xml:space="preserve">Within the present term, the literature survey has been completed, all architectural selections have been fixed based on primary sources, the component models have been formulated, the plug-in operational cost function has been derived, and the complete optimal control problem, Eqs. (25)-(26), has been stated together with the formulation of the four solution strategies, Eqs. (27)-(31). </w:t>
      </w:r>
    </w:p>
    <w:p w14:paraId="1EBFDB9B" w14:textId="77777777" w:rsidR="008E1A88" w:rsidRDefault="008E1A88" w:rsidP="008E1A88">
      <w:pPr>
        <w:spacing w:line="276" w:lineRule="auto"/>
        <w:jc w:val="both"/>
      </w:pPr>
    </w:p>
    <w:p w14:paraId="3534A103" w14:textId="63C5E764" w:rsidR="00753F7B" w:rsidRDefault="00FD4982" w:rsidP="00A2249F">
      <w:pPr>
        <w:pStyle w:val="BodyText"/>
        <w:spacing w:line="276" w:lineRule="auto"/>
        <w:jc w:val="both"/>
      </w:pPr>
      <w:r>
        <w:t>Graduation Project II will be devoted to the numerical solution of this formulation. First, a two-layer simulation environment will be implemented in Python: a high-fidelity plant layer, combining the Mann–Amphlett stack model with the full 1-RC + Hysteresis battery model, and a simplified controller layer based on the efficiency look-up table and the Rint model. Second, the semi-empirical stack coefficients will be identified for the Mirai II from the published polarization data [17] by metaheuristic optimization (PSO/GA), and the efficiency map of Eq. (11) will be generated. Third, the four strategies will be implemented in sequence: the DP benchmark by backward recursion, A-ECMS with the PI-adapted equivalence factor, MPC transcribed to a quadratic program and solved, and the BLFS protection layer integrated beneath the real-time strategies. Finally, the strategies will be compared over the reference trip in terms of total operating cost (€/100 km), hydrogen and electricity consumption, terminal SoC accuracy, fuel cell quasi-stability and per-step computation time, and a sensitivity analysis will be performed over the price scenarios of Table 3 and the penalty weight of Eq. (23).</w:t>
      </w:r>
    </w:p>
    <w:p w14:paraId="4C1A6688" w14:textId="77777777" w:rsidR="00A2249F" w:rsidRPr="00A2249F" w:rsidRDefault="00A2249F" w:rsidP="00A2249F">
      <w:pPr>
        <w:pStyle w:val="BodyText"/>
        <w:spacing w:line="276" w:lineRule="auto"/>
        <w:jc w:val="both"/>
        <w:rPr>
          <w:b/>
          <w:i/>
          <w:color w:val="FF0000"/>
        </w:rPr>
      </w:pPr>
    </w:p>
    <w:p w14:paraId="3F11B8B2" w14:textId="77777777" w:rsidR="002803A1" w:rsidRPr="000354BA" w:rsidRDefault="00753F7B" w:rsidP="000B73EE">
      <w:pPr>
        <w:pStyle w:val="Heading1"/>
        <w:spacing w:line="276" w:lineRule="auto"/>
        <w:jc w:val="both"/>
      </w:pPr>
      <w:bookmarkStart w:id="37" w:name="_4._References"/>
      <w:bookmarkStart w:id="38" w:name="_Toc232147091"/>
      <w:bookmarkEnd w:id="37"/>
      <w:r>
        <w:t>4. References</w:t>
      </w:r>
      <w:bookmarkEnd w:id="38"/>
    </w:p>
    <w:p w14:paraId="40369FB7" w14:textId="3E444BD1" w:rsidR="007467FF" w:rsidRPr="00586955" w:rsidRDefault="007467FF" w:rsidP="00586955">
      <w:pPr>
        <w:pBdr>
          <w:top w:val="nil"/>
          <w:left w:val="nil"/>
          <w:bottom w:val="nil"/>
          <w:right w:val="nil"/>
          <w:between w:val="nil"/>
        </w:pBdr>
        <w:spacing w:before="180" w:after="180" w:line="276" w:lineRule="auto"/>
        <w:jc w:val="both"/>
        <w:rPr>
          <w:rFonts w:cstheme="minorHAnsi"/>
          <w:color w:val="000000"/>
        </w:rPr>
      </w:pPr>
      <w:r>
        <w:rPr>
          <w:rFonts w:cstheme="minorHAnsi"/>
          <w:color w:val="000000"/>
        </w:rPr>
        <w:t xml:space="preserve">[1] Khalatbarisoltani, A., Kandidayeni, M., Boulon, L., &amp; Hu, X. (2024). Energy management strategies for fuel cell vehicles: A comprehensive review. </w:t>
      </w:r>
      <w:r>
        <w:rPr>
          <w:rFonts w:cstheme="minorHAnsi"/>
          <w:i/>
          <w:iCs/>
          <w:color w:val="000000"/>
        </w:rPr>
        <w:t>IEEE Transactions on Intelligent Transportation Systems, 25</w:t>
      </w:r>
      <w:r>
        <w:rPr>
          <w:rFonts w:cstheme="minorHAnsi"/>
          <w:color w:val="000000"/>
        </w:rPr>
        <w:t xml:space="preserve">(1), 14–32. </w:t>
      </w:r>
      <w:hyperlink r:id="rId16" w:history="1">
        <w:r>
          <w:rPr>
            <w:rStyle w:val="Hyperlink"/>
            <w:rFonts w:cstheme="minorHAnsi"/>
          </w:rPr>
          <w:t>https://ieeexplore.ieee.org/abstract/document/10247150</w:t>
        </w:r>
      </w:hyperlink>
    </w:p>
    <w:p w14:paraId="7433C42D" w14:textId="77777777" w:rsidR="00E91848" w:rsidRPr="00586955" w:rsidRDefault="00E91848" w:rsidP="00586955">
      <w:pPr>
        <w:pBdr>
          <w:top w:val="nil"/>
          <w:left w:val="nil"/>
          <w:bottom w:val="nil"/>
          <w:right w:val="nil"/>
          <w:between w:val="nil"/>
        </w:pBdr>
        <w:spacing w:before="180" w:after="180" w:line="276" w:lineRule="auto"/>
        <w:jc w:val="both"/>
        <w:rPr>
          <w:rFonts w:cstheme="minorHAnsi"/>
          <w:color w:val="000000"/>
        </w:rPr>
      </w:pPr>
      <w:r>
        <w:rPr>
          <w:rFonts w:cstheme="minorHAnsi"/>
          <w:color w:val="000000"/>
        </w:rPr>
        <w:lastRenderedPageBreak/>
        <w:t xml:space="preserve">[2] Sciarretta, A., &amp; Guzzella, L. (2007). Control of hybrid electric vehicles. </w:t>
      </w:r>
      <w:r>
        <w:rPr>
          <w:rFonts w:cstheme="minorHAnsi"/>
          <w:i/>
          <w:iCs/>
          <w:color w:val="000000"/>
        </w:rPr>
        <w:t>IEEE Control Systems Magazine, 27</w:t>
      </w:r>
      <w:r>
        <w:rPr>
          <w:rFonts w:cstheme="minorHAnsi"/>
          <w:color w:val="000000"/>
        </w:rPr>
        <w:t>(2), 60–70.</w:t>
      </w:r>
    </w:p>
    <w:p w14:paraId="42360744" w14:textId="163645C3" w:rsidR="00811AC2" w:rsidRPr="00586955" w:rsidRDefault="00811AC2" w:rsidP="00586955">
      <w:pPr>
        <w:pBdr>
          <w:top w:val="nil"/>
          <w:left w:val="nil"/>
          <w:bottom w:val="nil"/>
          <w:right w:val="nil"/>
          <w:between w:val="nil"/>
        </w:pBdr>
        <w:spacing w:before="180" w:after="180" w:line="276" w:lineRule="auto"/>
        <w:jc w:val="both"/>
        <w:rPr>
          <w:rFonts w:cstheme="minorHAnsi"/>
          <w:color w:val="000000"/>
        </w:rPr>
      </w:pPr>
      <w:hyperlink r:id="rId17" w:history="1">
        <w:r>
          <w:rPr>
            <w:rStyle w:val="Hyperlink"/>
            <w:rFonts w:cstheme="minorHAnsi"/>
          </w:rPr>
          <w:t>https://ieeexplore.ieee.org/abstract/document/4140747</w:t>
        </w:r>
      </w:hyperlink>
    </w:p>
    <w:p w14:paraId="2F3F1A38" w14:textId="77777777" w:rsidR="00811AC2" w:rsidRPr="00586955" w:rsidRDefault="00811AC2" w:rsidP="00586955">
      <w:pPr>
        <w:pBdr>
          <w:top w:val="nil"/>
          <w:left w:val="nil"/>
          <w:bottom w:val="nil"/>
          <w:right w:val="nil"/>
          <w:between w:val="nil"/>
        </w:pBdr>
        <w:spacing w:before="180" w:after="180" w:line="276" w:lineRule="auto"/>
        <w:jc w:val="both"/>
        <w:rPr>
          <w:rFonts w:cstheme="minorHAnsi"/>
          <w:color w:val="000000"/>
        </w:rPr>
      </w:pPr>
    </w:p>
    <w:p w14:paraId="00F9F09B" w14:textId="77777777" w:rsidR="00E91848" w:rsidRPr="00586955" w:rsidRDefault="00E91848" w:rsidP="00586955">
      <w:pPr>
        <w:pBdr>
          <w:top w:val="nil"/>
          <w:left w:val="nil"/>
          <w:bottom w:val="nil"/>
          <w:right w:val="nil"/>
          <w:between w:val="nil"/>
        </w:pBdr>
        <w:spacing w:before="180" w:after="180" w:line="276" w:lineRule="auto"/>
        <w:jc w:val="both"/>
        <w:rPr>
          <w:rFonts w:cstheme="minorHAnsi"/>
          <w:color w:val="000000"/>
        </w:rPr>
      </w:pPr>
      <w:r>
        <w:rPr>
          <w:rFonts w:cstheme="minorHAnsi"/>
          <w:color w:val="000000"/>
        </w:rPr>
        <w:t xml:space="preserve">[3] Paganelli, G., Delprat, S., Guerra, T. M., Rimaux, J., &amp; Santin, J. J. (2002). Equivalent consumption minimization strategy for parallel hybrid powertrains. </w:t>
      </w:r>
      <w:r>
        <w:rPr>
          <w:rFonts w:cstheme="minorHAnsi"/>
          <w:i/>
          <w:iCs/>
          <w:color w:val="000000"/>
        </w:rPr>
        <w:t>IEEE Vehicular Technology Conference</w:t>
      </w:r>
      <w:r>
        <w:rPr>
          <w:rFonts w:cstheme="minorHAnsi"/>
          <w:color w:val="000000"/>
        </w:rPr>
        <w:t>, 2076–2081.</w:t>
      </w:r>
    </w:p>
    <w:p w14:paraId="151DCC30" w14:textId="298E3CC7" w:rsidR="00811AC2" w:rsidRPr="00586955" w:rsidRDefault="004145FD" w:rsidP="00586955">
      <w:pPr>
        <w:pBdr>
          <w:top w:val="nil"/>
          <w:left w:val="nil"/>
          <w:bottom w:val="nil"/>
          <w:right w:val="nil"/>
          <w:between w:val="nil"/>
        </w:pBdr>
        <w:spacing w:before="180" w:after="180" w:line="276" w:lineRule="auto"/>
        <w:jc w:val="both"/>
        <w:rPr>
          <w:rFonts w:cstheme="minorHAnsi"/>
          <w:color w:val="000000"/>
        </w:rPr>
      </w:pPr>
      <w:hyperlink r:id="rId18" w:history="1">
        <w:r>
          <w:rPr>
            <w:rStyle w:val="Hyperlink"/>
            <w:rFonts w:cstheme="minorHAnsi"/>
          </w:rPr>
          <w:t>https://www.academia.edu/download/48212250/Equivalent_consumption_minimization_stra20160820-12660-d4l1g0.pdf</w:t>
        </w:r>
      </w:hyperlink>
    </w:p>
    <w:p w14:paraId="42CC38A3" w14:textId="77777777" w:rsidR="004145FD" w:rsidRPr="00586955" w:rsidRDefault="004145FD" w:rsidP="00586955">
      <w:pPr>
        <w:pBdr>
          <w:top w:val="nil"/>
          <w:left w:val="nil"/>
          <w:bottom w:val="nil"/>
          <w:right w:val="nil"/>
          <w:between w:val="nil"/>
        </w:pBdr>
        <w:spacing w:before="180" w:after="180" w:line="276" w:lineRule="auto"/>
        <w:jc w:val="both"/>
        <w:rPr>
          <w:rFonts w:cstheme="minorHAnsi"/>
          <w:color w:val="000000"/>
        </w:rPr>
      </w:pPr>
    </w:p>
    <w:p w14:paraId="04E60541" w14:textId="77777777" w:rsidR="004E38D5" w:rsidRPr="00586955" w:rsidRDefault="004E38D5" w:rsidP="00586955">
      <w:pPr>
        <w:pBdr>
          <w:top w:val="nil"/>
          <w:left w:val="nil"/>
          <w:bottom w:val="nil"/>
          <w:right w:val="nil"/>
          <w:between w:val="nil"/>
        </w:pBdr>
        <w:spacing w:before="180" w:after="180" w:line="276" w:lineRule="auto"/>
        <w:jc w:val="both"/>
        <w:rPr>
          <w:rFonts w:cstheme="minorHAnsi"/>
          <w:color w:val="000000"/>
        </w:rPr>
      </w:pPr>
      <w:r>
        <w:rPr>
          <w:rFonts w:cstheme="minorHAnsi"/>
          <w:color w:val="000000"/>
        </w:rPr>
        <w:t xml:space="preserve">[4] Xu, L., Ouyang, M., Li, J., Yang, F., Lu, L., &amp; Hua, J. (2013). Application of Pontryagin’s Minimal Principle to the energy management strategy of plugin fuel cell electric vehicles. </w:t>
      </w:r>
      <w:r>
        <w:rPr>
          <w:rFonts w:cstheme="minorHAnsi"/>
          <w:i/>
          <w:iCs/>
          <w:color w:val="000000"/>
        </w:rPr>
        <w:t>International Journal of Hydrogen Energy, 38</w:t>
      </w:r>
      <w:r>
        <w:rPr>
          <w:rFonts w:cstheme="minorHAnsi"/>
          <w:color w:val="000000"/>
        </w:rPr>
        <w:t>(24), 10104–10115.</w:t>
      </w:r>
    </w:p>
    <w:p w14:paraId="15476914" w14:textId="355EAE96" w:rsidR="004145FD" w:rsidRPr="00586955" w:rsidRDefault="008B02AD" w:rsidP="00586955">
      <w:pPr>
        <w:pBdr>
          <w:top w:val="nil"/>
          <w:left w:val="nil"/>
          <w:bottom w:val="nil"/>
          <w:right w:val="nil"/>
          <w:between w:val="nil"/>
        </w:pBdr>
        <w:spacing w:before="180" w:after="180" w:line="276" w:lineRule="auto"/>
        <w:jc w:val="both"/>
        <w:rPr>
          <w:rFonts w:cstheme="minorHAnsi"/>
          <w:color w:val="000000"/>
        </w:rPr>
      </w:pPr>
      <w:hyperlink r:id="rId19" w:history="1">
        <w:r>
          <w:rPr>
            <w:rStyle w:val="Hyperlink"/>
            <w:rFonts w:cstheme="minorHAnsi"/>
          </w:rPr>
          <w:t>https://www.sciencedirect.com/science/article/abs/pii/S0360319913013578</w:t>
        </w:r>
      </w:hyperlink>
    </w:p>
    <w:p w14:paraId="538763D2" w14:textId="77777777" w:rsidR="008B02AD" w:rsidRPr="00586955" w:rsidRDefault="008B02AD" w:rsidP="00586955">
      <w:pPr>
        <w:pBdr>
          <w:top w:val="nil"/>
          <w:left w:val="nil"/>
          <w:bottom w:val="nil"/>
          <w:right w:val="nil"/>
          <w:between w:val="nil"/>
        </w:pBdr>
        <w:spacing w:before="180" w:after="180" w:line="276" w:lineRule="auto"/>
        <w:jc w:val="both"/>
        <w:rPr>
          <w:rFonts w:cstheme="minorHAnsi"/>
          <w:color w:val="000000"/>
        </w:rPr>
      </w:pPr>
    </w:p>
    <w:p w14:paraId="617D2F53" w14:textId="77777777" w:rsidR="00AE3164" w:rsidRPr="00586955" w:rsidRDefault="00AE3164" w:rsidP="00586955">
      <w:pPr>
        <w:pBdr>
          <w:top w:val="nil"/>
          <w:left w:val="nil"/>
          <w:bottom w:val="nil"/>
          <w:right w:val="nil"/>
          <w:between w:val="nil"/>
        </w:pBdr>
        <w:spacing w:before="180" w:after="180" w:line="276" w:lineRule="auto"/>
        <w:jc w:val="both"/>
        <w:rPr>
          <w:rFonts w:cstheme="minorHAnsi"/>
          <w:color w:val="000000"/>
        </w:rPr>
      </w:pPr>
      <w:r>
        <w:rPr>
          <w:rFonts w:cstheme="minorHAnsi"/>
          <w:color w:val="000000"/>
        </w:rPr>
        <w:t xml:space="preserve">[5] Gao, J., Li, Y., Liu, Y., &amp; Li, X. (2021). Adaptive real-time optimal energy management strategy based on equivalent factors optimization for hybrid fuel cell system. </w:t>
      </w:r>
      <w:r>
        <w:rPr>
          <w:rFonts w:cstheme="minorHAnsi"/>
          <w:i/>
          <w:iCs/>
          <w:color w:val="000000"/>
        </w:rPr>
        <w:t>International Journal of Hydrogen Energy, 46</w:t>
      </w:r>
      <w:r>
        <w:rPr>
          <w:rFonts w:cstheme="minorHAnsi"/>
          <w:color w:val="000000"/>
        </w:rPr>
        <w:t>, 4329–4338.</w:t>
      </w:r>
    </w:p>
    <w:p w14:paraId="74B2A90C" w14:textId="44B80E72" w:rsidR="008B02AD" w:rsidRPr="00586955" w:rsidRDefault="00363ECB" w:rsidP="00586955">
      <w:pPr>
        <w:pBdr>
          <w:top w:val="nil"/>
          <w:left w:val="nil"/>
          <w:bottom w:val="nil"/>
          <w:right w:val="nil"/>
          <w:between w:val="nil"/>
        </w:pBdr>
        <w:spacing w:before="180" w:after="180" w:line="276" w:lineRule="auto"/>
        <w:jc w:val="both"/>
        <w:rPr>
          <w:rFonts w:cstheme="minorHAnsi"/>
          <w:color w:val="000000"/>
        </w:rPr>
      </w:pPr>
      <w:hyperlink r:id="rId20" w:history="1">
        <w:r>
          <w:rPr>
            <w:rStyle w:val="Hyperlink"/>
            <w:rFonts w:cstheme="minorHAnsi"/>
          </w:rPr>
          <w:t>https://www.sciencedirect.com/science/article/abs/pii/S0360319920340830</w:t>
        </w:r>
      </w:hyperlink>
    </w:p>
    <w:p w14:paraId="3BDF80A3" w14:textId="77777777" w:rsidR="008B02AD" w:rsidRPr="00586955" w:rsidRDefault="008B02AD" w:rsidP="00586955">
      <w:pPr>
        <w:pBdr>
          <w:top w:val="nil"/>
          <w:left w:val="nil"/>
          <w:bottom w:val="nil"/>
          <w:right w:val="nil"/>
          <w:between w:val="nil"/>
        </w:pBdr>
        <w:spacing w:before="180" w:after="180" w:line="276" w:lineRule="auto"/>
        <w:jc w:val="both"/>
        <w:rPr>
          <w:rFonts w:cstheme="minorHAnsi"/>
          <w:color w:val="000000"/>
        </w:rPr>
      </w:pPr>
    </w:p>
    <w:p w14:paraId="28B092B7" w14:textId="77777777" w:rsidR="00E612B5" w:rsidRPr="00586955" w:rsidRDefault="00E612B5" w:rsidP="00586955">
      <w:pPr>
        <w:pBdr>
          <w:top w:val="nil"/>
          <w:left w:val="nil"/>
          <w:bottom w:val="nil"/>
          <w:right w:val="nil"/>
          <w:between w:val="nil"/>
        </w:pBdr>
        <w:spacing w:before="180" w:after="180" w:line="276" w:lineRule="auto"/>
        <w:jc w:val="both"/>
        <w:rPr>
          <w:rFonts w:cstheme="minorHAnsi"/>
          <w:color w:val="000000"/>
        </w:rPr>
      </w:pPr>
      <w:r>
        <w:rPr>
          <w:rFonts w:cstheme="minorHAnsi"/>
          <w:color w:val="000000"/>
        </w:rPr>
        <w:t xml:space="preserve">[6] Mann, R. F., Amphlett, J. C., Hooper, M. A. I., Jensen, H. M., Peppley, B. A., &amp; Roberge, P. R. (2000). Development and application of a generalised steady-state electrochemical model for a PEM fuel cell. </w:t>
      </w:r>
      <w:r>
        <w:rPr>
          <w:rFonts w:cstheme="minorHAnsi"/>
          <w:i/>
          <w:iCs/>
          <w:color w:val="000000"/>
        </w:rPr>
        <w:t>Journal of Power Sources, 86</w:t>
      </w:r>
      <w:r>
        <w:rPr>
          <w:rFonts w:cstheme="minorHAnsi"/>
          <w:color w:val="000000"/>
        </w:rPr>
        <w:t>(1–2), 173–180.</w:t>
      </w:r>
    </w:p>
    <w:p w14:paraId="2CA2FECF" w14:textId="4C3921B7" w:rsidR="00363ECB" w:rsidRPr="00586955" w:rsidRDefault="009D5AF7" w:rsidP="00586955">
      <w:pPr>
        <w:pBdr>
          <w:top w:val="nil"/>
          <w:left w:val="nil"/>
          <w:bottom w:val="nil"/>
          <w:right w:val="nil"/>
          <w:between w:val="nil"/>
        </w:pBdr>
        <w:spacing w:before="180" w:after="180" w:line="276" w:lineRule="auto"/>
        <w:jc w:val="both"/>
        <w:rPr>
          <w:rFonts w:cstheme="minorHAnsi"/>
          <w:color w:val="000000"/>
        </w:rPr>
      </w:pPr>
      <w:hyperlink r:id="rId21" w:history="1">
        <w:r>
          <w:rPr>
            <w:rStyle w:val="Hyperlink"/>
            <w:rFonts w:cstheme="minorHAnsi"/>
          </w:rPr>
          <w:t>https://www.sciencedirect.com/science/article/abs/pii/S037877539900484X</w:t>
        </w:r>
      </w:hyperlink>
    </w:p>
    <w:p w14:paraId="5CCC2E04" w14:textId="77777777" w:rsidR="00363ECB" w:rsidRPr="00586955" w:rsidRDefault="00363ECB" w:rsidP="00586955">
      <w:pPr>
        <w:pBdr>
          <w:top w:val="nil"/>
          <w:left w:val="nil"/>
          <w:bottom w:val="nil"/>
          <w:right w:val="nil"/>
          <w:between w:val="nil"/>
        </w:pBdr>
        <w:spacing w:before="180" w:after="180" w:line="276" w:lineRule="auto"/>
        <w:jc w:val="both"/>
        <w:rPr>
          <w:rFonts w:cstheme="minorHAnsi"/>
          <w:color w:val="000000"/>
        </w:rPr>
      </w:pPr>
    </w:p>
    <w:p w14:paraId="18F94828" w14:textId="77777777" w:rsidR="00E612B5" w:rsidRPr="00586955" w:rsidRDefault="00E612B5" w:rsidP="00586955">
      <w:pPr>
        <w:pBdr>
          <w:top w:val="nil"/>
          <w:left w:val="nil"/>
          <w:bottom w:val="nil"/>
          <w:right w:val="nil"/>
          <w:between w:val="nil"/>
        </w:pBdr>
        <w:spacing w:before="180" w:after="180" w:line="276" w:lineRule="auto"/>
        <w:jc w:val="both"/>
        <w:rPr>
          <w:rFonts w:cstheme="minorHAnsi"/>
          <w:color w:val="000000"/>
        </w:rPr>
      </w:pPr>
      <w:r>
        <w:rPr>
          <w:rFonts w:cstheme="minorHAnsi"/>
          <w:color w:val="000000"/>
        </w:rPr>
        <w:t xml:space="preserve">[7] Fang, Y., Yang, F., Xing, Y., Zhang, X., Wang, W., &amp; Lin, S. (2026). A comparative review of modeling and metaheuristic parameter identification strategies for zero-dimensional PEMFC polarization models. </w:t>
      </w:r>
      <w:r>
        <w:rPr>
          <w:rFonts w:cstheme="minorHAnsi"/>
          <w:i/>
          <w:iCs/>
          <w:color w:val="000000"/>
        </w:rPr>
        <w:t>Energies, 19</w:t>
      </w:r>
      <w:r>
        <w:rPr>
          <w:rFonts w:cstheme="minorHAnsi"/>
          <w:color w:val="000000"/>
        </w:rPr>
        <w:t>, 1438.</w:t>
      </w:r>
    </w:p>
    <w:p w14:paraId="16DB0389" w14:textId="6EC9E23F" w:rsidR="009D5AF7" w:rsidRPr="00586955" w:rsidRDefault="009D5AF7" w:rsidP="00586955">
      <w:pPr>
        <w:pBdr>
          <w:top w:val="nil"/>
          <w:left w:val="nil"/>
          <w:bottom w:val="nil"/>
          <w:right w:val="nil"/>
          <w:between w:val="nil"/>
        </w:pBdr>
        <w:spacing w:before="180" w:after="180" w:line="276" w:lineRule="auto"/>
        <w:jc w:val="both"/>
        <w:rPr>
          <w:rFonts w:cstheme="minorHAnsi"/>
          <w:color w:val="000000"/>
        </w:rPr>
      </w:pPr>
      <w:hyperlink r:id="rId22" w:history="1">
        <w:r>
          <w:rPr>
            <w:rStyle w:val="Hyperlink"/>
            <w:rFonts w:cstheme="minorHAnsi"/>
          </w:rPr>
          <w:t>https://www.mdpi.com/1996-1073/19/6/1438</w:t>
        </w:r>
      </w:hyperlink>
    </w:p>
    <w:p w14:paraId="500FAEA2" w14:textId="77777777" w:rsidR="009D5AF7" w:rsidRPr="00586955" w:rsidRDefault="009D5AF7" w:rsidP="00586955">
      <w:pPr>
        <w:pBdr>
          <w:top w:val="nil"/>
          <w:left w:val="nil"/>
          <w:bottom w:val="nil"/>
          <w:right w:val="nil"/>
          <w:between w:val="nil"/>
        </w:pBdr>
        <w:spacing w:before="180" w:after="180" w:line="276" w:lineRule="auto"/>
        <w:jc w:val="both"/>
        <w:rPr>
          <w:rFonts w:cstheme="minorHAnsi"/>
          <w:color w:val="000000"/>
        </w:rPr>
      </w:pPr>
    </w:p>
    <w:p w14:paraId="2A59253E" w14:textId="77777777" w:rsidR="008A14AB" w:rsidRPr="00586955" w:rsidRDefault="008A14AB" w:rsidP="00586955">
      <w:pPr>
        <w:pStyle w:val="BodyText"/>
        <w:spacing w:line="276" w:lineRule="auto"/>
        <w:jc w:val="both"/>
        <w:rPr>
          <w:rFonts w:cstheme="minorHAnsi"/>
        </w:rPr>
      </w:pPr>
      <w:r>
        <w:rPr>
          <w:rFonts w:cstheme="minorHAnsi"/>
        </w:rPr>
        <w:t xml:space="preserve">[8] Springer, T. E., Zawodzinski, T. A., &amp; Gottesfeld, S. (1991). Polymer electrolyte fuel cell model. </w:t>
      </w:r>
      <w:r>
        <w:rPr>
          <w:rFonts w:cstheme="minorHAnsi"/>
          <w:i/>
        </w:rPr>
        <w:t>Journal of the Electrochemical Society, 138</w:t>
      </w:r>
      <w:r>
        <w:rPr>
          <w:rFonts w:cstheme="minorHAnsi"/>
        </w:rPr>
        <w:t>, 2334–2342.</w:t>
      </w:r>
    </w:p>
    <w:p w14:paraId="6D42C422" w14:textId="0E730B0F" w:rsidR="009D5AF7" w:rsidRPr="00586955" w:rsidRDefault="009D5AF7" w:rsidP="00586955">
      <w:pPr>
        <w:pStyle w:val="BodyText"/>
        <w:spacing w:line="276" w:lineRule="auto"/>
        <w:jc w:val="both"/>
        <w:rPr>
          <w:rFonts w:cstheme="minorHAnsi"/>
        </w:rPr>
      </w:pPr>
      <w:hyperlink r:id="rId23" w:history="1">
        <w:r>
          <w:rPr>
            <w:rStyle w:val="Hyperlink"/>
            <w:rFonts w:cstheme="minorHAnsi"/>
          </w:rPr>
          <w:t>https://iopscience.iop.org/article/10.1149/1.2085971/meta</w:t>
        </w:r>
      </w:hyperlink>
    </w:p>
    <w:p w14:paraId="708FD351" w14:textId="77777777" w:rsidR="009D5AF7" w:rsidRPr="00586955" w:rsidRDefault="009D5AF7" w:rsidP="00586955">
      <w:pPr>
        <w:pStyle w:val="BodyText"/>
        <w:spacing w:line="276" w:lineRule="auto"/>
        <w:jc w:val="both"/>
        <w:rPr>
          <w:rFonts w:cstheme="minorHAnsi"/>
        </w:rPr>
      </w:pPr>
    </w:p>
    <w:p w14:paraId="38F67572" w14:textId="77777777" w:rsidR="008A14AB" w:rsidRPr="00586955" w:rsidRDefault="008A14AB" w:rsidP="00586955">
      <w:pPr>
        <w:pStyle w:val="BodyText"/>
        <w:spacing w:line="276" w:lineRule="auto"/>
        <w:jc w:val="both"/>
        <w:rPr>
          <w:rFonts w:cstheme="minorHAnsi"/>
        </w:rPr>
      </w:pPr>
      <w:r>
        <w:rPr>
          <w:rFonts w:cstheme="minorHAnsi"/>
        </w:rPr>
        <w:t xml:space="preserve">[9] Kim, J., Lee, S., Srinivasan, S., &amp; Chamberlin, C. E. (1995). Modeling of proton-exchange membrane fuel-cell performance with an empirical equation. </w:t>
      </w:r>
      <w:r>
        <w:rPr>
          <w:rFonts w:cstheme="minorHAnsi"/>
          <w:i/>
        </w:rPr>
        <w:t>Journal of the Electrochemical Society, 142</w:t>
      </w:r>
      <w:r>
        <w:rPr>
          <w:rFonts w:cstheme="minorHAnsi"/>
        </w:rPr>
        <w:t>, 2670–2674.</w:t>
      </w:r>
    </w:p>
    <w:p w14:paraId="25D72D6F" w14:textId="412E2F30" w:rsidR="009D5AF7" w:rsidRPr="00586955" w:rsidRDefault="00F02FFF" w:rsidP="00586955">
      <w:pPr>
        <w:pStyle w:val="BodyText"/>
        <w:spacing w:line="276" w:lineRule="auto"/>
        <w:jc w:val="both"/>
        <w:rPr>
          <w:rFonts w:cstheme="minorHAnsi"/>
        </w:rPr>
      </w:pPr>
      <w:hyperlink r:id="rId24" w:history="1">
        <w:r>
          <w:rPr>
            <w:rStyle w:val="Hyperlink"/>
            <w:rFonts w:cstheme="minorHAnsi"/>
          </w:rPr>
          <w:t>https://iopscience.iop.org/article/10.1149/1.2050072/meta</w:t>
        </w:r>
      </w:hyperlink>
    </w:p>
    <w:p w14:paraId="7623AE8E" w14:textId="77777777" w:rsidR="009D5AF7" w:rsidRPr="00586955" w:rsidRDefault="009D5AF7" w:rsidP="00586955">
      <w:pPr>
        <w:pStyle w:val="BodyText"/>
        <w:spacing w:line="276" w:lineRule="auto"/>
        <w:jc w:val="both"/>
        <w:rPr>
          <w:rFonts w:cstheme="minorHAnsi"/>
        </w:rPr>
      </w:pPr>
    </w:p>
    <w:p w14:paraId="6BA2355A" w14:textId="71CF2C7B" w:rsidR="00E91848" w:rsidRPr="00586955" w:rsidRDefault="008A14AB" w:rsidP="00586955">
      <w:pPr>
        <w:pBdr>
          <w:top w:val="nil"/>
          <w:left w:val="nil"/>
          <w:bottom w:val="nil"/>
          <w:right w:val="nil"/>
          <w:between w:val="nil"/>
        </w:pBdr>
        <w:spacing w:before="180" w:after="180" w:line="276" w:lineRule="auto"/>
        <w:jc w:val="both"/>
        <w:rPr>
          <w:rFonts w:cstheme="minorHAnsi"/>
        </w:rPr>
      </w:pPr>
      <w:r>
        <w:rPr>
          <w:rFonts w:cstheme="minorHAnsi"/>
        </w:rPr>
        <w:t xml:space="preserve">[10] Ziogou, C., Voutetakis, S., Papadopoulou, S., &amp; Georgiadis, M. C. (2011). Modeling, simulation and experimental validation of a PEM fuel cell system. </w:t>
      </w:r>
      <w:r>
        <w:rPr>
          <w:rFonts w:cstheme="minorHAnsi"/>
          <w:i/>
        </w:rPr>
        <w:t>Computers &amp; Chemical Engineering, 35</w:t>
      </w:r>
      <w:r>
        <w:rPr>
          <w:rFonts w:cstheme="minorHAnsi"/>
        </w:rPr>
        <w:t>, 1886–1900.</w:t>
      </w:r>
    </w:p>
    <w:p w14:paraId="41002696" w14:textId="4B6D2AA6" w:rsidR="00F02FFF" w:rsidRPr="00586955" w:rsidRDefault="00F02FFF" w:rsidP="00586955">
      <w:pPr>
        <w:pBdr>
          <w:top w:val="nil"/>
          <w:left w:val="nil"/>
          <w:bottom w:val="nil"/>
          <w:right w:val="nil"/>
          <w:between w:val="nil"/>
        </w:pBdr>
        <w:spacing w:before="180" w:after="180" w:line="276" w:lineRule="auto"/>
        <w:jc w:val="both"/>
        <w:rPr>
          <w:rFonts w:cstheme="minorHAnsi"/>
        </w:rPr>
      </w:pPr>
      <w:hyperlink r:id="rId25" w:history="1">
        <w:r>
          <w:rPr>
            <w:rStyle w:val="Hyperlink"/>
            <w:rFonts w:cstheme="minorHAnsi"/>
          </w:rPr>
          <w:t>https://www.sciencedirect.com/science/article/abs/pii/S0098135411001037</w:t>
        </w:r>
      </w:hyperlink>
    </w:p>
    <w:p w14:paraId="35E0598D" w14:textId="77777777" w:rsidR="00F02FFF" w:rsidRPr="00586955" w:rsidRDefault="00F02FFF" w:rsidP="00586955">
      <w:pPr>
        <w:pBdr>
          <w:top w:val="nil"/>
          <w:left w:val="nil"/>
          <w:bottom w:val="nil"/>
          <w:right w:val="nil"/>
          <w:between w:val="nil"/>
        </w:pBdr>
        <w:spacing w:before="180" w:after="180" w:line="276" w:lineRule="auto"/>
        <w:jc w:val="both"/>
        <w:rPr>
          <w:rFonts w:cstheme="minorHAnsi"/>
          <w:color w:val="000000"/>
        </w:rPr>
      </w:pPr>
    </w:p>
    <w:p w14:paraId="334CA8A7" w14:textId="77777777" w:rsidR="00B6197E" w:rsidRPr="00586955" w:rsidRDefault="00B6197E" w:rsidP="00586955">
      <w:pPr>
        <w:pBdr>
          <w:top w:val="nil"/>
          <w:left w:val="nil"/>
          <w:bottom w:val="nil"/>
          <w:right w:val="nil"/>
          <w:between w:val="nil"/>
        </w:pBdr>
        <w:spacing w:before="180" w:after="180" w:line="276" w:lineRule="auto"/>
        <w:jc w:val="both"/>
        <w:rPr>
          <w:rFonts w:cstheme="minorHAnsi"/>
          <w:color w:val="000000"/>
        </w:rPr>
      </w:pPr>
      <w:r>
        <w:rPr>
          <w:rFonts w:cstheme="minorHAnsi"/>
          <w:color w:val="000000"/>
        </w:rPr>
        <w:t xml:space="preserve">[11] Nejad, S., Gladwin, D. T., &amp; Stone, D. A. (2016). A systematic review of lumped-parameter equivalent circuit models for real-time estimation of lithium-ion battery states. </w:t>
      </w:r>
      <w:r>
        <w:rPr>
          <w:rFonts w:cstheme="minorHAnsi"/>
          <w:i/>
          <w:iCs/>
          <w:color w:val="000000"/>
        </w:rPr>
        <w:t>Journal of Power Sources, 316</w:t>
      </w:r>
      <w:r>
        <w:rPr>
          <w:rFonts w:cstheme="minorHAnsi"/>
          <w:color w:val="000000"/>
        </w:rPr>
        <w:t>, 183–196.</w:t>
      </w:r>
    </w:p>
    <w:p w14:paraId="3B7F020F" w14:textId="53DA769C" w:rsidR="00F02FFF" w:rsidRPr="00586955" w:rsidRDefault="00F02FFF" w:rsidP="00586955">
      <w:pPr>
        <w:pBdr>
          <w:top w:val="nil"/>
          <w:left w:val="nil"/>
          <w:bottom w:val="nil"/>
          <w:right w:val="nil"/>
          <w:between w:val="nil"/>
        </w:pBdr>
        <w:spacing w:before="180" w:after="180" w:line="276" w:lineRule="auto"/>
        <w:jc w:val="both"/>
        <w:rPr>
          <w:rFonts w:cstheme="minorHAnsi"/>
          <w:color w:val="000000"/>
        </w:rPr>
      </w:pPr>
      <w:hyperlink r:id="rId26" w:history="1">
        <w:r>
          <w:rPr>
            <w:rStyle w:val="Hyperlink"/>
            <w:rFonts w:cstheme="minorHAnsi"/>
          </w:rPr>
          <w:t>https://www.sciencedirect.com/science/article/abs/pii/S0378775316302427</w:t>
        </w:r>
      </w:hyperlink>
    </w:p>
    <w:p w14:paraId="23E1AD8F" w14:textId="77777777" w:rsidR="00F02FFF" w:rsidRPr="00586955" w:rsidRDefault="00F02FFF" w:rsidP="00586955">
      <w:pPr>
        <w:pBdr>
          <w:top w:val="nil"/>
          <w:left w:val="nil"/>
          <w:bottom w:val="nil"/>
          <w:right w:val="nil"/>
          <w:between w:val="nil"/>
        </w:pBdr>
        <w:spacing w:before="180" w:after="180" w:line="276" w:lineRule="auto"/>
        <w:jc w:val="both"/>
        <w:rPr>
          <w:rFonts w:cstheme="minorHAnsi"/>
          <w:color w:val="000000"/>
        </w:rPr>
      </w:pPr>
    </w:p>
    <w:p w14:paraId="4B43D4BA" w14:textId="77777777" w:rsidR="004E40EE" w:rsidRPr="00586955" w:rsidRDefault="004E40EE" w:rsidP="00586955">
      <w:pPr>
        <w:pBdr>
          <w:top w:val="nil"/>
          <w:left w:val="nil"/>
          <w:bottom w:val="nil"/>
          <w:right w:val="nil"/>
          <w:between w:val="nil"/>
        </w:pBdr>
        <w:spacing w:before="180" w:after="180" w:line="276" w:lineRule="auto"/>
        <w:jc w:val="both"/>
        <w:rPr>
          <w:rFonts w:cstheme="minorHAnsi"/>
          <w:color w:val="000000"/>
        </w:rPr>
      </w:pPr>
      <w:r>
        <w:rPr>
          <w:rFonts w:cstheme="minorHAnsi"/>
          <w:color w:val="000000"/>
        </w:rPr>
        <w:t xml:space="preserve">[12] Huria, T., Ludovici, G., &amp; Lutzemberger, G. (2014). State of charge estimation of high power lithium iron phosphate cells. </w:t>
      </w:r>
      <w:r>
        <w:rPr>
          <w:rFonts w:cstheme="minorHAnsi"/>
          <w:i/>
          <w:iCs/>
          <w:color w:val="000000"/>
        </w:rPr>
        <w:t>Journal of Power Sources, 249</w:t>
      </w:r>
      <w:r>
        <w:rPr>
          <w:rFonts w:cstheme="minorHAnsi"/>
          <w:color w:val="000000"/>
        </w:rPr>
        <w:t>, 92–102.</w:t>
      </w:r>
    </w:p>
    <w:p w14:paraId="024222FD" w14:textId="7818551F" w:rsidR="00F02FFF" w:rsidRPr="00586955" w:rsidRDefault="00B330A2" w:rsidP="00586955">
      <w:pPr>
        <w:pBdr>
          <w:top w:val="nil"/>
          <w:left w:val="nil"/>
          <w:bottom w:val="nil"/>
          <w:right w:val="nil"/>
          <w:between w:val="nil"/>
        </w:pBdr>
        <w:spacing w:before="180" w:after="180" w:line="276" w:lineRule="auto"/>
        <w:jc w:val="both"/>
        <w:rPr>
          <w:rFonts w:cstheme="minorHAnsi"/>
          <w:color w:val="000000"/>
        </w:rPr>
      </w:pPr>
      <w:hyperlink r:id="rId27" w:history="1">
        <w:r>
          <w:rPr>
            <w:rStyle w:val="Hyperlink"/>
            <w:rFonts w:cstheme="minorHAnsi"/>
          </w:rPr>
          <w:t>https://www.sciencedirect.com/science/article/abs/pii/S037877531301745X</w:t>
        </w:r>
      </w:hyperlink>
    </w:p>
    <w:p w14:paraId="777A1B23" w14:textId="77777777" w:rsidR="00F02FFF" w:rsidRPr="00586955" w:rsidRDefault="00F02FFF" w:rsidP="00586955">
      <w:pPr>
        <w:pBdr>
          <w:top w:val="nil"/>
          <w:left w:val="nil"/>
          <w:bottom w:val="nil"/>
          <w:right w:val="nil"/>
          <w:between w:val="nil"/>
        </w:pBdr>
        <w:spacing w:before="180" w:after="180" w:line="276" w:lineRule="auto"/>
        <w:jc w:val="both"/>
        <w:rPr>
          <w:rFonts w:cstheme="minorHAnsi"/>
          <w:color w:val="000000"/>
        </w:rPr>
      </w:pPr>
    </w:p>
    <w:p w14:paraId="0444BB3E" w14:textId="77777777" w:rsidR="004E40EE" w:rsidRPr="00586955" w:rsidRDefault="004E40EE" w:rsidP="00586955">
      <w:pPr>
        <w:pBdr>
          <w:top w:val="nil"/>
          <w:left w:val="nil"/>
          <w:bottom w:val="nil"/>
          <w:right w:val="nil"/>
          <w:between w:val="nil"/>
        </w:pBdr>
        <w:spacing w:before="180" w:after="180" w:line="276" w:lineRule="auto"/>
        <w:jc w:val="both"/>
        <w:rPr>
          <w:rFonts w:cstheme="minorHAnsi"/>
          <w:color w:val="000000"/>
        </w:rPr>
      </w:pPr>
      <w:r>
        <w:rPr>
          <w:rFonts w:cstheme="minorHAnsi"/>
          <w:color w:val="000000"/>
        </w:rPr>
        <w:t xml:space="preserve">[13] Plett, G. L. (2004). Extended Kalman filtering for battery management systems of LiPB-based HEV battery packs — Part 3: State and parameter estimation. </w:t>
      </w:r>
      <w:r>
        <w:rPr>
          <w:rFonts w:cstheme="minorHAnsi"/>
          <w:i/>
          <w:iCs/>
          <w:color w:val="000000"/>
        </w:rPr>
        <w:t>Journal of Power Sources, 134</w:t>
      </w:r>
      <w:r>
        <w:rPr>
          <w:rFonts w:cstheme="minorHAnsi"/>
          <w:color w:val="000000"/>
        </w:rPr>
        <w:t>, 277–292.</w:t>
      </w:r>
    </w:p>
    <w:p w14:paraId="3AEA201A" w14:textId="35ED49BC" w:rsidR="00B330A2" w:rsidRPr="00586955" w:rsidRDefault="00B330A2" w:rsidP="00586955">
      <w:pPr>
        <w:pBdr>
          <w:top w:val="nil"/>
          <w:left w:val="nil"/>
          <w:bottom w:val="nil"/>
          <w:right w:val="nil"/>
          <w:between w:val="nil"/>
        </w:pBdr>
        <w:spacing w:before="180" w:after="180" w:line="276" w:lineRule="auto"/>
        <w:jc w:val="both"/>
        <w:rPr>
          <w:rFonts w:cstheme="minorHAnsi"/>
          <w:color w:val="000000"/>
        </w:rPr>
      </w:pPr>
      <w:hyperlink r:id="rId28" w:history="1">
        <w:r>
          <w:rPr>
            <w:rStyle w:val="Hyperlink"/>
            <w:rFonts w:cstheme="minorHAnsi"/>
          </w:rPr>
          <w:t>https://www.sciencedirect.com/science/article/abs/pii/S0378775304003611</w:t>
        </w:r>
      </w:hyperlink>
    </w:p>
    <w:p w14:paraId="64934C60" w14:textId="77777777" w:rsidR="00B330A2" w:rsidRPr="00586955" w:rsidRDefault="00B330A2" w:rsidP="00586955">
      <w:pPr>
        <w:pBdr>
          <w:top w:val="nil"/>
          <w:left w:val="nil"/>
          <w:bottom w:val="nil"/>
          <w:right w:val="nil"/>
          <w:between w:val="nil"/>
        </w:pBdr>
        <w:spacing w:before="180" w:after="180" w:line="276" w:lineRule="auto"/>
        <w:jc w:val="both"/>
        <w:rPr>
          <w:rFonts w:cstheme="minorHAnsi"/>
          <w:color w:val="000000"/>
        </w:rPr>
      </w:pPr>
    </w:p>
    <w:p w14:paraId="2C23E6CF" w14:textId="0AA2C67D" w:rsidR="00E91848" w:rsidRPr="00586955" w:rsidRDefault="00CF5DE6" w:rsidP="00586955">
      <w:pPr>
        <w:pBdr>
          <w:top w:val="nil"/>
          <w:left w:val="nil"/>
          <w:bottom w:val="nil"/>
          <w:right w:val="nil"/>
          <w:between w:val="nil"/>
        </w:pBdr>
        <w:spacing w:before="180" w:after="180" w:line="276" w:lineRule="auto"/>
        <w:jc w:val="both"/>
        <w:rPr>
          <w:rFonts w:cstheme="minorHAnsi"/>
          <w:color w:val="000000"/>
        </w:rPr>
      </w:pPr>
      <w:r>
        <w:rPr>
          <w:rFonts w:cstheme="minorHAnsi"/>
          <w:color w:val="000000"/>
        </w:rPr>
        <w:t xml:space="preserve">[14] Onori, S., Serrao, L., &amp; Rizzoni, G. (2016). </w:t>
      </w:r>
      <w:r>
        <w:rPr>
          <w:rFonts w:cstheme="minorHAnsi"/>
          <w:i/>
          <w:iCs/>
          <w:color w:val="000000"/>
        </w:rPr>
        <w:t>Hybrid electric vehicles: Energy management strategies</w:t>
      </w:r>
      <w:r>
        <w:rPr>
          <w:rFonts w:cstheme="minorHAnsi"/>
          <w:color w:val="000000"/>
        </w:rPr>
        <w:t>. Springer.</w:t>
      </w:r>
    </w:p>
    <w:p w14:paraId="0D302DF8" w14:textId="225BE147" w:rsidR="00B330A2" w:rsidRPr="00586955" w:rsidRDefault="00B330A2" w:rsidP="00586955">
      <w:pPr>
        <w:pBdr>
          <w:top w:val="nil"/>
          <w:left w:val="nil"/>
          <w:bottom w:val="nil"/>
          <w:right w:val="nil"/>
          <w:between w:val="nil"/>
        </w:pBdr>
        <w:spacing w:before="180" w:after="180" w:line="276" w:lineRule="auto"/>
        <w:jc w:val="both"/>
        <w:rPr>
          <w:rFonts w:cstheme="minorHAnsi"/>
          <w:color w:val="000000"/>
        </w:rPr>
      </w:pPr>
      <w:hyperlink r:id="rId29" w:history="1">
        <w:r>
          <w:rPr>
            <w:rStyle w:val="Hyperlink"/>
            <w:rFonts w:cstheme="minorHAnsi"/>
          </w:rPr>
          <w:t>https://link.springer.com/content/pdf/10.1007/978-1-4471-6781-5.pdf</w:t>
        </w:r>
      </w:hyperlink>
    </w:p>
    <w:p w14:paraId="61009D62" w14:textId="77777777" w:rsidR="00B330A2" w:rsidRPr="00586955" w:rsidRDefault="00B330A2" w:rsidP="00586955">
      <w:pPr>
        <w:pBdr>
          <w:top w:val="nil"/>
          <w:left w:val="nil"/>
          <w:bottom w:val="nil"/>
          <w:right w:val="nil"/>
          <w:between w:val="nil"/>
        </w:pBdr>
        <w:spacing w:before="180" w:after="180" w:line="276" w:lineRule="auto"/>
        <w:jc w:val="both"/>
        <w:rPr>
          <w:rFonts w:cstheme="minorHAnsi"/>
          <w:color w:val="000000"/>
        </w:rPr>
      </w:pPr>
    </w:p>
    <w:p w14:paraId="1D979FFC" w14:textId="77777777" w:rsidR="002B4F06" w:rsidRPr="00586955" w:rsidRDefault="002B4F06" w:rsidP="00586955">
      <w:pPr>
        <w:pBdr>
          <w:top w:val="nil"/>
          <w:left w:val="nil"/>
          <w:bottom w:val="nil"/>
          <w:right w:val="nil"/>
          <w:between w:val="nil"/>
        </w:pBdr>
        <w:spacing w:before="180" w:after="180" w:line="276" w:lineRule="auto"/>
        <w:jc w:val="both"/>
        <w:rPr>
          <w:rFonts w:cstheme="minorHAnsi"/>
          <w:color w:val="000000"/>
        </w:rPr>
      </w:pPr>
      <w:r>
        <w:rPr>
          <w:rFonts w:cstheme="minorHAnsi"/>
          <w:color w:val="000000"/>
        </w:rPr>
        <w:lastRenderedPageBreak/>
        <w:t xml:space="preserve">[15] Sundström, O., &amp; Guzzella, L. (2009). A generic dynamic programming Matlab function. </w:t>
      </w:r>
      <w:r>
        <w:rPr>
          <w:rFonts w:cstheme="minorHAnsi"/>
          <w:i/>
          <w:iCs/>
          <w:color w:val="000000"/>
        </w:rPr>
        <w:t>IEEE Control Applications &amp; Intelligent Control</w:t>
      </w:r>
      <w:r>
        <w:rPr>
          <w:rFonts w:cstheme="minorHAnsi"/>
          <w:color w:val="000000"/>
        </w:rPr>
        <w:t>, 1625–1630.</w:t>
      </w:r>
    </w:p>
    <w:p w14:paraId="195A5A1E" w14:textId="2D9F17A9" w:rsidR="00B330A2" w:rsidRPr="00586955" w:rsidRDefault="00D451FA" w:rsidP="00586955">
      <w:pPr>
        <w:pBdr>
          <w:top w:val="nil"/>
          <w:left w:val="nil"/>
          <w:bottom w:val="nil"/>
          <w:right w:val="nil"/>
          <w:between w:val="nil"/>
        </w:pBdr>
        <w:spacing w:before="180" w:after="180" w:line="276" w:lineRule="auto"/>
        <w:jc w:val="both"/>
        <w:rPr>
          <w:rFonts w:cstheme="minorHAnsi"/>
          <w:color w:val="000000"/>
        </w:rPr>
      </w:pPr>
      <w:hyperlink r:id="rId30" w:history="1">
        <w:r>
          <w:rPr>
            <w:rStyle w:val="Hyperlink"/>
            <w:rFonts w:cstheme="minorHAnsi"/>
          </w:rPr>
          <w:t>https://ieeexplore.ieee.org/abstract/document/5281131</w:t>
        </w:r>
      </w:hyperlink>
    </w:p>
    <w:p w14:paraId="4325A625" w14:textId="77777777" w:rsidR="00B330A2" w:rsidRPr="00586955" w:rsidRDefault="00B330A2" w:rsidP="00586955">
      <w:pPr>
        <w:pBdr>
          <w:top w:val="nil"/>
          <w:left w:val="nil"/>
          <w:bottom w:val="nil"/>
          <w:right w:val="nil"/>
          <w:between w:val="nil"/>
        </w:pBdr>
        <w:spacing w:before="180" w:after="180" w:line="276" w:lineRule="auto"/>
        <w:jc w:val="both"/>
        <w:rPr>
          <w:rFonts w:cstheme="minorHAnsi"/>
          <w:color w:val="000000"/>
        </w:rPr>
      </w:pPr>
    </w:p>
    <w:p w14:paraId="39C76E73" w14:textId="77777777" w:rsidR="00613E08" w:rsidRPr="00586955" w:rsidRDefault="00613E08" w:rsidP="00586955">
      <w:pPr>
        <w:pBdr>
          <w:top w:val="nil"/>
          <w:left w:val="nil"/>
          <w:bottom w:val="nil"/>
          <w:right w:val="nil"/>
          <w:between w:val="nil"/>
        </w:pBdr>
        <w:spacing w:before="180" w:after="180" w:line="276" w:lineRule="auto"/>
        <w:jc w:val="both"/>
        <w:rPr>
          <w:rFonts w:cstheme="minorHAnsi"/>
          <w:color w:val="000000"/>
        </w:rPr>
      </w:pPr>
    </w:p>
    <w:p w14:paraId="5CE1427D" w14:textId="262D7AA9" w:rsidR="002B4F06" w:rsidRPr="00586955" w:rsidRDefault="002B4F06" w:rsidP="00586955">
      <w:pPr>
        <w:pBdr>
          <w:top w:val="nil"/>
          <w:left w:val="nil"/>
          <w:bottom w:val="nil"/>
          <w:right w:val="nil"/>
          <w:between w:val="nil"/>
        </w:pBdr>
        <w:spacing w:before="180" w:after="180" w:line="276" w:lineRule="auto"/>
        <w:jc w:val="both"/>
        <w:rPr>
          <w:rFonts w:cstheme="minorHAnsi"/>
          <w:color w:val="000000"/>
        </w:rPr>
      </w:pPr>
      <w:r>
        <w:rPr>
          <w:rFonts w:cstheme="minorHAnsi"/>
          <w:color w:val="000000"/>
        </w:rPr>
        <w:t xml:space="preserve">[16] Bertsekas, D. P. (2005). </w:t>
      </w:r>
      <w:r>
        <w:rPr>
          <w:rFonts w:cstheme="minorHAnsi"/>
          <w:i/>
          <w:iCs/>
          <w:color w:val="000000"/>
        </w:rPr>
        <w:t>Dynamic programming and optimal control</w:t>
      </w:r>
      <w:r>
        <w:rPr>
          <w:rFonts w:cstheme="minorHAnsi"/>
          <w:color w:val="000000"/>
        </w:rPr>
        <w:t xml:space="preserve"> (3rd ed.). Athena Scientific.</w:t>
      </w:r>
    </w:p>
    <w:p w14:paraId="735E3FFD" w14:textId="73C9F79F" w:rsidR="00613E08" w:rsidRPr="00586955" w:rsidRDefault="00613E08" w:rsidP="00586955">
      <w:pPr>
        <w:pBdr>
          <w:top w:val="nil"/>
          <w:left w:val="nil"/>
          <w:bottom w:val="nil"/>
          <w:right w:val="nil"/>
          <w:between w:val="nil"/>
        </w:pBdr>
        <w:spacing w:before="180" w:after="180" w:line="276" w:lineRule="auto"/>
        <w:jc w:val="both"/>
        <w:rPr>
          <w:rFonts w:cstheme="minorHAnsi"/>
          <w:color w:val="000000"/>
        </w:rPr>
      </w:pPr>
      <w:hyperlink r:id="rId31" w:history="1">
        <w:r>
          <w:rPr>
            <w:rStyle w:val="Hyperlink"/>
            <w:rFonts w:cstheme="minorHAnsi"/>
          </w:rPr>
          <w:t>https://web.mit.edu/dimitrib/www/DP1_Short_View.pdf</w:t>
        </w:r>
      </w:hyperlink>
    </w:p>
    <w:p w14:paraId="188E177A" w14:textId="77777777" w:rsidR="00613E08" w:rsidRPr="00586955" w:rsidRDefault="00613E08" w:rsidP="00586955">
      <w:pPr>
        <w:pBdr>
          <w:top w:val="nil"/>
          <w:left w:val="nil"/>
          <w:bottom w:val="nil"/>
          <w:right w:val="nil"/>
          <w:between w:val="nil"/>
        </w:pBdr>
        <w:spacing w:before="180" w:after="180" w:line="276" w:lineRule="auto"/>
        <w:jc w:val="both"/>
        <w:rPr>
          <w:rFonts w:cstheme="minorHAnsi"/>
          <w:color w:val="000000"/>
        </w:rPr>
      </w:pPr>
    </w:p>
    <w:p w14:paraId="207F2FA1" w14:textId="77777777" w:rsidR="00B0074A" w:rsidRPr="00586955" w:rsidRDefault="00B0074A" w:rsidP="00586955">
      <w:pPr>
        <w:pBdr>
          <w:top w:val="nil"/>
          <w:left w:val="nil"/>
          <w:bottom w:val="nil"/>
          <w:right w:val="nil"/>
          <w:between w:val="nil"/>
        </w:pBdr>
        <w:spacing w:before="180" w:after="180" w:line="276" w:lineRule="auto"/>
        <w:jc w:val="both"/>
        <w:rPr>
          <w:rFonts w:cstheme="minorHAnsi"/>
          <w:color w:val="000000"/>
        </w:rPr>
      </w:pPr>
      <w:r>
        <w:rPr>
          <w:rFonts w:cstheme="minorHAnsi"/>
          <w:color w:val="000000"/>
        </w:rPr>
        <w:t xml:space="preserve">[17] Energy balance and hydrogen exhaust emissions of the second-generation Toyota Mirai. (2025). </w:t>
      </w:r>
      <w:r>
        <w:rPr>
          <w:rFonts w:cstheme="minorHAnsi"/>
          <w:i/>
          <w:iCs/>
          <w:color w:val="000000"/>
        </w:rPr>
        <w:t>International Journal of Hydrogen Energy</w:t>
      </w:r>
      <w:r>
        <w:rPr>
          <w:rFonts w:cstheme="minorHAnsi"/>
          <w:color w:val="000000"/>
        </w:rPr>
        <w:t>.</w:t>
      </w:r>
    </w:p>
    <w:p w14:paraId="6927E006" w14:textId="4390EB15" w:rsidR="00613E08" w:rsidRPr="00586955" w:rsidRDefault="003273DF" w:rsidP="00586955">
      <w:pPr>
        <w:pBdr>
          <w:top w:val="nil"/>
          <w:left w:val="nil"/>
          <w:bottom w:val="nil"/>
          <w:right w:val="nil"/>
          <w:between w:val="nil"/>
        </w:pBdr>
        <w:spacing w:before="180" w:after="180" w:line="276" w:lineRule="auto"/>
        <w:jc w:val="both"/>
        <w:rPr>
          <w:rFonts w:cstheme="minorHAnsi"/>
        </w:rPr>
      </w:pPr>
      <w:hyperlink r:id="rId32" w:history="1">
        <w:r>
          <w:rPr>
            <w:rStyle w:val="Hyperlink"/>
            <w:rFonts w:cstheme="minorHAnsi"/>
          </w:rPr>
          <w:t>https://www.sciencedirect.com/science/article/pii/S0360319925034093</w:t>
        </w:r>
      </w:hyperlink>
    </w:p>
    <w:p w14:paraId="1FB31282" w14:textId="77777777" w:rsidR="00613E08" w:rsidRPr="00586955" w:rsidRDefault="00613E08" w:rsidP="00586955">
      <w:pPr>
        <w:pBdr>
          <w:top w:val="nil"/>
          <w:left w:val="nil"/>
          <w:bottom w:val="nil"/>
          <w:right w:val="nil"/>
          <w:between w:val="nil"/>
        </w:pBdr>
        <w:spacing w:before="180" w:after="180" w:line="276" w:lineRule="auto"/>
        <w:jc w:val="both"/>
        <w:rPr>
          <w:rFonts w:cstheme="minorHAnsi"/>
        </w:rPr>
      </w:pPr>
    </w:p>
    <w:p w14:paraId="0BA53A81" w14:textId="39CA4482" w:rsidR="00D13B8C" w:rsidRPr="00586955" w:rsidRDefault="00141422" w:rsidP="00586955">
      <w:pPr>
        <w:pBdr>
          <w:top w:val="nil"/>
          <w:left w:val="nil"/>
          <w:bottom w:val="nil"/>
          <w:right w:val="nil"/>
          <w:between w:val="nil"/>
        </w:pBdr>
        <w:spacing w:before="180" w:after="180" w:line="276" w:lineRule="auto"/>
        <w:jc w:val="both"/>
        <w:rPr>
          <w:rFonts w:cstheme="minorHAnsi"/>
        </w:rPr>
      </w:pPr>
      <w:r>
        <w:rPr>
          <w:rFonts w:cstheme="minorHAnsi"/>
        </w:rPr>
        <w:t xml:space="preserve">[18] Hu, X., Murgovski, N., Johannesson, L. M., &amp; Egardt, B. (2013). Energy efficiency analysis of a series plug-in hybrid electric bus with different energy management strategies and battery sizes. Applied Energy, 111, 1001–1009. </w:t>
      </w:r>
    </w:p>
    <w:p w14:paraId="466F5672" w14:textId="44F30FD3" w:rsidR="00613E08" w:rsidRPr="00586955" w:rsidRDefault="003273DF" w:rsidP="00586955">
      <w:pPr>
        <w:pBdr>
          <w:top w:val="nil"/>
          <w:left w:val="nil"/>
          <w:bottom w:val="nil"/>
          <w:right w:val="nil"/>
          <w:between w:val="nil"/>
        </w:pBdr>
        <w:spacing w:before="180" w:after="180" w:line="276" w:lineRule="auto"/>
        <w:jc w:val="both"/>
        <w:rPr>
          <w:rFonts w:cstheme="minorHAnsi"/>
        </w:rPr>
      </w:pPr>
      <w:hyperlink r:id="rId33" w:history="1">
        <w:r>
          <w:rPr>
            <w:rStyle w:val="Hyperlink"/>
            <w:rFonts w:cstheme="minorHAnsi"/>
          </w:rPr>
          <w:t>https://www.sciencedirect.com/science/article/pii/S0306261913005631</w:t>
        </w:r>
      </w:hyperlink>
    </w:p>
    <w:p w14:paraId="0FEE8D13" w14:textId="77777777" w:rsidR="00613E08" w:rsidRPr="00586955" w:rsidRDefault="00613E08" w:rsidP="00586955">
      <w:pPr>
        <w:pBdr>
          <w:top w:val="nil"/>
          <w:left w:val="nil"/>
          <w:bottom w:val="nil"/>
          <w:right w:val="nil"/>
          <w:between w:val="nil"/>
        </w:pBdr>
        <w:spacing w:before="180" w:after="180" w:line="276" w:lineRule="auto"/>
        <w:jc w:val="both"/>
        <w:rPr>
          <w:rFonts w:cstheme="minorHAnsi"/>
        </w:rPr>
      </w:pPr>
    </w:p>
    <w:p w14:paraId="2D05BC49" w14:textId="38542A7B" w:rsidR="00E935A9" w:rsidRPr="00586955" w:rsidRDefault="00141422" w:rsidP="00586955">
      <w:pPr>
        <w:pBdr>
          <w:top w:val="nil"/>
          <w:left w:val="nil"/>
          <w:bottom w:val="nil"/>
          <w:right w:val="nil"/>
          <w:between w:val="nil"/>
        </w:pBdr>
        <w:spacing w:before="180" w:after="180" w:line="276" w:lineRule="auto"/>
        <w:jc w:val="both"/>
        <w:rPr>
          <w:rFonts w:cstheme="minorHAnsi"/>
          <w:color w:val="000000"/>
        </w:rPr>
      </w:pPr>
      <w:r>
        <w:rPr>
          <w:rFonts w:cstheme="minorHAnsi"/>
        </w:rPr>
        <w:t>[19] Tribioli, L., Cozzolino, R., Chiappini, D., &amp; Iora, P. (2016). Energy management of a plug-in fuel cell/battery hybrid vehicle with on-board fuel processing. Applied Energy, 184, 140–154.</w:t>
      </w:r>
    </w:p>
    <w:p w14:paraId="11B84E5F" w14:textId="448D6FE9" w:rsidR="00613E08" w:rsidRPr="00586955" w:rsidRDefault="00066618" w:rsidP="00586955">
      <w:pPr>
        <w:pBdr>
          <w:top w:val="nil"/>
          <w:left w:val="nil"/>
          <w:bottom w:val="nil"/>
          <w:right w:val="nil"/>
          <w:between w:val="nil"/>
        </w:pBdr>
        <w:spacing w:before="180" w:after="180" w:line="276" w:lineRule="auto"/>
        <w:jc w:val="both"/>
        <w:rPr>
          <w:rFonts w:cstheme="minorHAnsi"/>
          <w:color w:val="000000"/>
        </w:rPr>
      </w:pPr>
      <w:hyperlink r:id="rId34" w:history="1">
        <w:r>
          <w:rPr>
            <w:rStyle w:val="Hyperlink"/>
            <w:rFonts w:cstheme="minorHAnsi"/>
          </w:rPr>
          <w:t>https://www.sciencedirect.com/science/article/pii/S0306261916314398</w:t>
        </w:r>
      </w:hyperlink>
    </w:p>
    <w:p w14:paraId="20EBEAA5" w14:textId="77777777" w:rsidR="00613E08" w:rsidRPr="00586955" w:rsidRDefault="00613E08" w:rsidP="00586955">
      <w:pPr>
        <w:pBdr>
          <w:top w:val="nil"/>
          <w:left w:val="nil"/>
          <w:bottom w:val="nil"/>
          <w:right w:val="nil"/>
          <w:between w:val="nil"/>
        </w:pBdr>
        <w:spacing w:before="180" w:after="180" w:line="276" w:lineRule="auto"/>
        <w:jc w:val="both"/>
        <w:rPr>
          <w:rFonts w:cstheme="minorHAnsi"/>
          <w:color w:val="000000"/>
        </w:rPr>
      </w:pPr>
    </w:p>
    <w:p w14:paraId="3F4F1152" w14:textId="66A3471C" w:rsidR="00E935A9" w:rsidRPr="00586955" w:rsidRDefault="00E935A9" w:rsidP="00586955">
      <w:pPr>
        <w:pBdr>
          <w:top w:val="nil"/>
          <w:left w:val="nil"/>
          <w:bottom w:val="nil"/>
          <w:right w:val="nil"/>
          <w:between w:val="nil"/>
        </w:pBdr>
        <w:spacing w:before="180" w:after="180" w:line="276" w:lineRule="auto"/>
        <w:jc w:val="both"/>
        <w:rPr>
          <w:rFonts w:cstheme="minorHAnsi"/>
          <w:color w:val="000000"/>
        </w:rPr>
      </w:pPr>
      <w:r>
        <w:rPr>
          <w:rFonts w:cstheme="minorHAnsi"/>
          <w:color w:val="000000"/>
        </w:rPr>
        <w:t xml:space="preserve">[20] Kandidayeni, M., Macias, A., Boulon, L., &amp; Kelouwani, S. (2020). Investigating the impact of ageing and thermal management of a fuel cell system on energy management strategies. </w:t>
      </w:r>
      <w:r>
        <w:rPr>
          <w:rFonts w:cstheme="minorHAnsi"/>
          <w:i/>
          <w:iCs/>
          <w:color w:val="000000"/>
        </w:rPr>
        <w:t>Applied Energy, 274</w:t>
      </w:r>
      <w:r>
        <w:rPr>
          <w:rFonts w:cstheme="minorHAnsi"/>
          <w:color w:val="000000"/>
        </w:rPr>
        <w:t>, 115293.</w:t>
      </w:r>
    </w:p>
    <w:p w14:paraId="230AF496" w14:textId="60816A5E" w:rsidR="00613E08" w:rsidRPr="00586955" w:rsidRDefault="00066618" w:rsidP="00586955">
      <w:pPr>
        <w:spacing w:line="276" w:lineRule="auto"/>
        <w:jc w:val="both"/>
        <w:rPr>
          <w:rFonts w:cstheme="minorHAnsi"/>
        </w:rPr>
      </w:pPr>
      <w:hyperlink r:id="rId35" w:history="1">
        <w:r>
          <w:rPr>
            <w:rStyle w:val="Hyperlink"/>
            <w:rFonts w:cstheme="minorHAnsi"/>
          </w:rPr>
          <w:t>https://www.sciencedirect.com/science/article/pii/S0306261920308059</w:t>
        </w:r>
      </w:hyperlink>
    </w:p>
    <w:p w14:paraId="56DD77D3" w14:textId="77777777" w:rsidR="00613E08" w:rsidRPr="00586955" w:rsidRDefault="00613E08" w:rsidP="00586955">
      <w:pPr>
        <w:spacing w:line="276" w:lineRule="auto"/>
        <w:jc w:val="both"/>
        <w:rPr>
          <w:rFonts w:cstheme="minorHAnsi"/>
        </w:rPr>
      </w:pPr>
    </w:p>
    <w:p w14:paraId="55396554" w14:textId="7655DBC8" w:rsidR="007467FF" w:rsidRPr="00586955" w:rsidRDefault="00D106F3" w:rsidP="00586955">
      <w:pPr>
        <w:spacing w:line="276" w:lineRule="auto"/>
        <w:jc w:val="both"/>
        <w:rPr>
          <w:rFonts w:cstheme="minorHAnsi"/>
        </w:rPr>
      </w:pPr>
      <w:r>
        <w:rPr>
          <w:rFonts w:cstheme="minorHAnsi"/>
        </w:rPr>
        <w:t xml:space="preserve">[21] United Nations Economic Commission for Europe. (2022). </w:t>
      </w:r>
      <w:r>
        <w:rPr>
          <w:rStyle w:val="Emphasis"/>
          <w:rFonts w:cstheme="minorHAnsi"/>
        </w:rPr>
        <w:t>UN Global Technical Regulation No. 15: Worldwide harmonized Light vehicles Test Procedure (WLTP)</w:t>
      </w:r>
      <w:r>
        <w:rPr>
          <w:rFonts w:cstheme="minorHAnsi"/>
        </w:rPr>
        <w:t xml:space="preserve"> (ECE/TRANS/WP.29/2022/42/Rev.1). </w:t>
      </w:r>
      <w:hyperlink r:id="rId36" w:history="1">
        <w:r>
          <w:rPr>
            <w:rStyle w:val="Hyperlink"/>
            <w:rFonts w:cstheme="minorHAnsi"/>
          </w:rPr>
          <w:t>https://unece.org/sites/default/files/2022-04/ECE_TRANS_WP.29_2022_42_Rev.1E.pdf</w:t>
        </w:r>
      </w:hyperlink>
    </w:p>
    <w:p w14:paraId="4532301B" w14:textId="77777777" w:rsidR="00C36CC2" w:rsidRPr="00586955" w:rsidRDefault="00C36CC2" w:rsidP="00586955">
      <w:pPr>
        <w:spacing w:line="276" w:lineRule="auto"/>
        <w:jc w:val="both"/>
        <w:rPr>
          <w:rFonts w:cstheme="minorHAnsi"/>
        </w:rPr>
      </w:pPr>
    </w:p>
    <w:p w14:paraId="2F32048C" w14:textId="77777777" w:rsidR="00613E08" w:rsidRPr="00586955" w:rsidRDefault="00613E08" w:rsidP="00586955">
      <w:pPr>
        <w:spacing w:line="276" w:lineRule="auto"/>
        <w:jc w:val="both"/>
        <w:rPr>
          <w:rFonts w:cstheme="minorHAnsi"/>
        </w:rPr>
      </w:pPr>
    </w:p>
    <w:p w14:paraId="242FD234" w14:textId="11742166" w:rsidR="00C36CC2" w:rsidRPr="00586955" w:rsidRDefault="00C36CC2" w:rsidP="00586955">
      <w:pPr>
        <w:spacing w:line="276" w:lineRule="auto"/>
        <w:jc w:val="both"/>
        <w:rPr>
          <w:rFonts w:cstheme="minorHAnsi"/>
        </w:rPr>
      </w:pPr>
      <w:r>
        <w:rPr>
          <w:rFonts w:cstheme="minorHAnsi"/>
        </w:rPr>
        <w:t xml:space="preserve">[22] Toyota Motor Corporation. (2022). Toyota Mirai technical specifications. Toyota (GB) Media Site. </w:t>
      </w:r>
      <w:hyperlink r:id="rId37" w:history="1">
        <w:r>
          <w:rPr>
            <w:rStyle w:val="Hyperlink"/>
            <w:rFonts w:cstheme="minorHAnsi"/>
          </w:rPr>
          <w:t>https://media.toyota.co.uk/wp-content/uploads/sites/5/pdf/220203M-Mirai-Tech-Spec.pdf</w:t>
        </w:r>
      </w:hyperlink>
    </w:p>
    <w:p w14:paraId="7031AE94" w14:textId="77777777" w:rsidR="00613E08" w:rsidRPr="00586955" w:rsidRDefault="00613E08" w:rsidP="00586955">
      <w:pPr>
        <w:spacing w:line="276" w:lineRule="auto"/>
        <w:jc w:val="both"/>
        <w:rPr>
          <w:rFonts w:cstheme="minorHAnsi"/>
        </w:rPr>
      </w:pPr>
    </w:p>
    <w:p w14:paraId="46E26A0C" w14:textId="77777777" w:rsidR="00613E08" w:rsidRPr="00586955" w:rsidRDefault="00613E08" w:rsidP="00586955">
      <w:pPr>
        <w:spacing w:line="276" w:lineRule="auto"/>
        <w:jc w:val="both"/>
        <w:rPr>
          <w:rFonts w:cstheme="minorHAnsi"/>
        </w:rPr>
      </w:pPr>
    </w:p>
    <w:p w14:paraId="44C10FD5" w14:textId="77777777" w:rsidR="00586955" w:rsidRPr="00586955" w:rsidRDefault="00CF7517" w:rsidP="00586955">
      <w:pPr>
        <w:spacing w:line="276" w:lineRule="auto"/>
        <w:jc w:val="both"/>
        <w:rPr>
          <w:rFonts w:cstheme="minorHAnsi"/>
        </w:rPr>
      </w:pPr>
      <w:r>
        <w:rPr>
          <w:rFonts w:cstheme="minorHAnsi"/>
        </w:rPr>
        <w:t xml:space="preserve">[23] H2 MOBILITY Deutschland GmbH. (2026). H2.LIVE: Hydrogen stations in Germany and Europe — fuel pricing. </w:t>
      </w:r>
    </w:p>
    <w:p w14:paraId="1D8FD5C1" w14:textId="78AD7D9E" w:rsidR="00CF7517" w:rsidRPr="00586955" w:rsidRDefault="00586955" w:rsidP="00586955">
      <w:pPr>
        <w:spacing w:line="276" w:lineRule="auto"/>
        <w:jc w:val="both"/>
        <w:rPr>
          <w:rFonts w:cstheme="minorHAnsi"/>
        </w:rPr>
      </w:pPr>
      <w:hyperlink r:id="rId38" w:history="1">
        <w:r>
          <w:rPr>
            <w:rStyle w:val="Hyperlink"/>
            <w:rFonts w:cstheme="minorHAnsi"/>
          </w:rPr>
          <w:t>https://h2.live/en/</w:t>
        </w:r>
      </w:hyperlink>
      <w:r>
        <w:rPr>
          <w:rFonts w:cstheme="minorHAnsi"/>
        </w:rPr>
        <w:t xml:space="preserve"> </w:t>
      </w:r>
    </w:p>
    <w:p w14:paraId="014BA720" w14:textId="77777777" w:rsidR="00613E08" w:rsidRPr="00586955" w:rsidRDefault="00613E08" w:rsidP="00586955">
      <w:pPr>
        <w:spacing w:line="276" w:lineRule="auto"/>
        <w:jc w:val="both"/>
        <w:rPr>
          <w:rFonts w:cstheme="minorHAnsi"/>
        </w:rPr>
      </w:pPr>
    </w:p>
    <w:p w14:paraId="636D9A40" w14:textId="6950C2A4" w:rsidR="00CF7517" w:rsidRPr="00586955" w:rsidRDefault="00CF7517" w:rsidP="00586955">
      <w:pPr>
        <w:spacing w:line="276" w:lineRule="auto"/>
        <w:jc w:val="both"/>
        <w:rPr>
          <w:rFonts w:cstheme="minorHAnsi"/>
        </w:rPr>
      </w:pPr>
      <w:r>
        <w:rPr>
          <w:rFonts w:cstheme="minorHAnsi"/>
        </w:rPr>
        <w:t xml:space="preserve">[24] BDEW Bundesverband der Energie- und Wasserwirtschaft. (2026). BDEWStrompreisanalyse Januar 2026. </w:t>
      </w:r>
      <w:hyperlink r:id="rId39" w:history="1">
        <w:r>
          <w:rPr>
            <w:rStyle w:val="Hyperlink"/>
            <w:rFonts w:cstheme="minorHAnsi"/>
          </w:rPr>
          <w:t>https://www.bdew.de/media/documents/BDEW_Strompreisanalyse_012026_1.pdf</w:t>
        </w:r>
      </w:hyperlink>
    </w:p>
    <w:sectPr w:rsidR="00CF7517" w:rsidRPr="00586955" w:rsidSect="00EB6A83">
      <w:footerReference w:type="default" r:id="rId40"/>
      <w:pgSz w:w="11900" w:h="16840"/>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AF07F" w14:textId="77777777" w:rsidR="001E5E28" w:rsidRDefault="001E5E28" w:rsidP="00D24380">
      <w:r>
        <w:separator/>
      </w:r>
    </w:p>
  </w:endnote>
  <w:endnote w:type="continuationSeparator" w:id="0">
    <w:p w14:paraId="090FEDBC" w14:textId="77777777" w:rsidR="001E5E28" w:rsidRDefault="001E5E28" w:rsidP="00D24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90C7B" w14:textId="77777777" w:rsidR="00D24380" w:rsidRDefault="00D24380" w:rsidP="00D24380">
    <w:pPr>
      <w:pStyle w:val="Footer"/>
      <w:rPr>
        <w:color w:val="4472C4" w:themeColor="accent1"/>
      </w:rPr>
    </w:pPr>
    <w:r>
      <w:rPr>
        <w:color w:val="4472C4" w:themeColor="accent1"/>
      </w:rPr>
      <w:t>Mat</w:t>
    </w:r>
    <w:r w:rsidR="00F50251">
      <w:rPr>
        <w:color w:val="4472C4" w:themeColor="accent1"/>
      </w:rPr>
      <w:t>hematical Engineering Design</w:t>
    </w:r>
    <w:r>
      <w:rPr>
        <w:color w:val="4472C4" w:themeColor="accent1"/>
      </w:rPr>
      <w:tab/>
    </w:r>
    <w:r>
      <w:rPr>
        <w:color w:val="4472C4" w:themeColor="accent1"/>
      </w:rPr>
      <w:tab/>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rPr>
      <w:t>2</w:t>
    </w:r>
    <w:r>
      <w:rPr>
        <w:color w:val="4472C4" w:themeColor="accent1"/>
      </w:rPr>
      <w:fldChar w:fldCharType="end"/>
    </w:r>
    <w:r>
      <w:rPr>
        <w:color w:val="4472C4" w:themeColor="accent1"/>
      </w:rPr>
      <w:t xml:space="preserve"> / </w:t>
    </w:r>
    <w:r>
      <w:rPr>
        <w:color w:val="4472C4" w:themeColor="accent1"/>
      </w:rPr>
      <w:fldChar w:fldCharType="begin"/>
    </w:r>
    <w:r>
      <w:rPr>
        <w:color w:val="4472C4" w:themeColor="accent1"/>
      </w:rPr>
      <w:instrText>NUMPAGES  \* Arapça  \* MERGEFORMAT</w:instrText>
    </w:r>
    <w:r>
      <w:rPr>
        <w:color w:val="4472C4" w:themeColor="accent1"/>
      </w:rPr>
      <w:fldChar w:fldCharType="separate"/>
    </w:r>
    <w:r>
      <w:rPr>
        <w:color w:val="4472C4" w:themeColor="accent1"/>
      </w:rPr>
      <w:t>2</w:t>
    </w:r>
    <w:r>
      <w:rPr>
        <w:color w:val="4472C4" w:themeColor="accent1"/>
      </w:rPr>
      <w:fldChar w:fldCharType="end"/>
    </w:r>
  </w:p>
  <w:p w14:paraId="6810AD83" w14:textId="77777777" w:rsidR="00D24380" w:rsidRDefault="00D243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618BD" w14:textId="77777777" w:rsidR="001E5E28" w:rsidRDefault="001E5E28" w:rsidP="00D24380">
      <w:r>
        <w:separator/>
      </w:r>
    </w:p>
  </w:footnote>
  <w:footnote w:type="continuationSeparator" w:id="0">
    <w:p w14:paraId="7259EAFD" w14:textId="77777777" w:rsidR="001E5E28" w:rsidRDefault="001E5E28" w:rsidP="00D243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A3BB5"/>
    <w:multiLevelType w:val="hybridMultilevel"/>
    <w:tmpl w:val="8612EF06"/>
    <w:lvl w:ilvl="0" w:tplc="B51A4B1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6E6A2CA9"/>
    <w:multiLevelType w:val="hybridMultilevel"/>
    <w:tmpl w:val="21B47B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828787436">
    <w:abstractNumId w:val="1"/>
  </w:num>
  <w:num w:numId="2" w16cid:durableId="572087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DA1"/>
    <w:rsid w:val="00002043"/>
    <w:rsid w:val="000038C1"/>
    <w:rsid w:val="00003B17"/>
    <w:rsid w:val="00017717"/>
    <w:rsid w:val="00022CD6"/>
    <w:rsid w:val="00026815"/>
    <w:rsid w:val="000301E8"/>
    <w:rsid w:val="000338CF"/>
    <w:rsid w:val="00034BB3"/>
    <w:rsid w:val="000354BA"/>
    <w:rsid w:val="00040685"/>
    <w:rsid w:val="00042FCF"/>
    <w:rsid w:val="00045663"/>
    <w:rsid w:val="00051C88"/>
    <w:rsid w:val="00053DD8"/>
    <w:rsid w:val="000545CE"/>
    <w:rsid w:val="00056E37"/>
    <w:rsid w:val="000576EE"/>
    <w:rsid w:val="000618B9"/>
    <w:rsid w:val="00066023"/>
    <w:rsid w:val="00066618"/>
    <w:rsid w:val="0007198B"/>
    <w:rsid w:val="0007361F"/>
    <w:rsid w:val="000761C4"/>
    <w:rsid w:val="00080C9C"/>
    <w:rsid w:val="0008411C"/>
    <w:rsid w:val="000842C5"/>
    <w:rsid w:val="00084948"/>
    <w:rsid w:val="00086537"/>
    <w:rsid w:val="00094C5F"/>
    <w:rsid w:val="00096F67"/>
    <w:rsid w:val="000A2F32"/>
    <w:rsid w:val="000A598B"/>
    <w:rsid w:val="000B6A54"/>
    <w:rsid w:val="000B73EE"/>
    <w:rsid w:val="000C0954"/>
    <w:rsid w:val="000D134B"/>
    <w:rsid w:val="000D2B1D"/>
    <w:rsid w:val="000D474D"/>
    <w:rsid w:val="000E229F"/>
    <w:rsid w:val="000E3253"/>
    <w:rsid w:val="000F09A7"/>
    <w:rsid w:val="000F7D7D"/>
    <w:rsid w:val="0011046D"/>
    <w:rsid w:val="00114617"/>
    <w:rsid w:val="00115470"/>
    <w:rsid w:val="00115F3A"/>
    <w:rsid w:val="00121502"/>
    <w:rsid w:val="00126A71"/>
    <w:rsid w:val="00126F83"/>
    <w:rsid w:val="00137DED"/>
    <w:rsid w:val="00140C11"/>
    <w:rsid w:val="00141285"/>
    <w:rsid w:val="00141422"/>
    <w:rsid w:val="00146536"/>
    <w:rsid w:val="00147429"/>
    <w:rsid w:val="001534BD"/>
    <w:rsid w:val="001576EC"/>
    <w:rsid w:val="00157F24"/>
    <w:rsid w:val="001613F3"/>
    <w:rsid w:val="00167202"/>
    <w:rsid w:val="00176FFF"/>
    <w:rsid w:val="001878CD"/>
    <w:rsid w:val="00192A43"/>
    <w:rsid w:val="00194D14"/>
    <w:rsid w:val="001A3445"/>
    <w:rsid w:val="001A39D9"/>
    <w:rsid w:val="001A4B15"/>
    <w:rsid w:val="001A5A89"/>
    <w:rsid w:val="001A6267"/>
    <w:rsid w:val="001B52CC"/>
    <w:rsid w:val="001B6989"/>
    <w:rsid w:val="001C1D3B"/>
    <w:rsid w:val="001D026C"/>
    <w:rsid w:val="001D6FE7"/>
    <w:rsid w:val="001E5E28"/>
    <w:rsid w:val="001F109F"/>
    <w:rsid w:val="00205833"/>
    <w:rsid w:val="00210612"/>
    <w:rsid w:val="002127BB"/>
    <w:rsid w:val="00214FCD"/>
    <w:rsid w:val="002157AA"/>
    <w:rsid w:val="0022283A"/>
    <w:rsid w:val="00222FB2"/>
    <w:rsid w:val="0023330B"/>
    <w:rsid w:val="00236D10"/>
    <w:rsid w:val="002441B4"/>
    <w:rsid w:val="00244405"/>
    <w:rsid w:val="002464D5"/>
    <w:rsid w:val="00251344"/>
    <w:rsid w:val="0025216C"/>
    <w:rsid w:val="0025278C"/>
    <w:rsid w:val="00253736"/>
    <w:rsid w:val="00263D78"/>
    <w:rsid w:val="002803A1"/>
    <w:rsid w:val="00282BE0"/>
    <w:rsid w:val="002900C5"/>
    <w:rsid w:val="00295AA8"/>
    <w:rsid w:val="002A0769"/>
    <w:rsid w:val="002A0C79"/>
    <w:rsid w:val="002B4F06"/>
    <w:rsid w:val="002B5AB3"/>
    <w:rsid w:val="002B5F9F"/>
    <w:rsid w:val="002C1D49"/>
    <w:rsid w:val="002C2126"/>
    <w:rsid w:val="002D1665"/>
    <w:rsid w:val="002D4468"/>
    <w:rsid w:val="002E3546"/>
    <w:rsid w:val="002E5E75"/>
    <w:rsid w:val="00300340"/>
    <w:rsid w:val="00303D41"/>
    <w:rsid w:val="00310F4E"/>
    <w:rsid w:val="003125DC"/>
    <w:rsid w:val="00312796"/>
    <w:rsid w:val="0031325F"/>
    <w:rsid w:val="00314E4B"/>
    <w:rsid w:val="00315D65"/>
    <w:rsid w:val="00316CF6"/>
    <w:rsid w:val="0032160E"/>
    <w:rsid w:val="003273DF"/>
    <w:rsid w:val="00337427"/>
    <w:rsid w:val="00341915"/>
    <w:rsid w:val="003454B3"/>
    <w:rsid w:val="00345952"/>
    <w:rsid w:val="003476DA"/>
    <w:rsid w:val="00355891"/>
    <w:rsid w:val="00363655"/>
    <w:rsid w:val="00363ECB"/>
    <w:rsid w:val="00366715"/>
    <w:rsid w:val="003700D8"/>
    <w:rsid w:val="0037020B"/>
    <w:rsid w:val="00372A99"/>
    <w:rsid w:val="0037354D"/>
    <w:rsid w:val="00377963"/>
    <w:rsid w:val="00385E32"/>
    <w:rsid w:val="00392E34"/>
    <w:rsid w:val="0039320E"/>
    <w:rsid w:val="00395989"/>
    <w:rsid w:val="003A1A87"/>
    <w:rsid w:val="003A396B"/>
    <w:rsid w:val="003B15A8"/>
    <w:rsid w:val="003B3453"/>
    <w:rsid w:val="003B5BF2"/>
    <w:rsid w:val="003B6784"/>
    <w:rsid w:val="003B78AB"/>
    <w:rsid w:val="003C2C4E"/>
    <w:rsid w:val="003C6412"/>
    <w:rsid w:val="003C7FDA"/>
    <w:rsid w:val="003D0ABC"/>
    <w:rsid w:val="003F0907"/>
    <w:rsid w:val="003F1086"/>
    <w:rsid w:val="003F3148"/>
    <w:rsid w:val="003F34D8"/>
    <w:rsid w:val="00401601"/>
    <w:rsid w:val="004145FD"/>
    <w:rsid w:val="004200CA"/>
    <w:rsid w:val="004238AE"/>
    <w:rsid w:val="00430277"/>
    <w:rsid w:val="004334BD"/>
    <w:rsid w:val="0044065D"/>
    <w:rsid w:val="00440DFF"/>
    <w:rsid w:val="0044357D"/>
    <w:rsid w:val="004451CE"/>
    <w:rsid w:val="004537A4"/>
    <w:rsid w:val="004557C1"/>
    <w:rsid w:val="00455F7E"/>
    <w:rsid w:val="004569EA"/>
    <w:rsid w:val="004572CC"/>
    <w:rsid w:val="004574D0"/>
    <w:rsid w:val="00457571"/>
    <w:rsid w:val="00460B29"/>
    <w:rsid w:val="00460E4A"/>
    <w:rsid w:val="00462245"/>
    <w:rsid w:val="00465C3D"/>
    <w:rsid w:val="00466CA1"/>
    <w:rsid w:val="00467FC3"/>
    <w:rsid w:val="00473840"/>
    <w:rsid w:val="004766DE"/>
    <w:rsid w:val="0048224A"/>
    <w:rsid w:val="00484021"/>
    <w:rsid w:val="0048676D"/>
    <w:rsid w:val="00490FC2"/>
    <w:rsid w:val="004A2064"/>
    <w:rsid w:val="004A2D12"/>
    <w:rsid w:val="004B236F"/>
    <w:rsid w:val="004B3A42"/>
    <w:rsid w:val="004B6A03"/>
    <w:rsid w:val="004C12A1"/>
    <w:rsid w:val="004C2B73"/>
    <w:rsid w:val="004C44DD"/>
    <w:rsid w:val="004C608D"/>
    <w:rsid w:val="004D097A"/>
    <w:rsid w:val="004E128C"/>
    <w:rsid w:val="004E38D5"/>
    <w:rsid w:val="004E40EE"/>
    <w:rsid w:val="0051045C"/>
    <w:rsid w:val="005141B9"/>
    <w:rsid w:val="00516169"/>
    <w:rsid w:val="00521B4C"/>
    <w:rsid w:val="00532003"/>
    <w:rsid w:val="00533995"/>
    <w:rsid w:val="00533F84"/>
    <w:rsid w:val="0054331B"/>
    <w:rsid w:val="00543A18"/>
    <w:rsid w:val="00552853"/>
    <w:rsid w:val="0055525D"/>
    <w:rsid w:val="00556E67"/>
    <w:rsid w:val="0055760A"/>
    <w:rsid w:val="00557818"/>
    <w:rsid w:val="00557B48"/>
    <w:rsid w:val="00561705"/>
    <w:rsid w:val="00566977"/>
    <w:rsid w:val="00570548"/>
    <w:rsid w:val="0057142A"/>
    <w:rsid w:val="00574C7C"/>
    <w:rsid w:val="005767CE"/>
    <w:rsid w:val="005771EE"/>
    <w:rsid w:val="00581B8B"/>
    <w:rsid w:val="00583345"/>
    <w:rsid w:val="00585909"/>
    <w:rsid w:val="00586955"/>
    <w:rsid w:val="00587746"/>
    <w:rsid w:val="00587CEA"/>
    <w:rsid w:val="005A1A7F"/>
    <w:rsid w:val="005B5AC2"/>
    <w:rsid w:val="005D46C4"/>
    <w:rsid w:val="005E0F14"/>
    <w:rsid w:val="005F3813"/>
    <w:rsid w:val="005F3A50"/>
    <w:rsid w:val="005F5690"/>
    <w:rsid w:val="005F5B77"/>
    <w:rsid w:val="00600928"/>
    <w:rsid w:val="0060316C"/>
    <w:rsid w:val="006059D1"/>
    <w:rsid w:val="00613E08"/>
    <w:rsid w:val="00624857"/>
    <w:rsid w:val="00631925"/>
    <w:rsid w:val="00633EAC"/>
    <w:rsid w:val="0064096C"/>
    <w:rsid w:val="00640AE4"/>
    <w:rsid w:val="00641311"/>
    <w:rsid w:val="00642A13"/>
    <w:rsid w:val="00651BD8"/>
    <w:rsid w:val="006551DA"/>
    <w:rsid w:val="0066534A"/>
    <w:rsid w:val="0066665F"/>
    <w:rsid w:val="00667A61"/>
    <w:rsid w:val="006709D4"/>
    <w:rsid w:val="00672979"/>
    <w:rsid w:val="00682E03"/>
    <w:rsid w:val="00683339"/>
    <w:rsid w:val="0068360F"/>
    <w:rsid w:val="00683696"/>
    <w:rsid w:val="00684803"/>
    <w:rsid w:val="0069328B"/>
    <w:rsid w:val="00694B53"/>
    <w:rsid w:val="00697335"/>
    <w:rsid w:val="006A34EE"/>
    <w:rsid w:val="006A5DB2"/>
    <w:rsid w:val="006B02A6"/>
    <w:rsid w:val="006B31F2"/>
    <w:rsid w:val="006B60DC"/>
    <w:rsid w:val="006C22CE"/>
    <w:rsid w:val="006C48ED"/>
    <w:rsid w:val="006E3D91"/>
    <w:rsid w:val="006F3D14"/>
    <w:rsid w:val="00703CFB"/>
    <w:rsid w:val="007229BF"/>
    <w:rsid w:val="00722B68"/>
    <w:rsid w:val="00723BC0"/>
    <w:rsid w:val="00723CC5"/>
    <w:rsid w:val="00724165"/>
    <w:rsid w:val="0072538E"/>
    <w:rsid w:val="00734ABA"/>
    <w:rsid w:val="007364D3"/>
    <w:rsid w:val="00745D49"/>
    <w:rsid w:val="007467FF"/>
    <w:rsid w:val="00753F7B"/>
    <w:rsid w:val="00753FD3"/>
    <w:rsid w:val="0076080D"/>
    <w:rsid w:val="00762294"/>
    <w:rsid w:val="00762544"/>
    <w:rsid w:val="00762D7C"/>
    <w:rsid w:val="007666F1"/>
    <w:rsid w:val="007804F6"/>
    <w:rsid w:val="00786187"/>
    <w:rsid w:val="007875CE"/>
    <w:rsid w:val="007936E7"/>
    <w:rsid w:val="00795094"/>
    <w:rsid w:val="00797514"/>
    <w:rsid w:val="007A1B38"/>
    <w:rsid w:val="007A4F54"/>
    <w:rsid w:val="007A589A"/>
    <w:rsid w:val="007A5DD4"/>
    <w:rsid w:val="007A7DC3"/>
    <w:rsid w:val="007B1207"/>
    <w:rsid w:val="007B2EEB"/>
    <w:rsid w:val="007B4E9E"/>
    <w:rsid w:val="007B7317"/>
    <w:rsid w:val="007C2AEB"/>
    <w:rsid w:val="007C45F2"/>
    <w:rsid w:val="007C4E9E"/>
    <w:rsid w:val="007D0ADA"/>
    <w:rsid w:val="007D0EF4"/>
    <w:rsid w:val="007D1063"/>
    <w:rsid w:val="007D45B1"/>
    <w:rsid w:val="007E234D"/>
    <w:rsid w:val="007F3ACE"/>
    <w:rsid w:val="007F3FAE"/>
    <w:rsid w:val="007F5339"/>
    <w:rsid w:val="007F65E4"/>
    <w:rsid w:val="007F7A7D"/>
    <w:rsid w:val="008058DF"/>
    <w:rsid w:val="00807A60"/>
    <w:rsid w:val="00811979"/>
    <w:rsid w:val="00811AC2"/>
    <w:rsid w:val="0081443C"/>
    <w:rsid w:val="008145A1"/>
    <w:rsid w:val="00832BAA"/>
    <w:rsid w:val="008363C5"/>
    <w:rsid w:val="00836DE4"/>
    <w:rsid w:val="00840492"/>
    <w:rsid w:val="00840C96"/>
    <w:rsid w:val="008452C7"/>
    <w:rsid w:val="008455EF"/>
    <w:rsid w:val="00847275"/>
    <w:rsid w:val="00850DC9"/>
    <w:rsid w:val="008515F6"/>
    <w:rsid w:val="00856E95"/>
    <w:rsid w:val="00881B8F"/>
    <w:rsid w:val="008922C8"/>
    <w:rsid w:val="008926B2"/>
    <w:rsid w:val="008A14AB"/>
    <w:rsid w:val="008A3846"/>
    <w:rsid w:val="008B02AD"/>
    <w:rsid w:val="008B219F"/>
    <w:rsid w:val="008B2335"/>
    <w:rsid w:val="008B2521"/>
    <w:rsid w:val="008B7694"/>
    <w:rsid w:val="008C052C"/>
    <w:rsid w:val="008C1E23"/>
    <w:rsid w:val="008C3DE4"/>
    <w:rsid w:val="008C402F"/>
    <w:rsid w:val="008C5F2D"/>
    <w:rsid w:val="008D56E2"/>
    <w:rsid w:val="008E06DD"/>
    <w:rsid w:val="008E1A88"/>
    <w:rsid w:val="008E3D51"/>
    <w:rsid w:val="008E463D"/>
    <w:rsid w:val="008F00A4"/>
    <w:rsid w:val="008F027F"/>
    <w:rsid w:val="008F3174"/>
    <w:rsid w:val="009046DE"/>
    <w:rsid w:val="00904D8C"/>
    <w:rsid w:val="009060EB"/>
    <w:rsid w:val="0090633C"/>
    <w:rsid w:val="00910173"/>
    <w:rsid w:val="00912D70"/>
    <w:rsid w:val="009139EC"/>
    <w:rsid w:val="0091465E"/>
    <w:rsid w:val="009162C0"/>
    <w:rsid w:val="009228C7"/>
    <w:rsid w:val="0093529B"/>
    <w:rsid w:val="009376A0"/>
    <w:rsid w:val="00960DE1"/>
    <w:rsid w:val="00961DA1"/>
    <w:rsid w:val="00966A01"/>
    <w:rsid w:val="009672AB"/>
    <w:rsid w:val="00970602"/>
    <w:rsid w:val="00971B53"/>
    <w:rsid w:val="00971DDF"/>
    <w:rsid w:val="00975B3E"/>
    <w:rsid w:val="00981732"/>
    <w:rsid w:val="00985C1E"/>
    <w:rsid w:val="009952BA"/>
    <w:rsid w:val="009957A1"/>
    <w:rsid w:val="009A13CB"/>
    <w:rsid w:val="009A3D5F"/>
    <w:rsid w:val="009A5A41"/>
    <w:rsid w:val="009B2CD5"/>
    <w:rsid w:val="009B4CE8"/>
    <w:rsid w:val="009C6540"/>
    <w:rsid w:val="009C7A22"/>
    <w:rsid w:val="009C7DD8"/>
    <w:rsid w:val="009D04D7"/>
    <w:rsid w:val="009D0D25"/>
    <w:rsid w:val="009D5AF7"/>
    <w:rsid w:val="009D6593"/>
    <w:rsid w:val="009E2934"/>
    <w:rsid w:val="009F0D50"/>
    <w:rsid w:val="009F357F"/>
    <w:rsid w:val="009F3707"/>
    <w:rsid w:val="00A012DC"/>
    <w:rsid w:val="00A127FB"/>
    <w:rsid w:val="00A15A34"/>
    <w:rsid w:val="00A202AC"/>
    <w:rsid w:val="00A20B92"/>
    <w:rsid w:val="00A2249F"/>
    <w:rsid w:val="00A30C14"/>
    <w:rsid w:val="00A32A10"/>
    <w:rsid w:val="00A36524"/>
    <w:rsid w:val="00A417E0"/>
    <w:rsid w:val="00A52B9A"/>
    <w:rsid w:val="00A53633"/>
    <w:rsid w:val="00A71131"/>
    <w:rsid w:val="00A7188B"/>
    <w:rsid w:val="00A72507"/>
    <w:rsid w:val="00A72A92"/>
    <w:rsid w:val="00A732B0"/>
    <w:rsid w:val="00A80CA1"/>
    <w:rsid w:val="00A87633"/>
    <w:rsid w:val="00A9299A"/>
    <w:rsid w:val="00AA2E86"/>
    <w:rsid w:val="00AB6FF1"/>
    <w:rsid w:val="00AC43EA"/>
    <w:rsid w:val="00AC691C"/>
    <w:rsid w:val="00AD2070"/>
    <w:rsid w:val="00AD4470"/>
    <w:rsid w:val="00AD470C"/>
    <w:rsid w:val="00AD7D5B"/>
    <w:rsid w:val="00AE3164"/>
    <w:rsid w:val="00AE3C91"/>
    <w:rsid w:val="00AF1A08"/>
    <w:rsid w:val="00AF2C05"/>
    <w:rsid w:val="00AF4A8C"/>
    <w:rsid w:val="00AF62A7"/>
    <w:rsid w:val="00B0074A"/>
    <w:rsid w:val="00B24518"/>
    <w:rsid w:val="00B27A0F"/>
    <w:rsid w:val="00B306EA"/>
    <w:rsid w:val="00B330A2"/>
    <w:rsid w:val="00B36030"/>
    <w:rsid w:val="00B42624"/>
    <w:rsid w:val="00B47F37"/>
    <w:rsid w:val="00B51E28"/>
    <w:rsid w:val="00B51F92"/>
    <w:rsid w:val="00B567BE"/>
    <w:rsid w:val="00B6197E"/>
    <w:rsid w:val="00B64C72"/>
    <w:rsid w:val="00B713EC"/>
    <w:rsid w:val="00B72206"/>
    <w:rsid w:val="00B72900"/>
    <w:rsid w:val="00B9765B"/>
    <w:rsid w:val="00BA16FF"/>
    <w:rsid w:val="00BA257C"/>
    <w:rsid w:val="00BA4709"/>
    <w:rsid w:val="00BA694C"/>
    <w:rsid w:val="00BB091B"/>
    <w:rsid w:val="00BC1A2E"/>
    <w:rsid w:val="00BC1AEA"/>
    <w:rsid w:val="00BD370D"/>
    <w:rsid w:val="00BD4B41"/>
    <w:rsid w:val="00BD7851"/>
    <w:rsid w:val="00BE7781"/>
    <w:rsid w:val="00BF5A11"/>
    <w:rsid w:val="00BF7AF5"/>
    <w:rsid w:val="00C00979"/>
    <w:rsid w:val="00C02F7A"/>
    <w:rsid w:val="00C0419E"/>
    <w:rsid w:val="00C10492"/>
    <w:rsid w:val="00C15325"/>
    <w:rsid w:val="00C20CC9"/>
    <w:rsid w:val="00C2104C"/>
    <w:rsid w:val="00C265A6"/>
    <w:rsid w:val="00C27A6B"/>
    <w:rsid w:val="00C3097E"/>
    <w:rsid w:val="00C33319"/>
    <w:rsid w:val="00C36CC2"/>
    <w:rsid w:val="00C41BDA"/>
    <w:rsid w:val="00C41FE1"/>
    <w:rsid w:val="00C42C01"/>
    <w:rsid w:val="00C43834"/>
    <w:rsid w:val="00C47BD6"/>
    <w:rsid w:val="00C53B74"/>
    <w:rsid w:val="00C6023D"/>
    <w:rsid w:val="00C62DF3"/>
    <w:rsid w:val="00C62EBF"/>
    <w:rsid w:val="00C63F2F"/>
    <w:rsid w:val="00C6491E"/>
    <w:rsid w:val="00C65959"/>
    <w:rsid w:val="00C73210"/>
    <w:rsid w:val="00C76295"/>
    <w:rsid w:val="00C804F8"/>
    <w:rsid w:val="00C8589D"/>
    <w:rsid w:val="00C86D65"/>
    <w:rsid w:val="00C96803"/>
    <w:rsid w:val="00CA3EA8"/>
    <w:rsid w:val="00CA446A"/>
    <w:rsid w:val="00CA4A8C"/>
    <w:rsid w:val="00CB23AD"/>
    <w:rsid w:val="00CB2EE8"/>
    <w:rsid w:val="00CB5BAA"/>
    <w:rsid w:val="00CC005A"/>
    <w:rsid w:val="00CC0F0B"/>
    <w:rsid w:val="00CC1EDC"/>
    <w:rsid w:val="00CD2A48"/>
    <w:rsid w:val="00CD791D"/>
    <w:rsid w:val="00CE3DE7"/>
    <w:rsid w:val="00CF3BA0"/>
    <w:rsid w:val="00CF4B7B"/>
    <w:rsid w:val="00CF5DE6"/>
    <w:rsid w:val="00CF7517"/>
    <w:rsid w:val="00D07CBA"/>
    <w:rsid w:val="00D106F3"/>
    <w:rsid w:val="00D1106F"/>
    <w:rsid w:val="00D13B8C"/>
    <w:rsid w:val="00D1470A"/>
    <w:rsid w:val="00D21445"/>
    <w:rsid w:val="00D23E6C"/>
    <w:rsid w:val="00D24380"/>
    <w:rsid w:val="00D24C2F"/>
    <w:rsid w:val="00D25325"/>
    <w:rsid w:val="00D27DE7"/>
    <w:rsid w:val="00D3235A"/>
    <w:rsid w:val="00D32BB8"/>
    <w:rsid w:val="00D37D5F"/>
    <w:rsid w:val="00D451FA"/>
    <w:rsid w:val="00D50625"/>
    <w:rsid w:val="00D535C0"/>
    <w:rsid w:val="00D57413"/>
    <w:rsid w:val="00D66874"/>
    <w:rsid w:val="00D707B3"/>
    <w:rsid w:val="00D76597"/>
    <w:rsid w:val="00D83BB7"/>
    <w:rsid w:val="00D863EA"/>
    <w:rsid w:val="00D91EE3"/>
    <w:rsid w:val="00D926A5"/>
    <w:rsid w:val="00D97803"/>
    <w:rsid w:val="00DB09BE"/>
    <w:rsid w:val="00DB28D1"/>
    <w:rsid w:val="00DB6CA5"/>
    <w:rsid w:val="00DD4EE4"/>
    <w:rsid w:val="00DE3346"/>
    <w:rsid w:val="00DF1856"/>
    <w:rsid w:val="00DF5F77"/>
    <w:rsid w:val="00DF62D9"/>
    <w:rsid w:val="00E011D5"/>
    <w:rsid w:val="00E01C58"/>
    <w:rsid w:val="00E0357B"/>
    <w:rsid w:val="00E04F3C"/>
    <w:rsid w:val="00E07FB7"/>
    <w:rsid w:val="00E13A4B"/>
    <w:rsid w:val="00E16D57"/>
    <w:rsid w:val="00E175CB"/>
    <w:rsid w:val="00E21B9E"/>
    <w:rsid w:val="00E23721"/>
    <w:rsid w:val="00E23806"/>
    <w:rsid w:val="00E32C2E"/>
    <w:rsid w:val="00E42918"/>
    <w:rsid w:val="00E439F7"/>
    <w:rsid w:val="00E5470E"/>
    <w:rsid w:val="00E612B5"/>
    <w:rsid w:val="00E62476"/>
    <w:rsid w:val="00E6750A"/>
    <w:rsid w:val="00E73414"/>
    <w:rsid w:val="00E77840"/>
    <w:rsid w:val="00E819B8"/>
    <w:rsid w:val="00E819E1"/>
    <w:rsid w:val="00E81D05"/>
    <w:rsid w:val="00E84A4C"/>
    <w:rsid w:val="00E861D7"/>
    <w:rsid w:val="00E91848"/>
    <w:rsid w:val="00E92FED"/>
    <w:rsid w:val="00E935A9"/>
    <w:rsid w:val="00EA037F"/>
    <w:rsid w:val="00EA1468"/>
    <w:rsid w:val="00EA7BF7"/>
    <w:rsid w:val="00EB025D"/>
    <w:rsid w:val="00EB20EB"/>
    <w:rsid w:val="00EB2614"/>
    <w:rsid w:val="00EB3004"/>
    <w:rsid w:val="00EB6A83"/>
    <w:rsid w:val="00EB756B"/>
    <w:rsid w:val="00EC22A3"/>
    <w:rsid w:val="00EC4FF7"/>
    <w:rsid w:val="00EC76C8"/>
    <w:rsid w:val="00ED2114"/>
    <w:rsid w:val="00ED2178"/>
    <w:rsid w:val="00ED3781"/>
    <w:rsid w:val="00ED6B23"/>
    <w:rsid w:val="00EE117F"/>
    <w:rsid w:val="00EE5D22"/>
    <w:rsid w:val="00EE5E11"/>
    <w:rsid w:val="00EF15F9"/>
    <w:rsid w:val="00EF29FD"/>
    <w:rsid w:val="00EF333B"/>
    <w:rsid w:val="00EF54B8"/>
    <w:rsid w:val="00EF55B0"/>
    <w:rsid w:val="00EF5F68"/>
    <w:rsid w:val="00F0009A"/>
    <w:rsid w:val="00F00DAB"/>
    <w:rsid w:val="00F02FFF"/>
    <w:rsid w:val="00F1779F"/>
    <w:rsid w:val="00F2053A"/>
    <w:rsid w:val="00F219F8"/>
    <w:rsid w:val="00F2316B"/>
    <w:rsid w:val="00F24103"/>
    <w:rsid w:val="00F25C64"/>
    <w:rsid w:val="00F37F82"/>
    <w:rsid w:val="00F40EF4"/>
    <w:rsid w:val="00F40F85"/>
    <w:rsid w:val="00F4167A"/>
    <w:rsid w:val="00F457A6"/>
    <w:rsid w:val="00F50251"/>
    <w:rsid w:val="00F51BA7"/>
    <w:rsid w:val="00F61B41"/>
    <w:rsid w:val="00F65597"/>
    <w:rsid w:val="00F71F68"/>
    <w:rsid w:val="00F72A1F"/>
    <w:rsid w:val="00F802FB"/>
    <w:rsid w:val="00F80E00"/>
    <w:rsid w:val="00F822D0"/>
    <w:rsid w:val="00F8360F"/>
    <w:rsid w:val="00F841EA"/>
    <w:rsid w:val="00FA064D"/>
    <w:rsid w:val="00FA2F77"/>
    <w:rsid w:val="00FB04FF"/>
    <w:rsid w:val="00FB1CA5"/>
    <w:rsid w:val="00FB4636"/>
    <w:rsid w:val="00FB623F"/>
    <w:rsid w:val="00FB6E37"/>
    <w:rsid w:val="00FC14B8"/>
    <w:rsid w:val="00FC5FFC"/>
    <w:rsid w:val="00FC652F"/>
    <w:rsid w:val="00FC7DFB"/>
    <w:rsid w:val="00FD4982"/>
    <w:rsid w:val="00FE65DB"/>
    <w:rsid w:val="00FE66CF"/>
    <w:rsid w:val="00FF0B22"/>
    <w:rsid w:val="00FF1FEB"/>
    <w:rsid w:val="00FF3D58"/>
    <w:rsid w:val="00FF3E6A"/>
    <w:rsid w:val="00FF6A96"/>
    <w:rsid w:val="00FF6AB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30D28"/>
  <w15:chartTrackingRefBased/>
  <w15:docId w15:val="{3A47FB64-2625-AB40-A7C3-016590FD8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228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A0C7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618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8C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A0C79"/>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2A0C79"/>
    <w:pPr>
      <w:spacing w:before="480" w:line="276" w:lineRule="auto"/>
      <w:outlineLvl w:val="9"/>
    </w:pPr>
    <w:rPr>
      <w:b/>
      <w:bCs/>
      <w:sz w:val="28"/>
      <w:szCs w:val="28"/>
      <w:lang w:eastAsia="tr-TR"/>
    </w:rPr>
  </w:style>
  <w:style w:type="paragraph" w:styleId="TOC1">
    <w:name w:val="toc 1"/>
    <w:basedOn w:val="Normal"/>
    <w:next w:val="Normal"/>
    <w:autoRedefine/>
    <w:uiPriority w:val="39"/>
    <w:unhideWhenUsed/>
    <w:rsid w:val="002A0C79"/>
    <w:pPr>
      <w:spacing w:before="120"/>
    </w:pPr>
    <w:rPr>
      <w:rFonts w:cstheme="minorHAnsi"/>
      <w:b/>
      <w:bCs/>
      <w:i/>
      <w:iCs/>
    </w:rPr>
  </w:style>
  <w:style w:type="paragraph" w:styleId="TOC2">
    <w:name w:val="toc 2"/>
    <w:basedOn w:val="Normal"/>
    <w:next w:val="Normal"/>
    <w:autoRedefine/>
    <w:uiPriority w:val="39"/>
    <w:unhideWhenUsed/>
    <w:rsid w:val="002A0C79"/>
    <w:pPr>
      <w:spacing w:before="120"/>
      <w:ind w:left="240"/>
    </w:pPr>
    <w:rPr>
      <w:rFonts w:cstheme="minorHAnsi"/>
      <w:b/>
      <w:bCs/>
      <w:sz w:val="22"/>
      <w:szCs w:val="22"/>
    </w:rPr>
  </w:style>
  <w:style w:type="character" w:styleId="Hyperlink">
    <w:name w:val="Hyperlink"/>
    <w:basedOn w:val="DefaultParagraphFont"/>
    <w:uiPriority w:val="99"/>
    <w:unhideWhenUsed/>
    <w:rsid w:val="002A0C79"/>
    <w:rPr>
      <w:color w:val="0563C1" w:themeColor="hyperlink"/>
      <w:u w:val="single"/>
    </w:rPr>
  </w:style>
  <w:style w:type="paragraph" w:styleId="TOC3">
    <w:name w:val="toc 3"/>
    <w:basedOn w:val="Normal"/>
    <w:next w:val="Normal"/>
    <w:autoRedefine/>
    <w:uiPriority w:val="39"/>
    <w:unhideWhenUsed/>
    <w:rsid w:val="002A0C79"/>
    <w:pPr>
      <w:ind w:left="480"/>
    </w:pPr>
    <w:rPr>
      <w:rFonts w:cstheme="minorHAnsi"/>
      <w:sz w:val="20"/>
      <w:szCs w:val="20"/>
    </w:rPr>
  </w:style>
  <w:style w:type="paragraph" w:styleId="TOC4">
    <w:name w:val="toc 4"/>
    <w:basedOn w:val="Normal"/>
    <w:next w:val="Normal"/>
    <w:autoRedefine/>
    <w:uiPriority w:val="39"/>
    <w:semiHidden/>
    <w:unhideWhenUsed/>
    <w:rsid w:val="002A0C79"/>
    <w:pPr>
      <w:ind w:left="720"/>
    </w:pPr>
    <w:rPr>
      <w:rFonts w:cstheme="minorHAnsi"/>
      <w:sz w:val="20"/>
      <w:szCs w:val="20"/>
    </w:rPr>
  </w:style>
  <w:style w:type="paragraph" w:styleId="TOC5">
    <w:name w:val="toc 5"/>
    <w:basedOn w:val="Normal"/>
    <w:next w:val="Normal"/>
    <w:autoRedefine/>
    <w:uiPriority w:val="39"/>
    <w:semiHidden/>
    <w:unhideWhenUsed/>
    <w:rsid w:val="002A0C79"/>
    <w:pPr>
      <w:ind w:left="960"/>
    </w:pPr>
    <w:rPr>
      <w:rFonts w:cstheme="minorHAnsi"/>
      <w:sz w:val="20"/>
      <w:szCs w:val="20"/>
    </w:rPr>
  </w:style>
  <w:style w:type="paragraph" w:styleId="TOC6">
    <w:name w:val="toc 6"/>
    <w:basedOn w:val="Normal"/>
    <w:next w:val="Normal"/>
    <w:autoRedefine/>
    <w:uiPriority w:val="39"/>
    <w:semiHidden/>
    <w:unhideWhenUsed/>
    <w:rsid w:val="002A0C79"/>
    <w:pPr>
      <w:ind w:left="1200"/>
    </w:pPr>
    <w:rPr>
      <w:rFonts w:cstheme="minorHAnsi"/>
      <w:sz w:val="20"/>
      <w:szCs w:val="20"/>
    </w:rPr>
  </w:style>
  <w:style w:type="paragraph" w:styleId="TOC7">
    <w:name w:val="toc 7"/>
    <w:basedOn w:val="Normal"/>
    <w:next w:val="Normal"/>
    <w:autoRedefine/>
    <w:uiPriority w:val="39"/>
    <w:semiHidden/>
    <w:unhideWhenUsed/>
    <w:rsid w:val="002A0C79"/>
    <w:pPr>
      <w:ind w:left="1440"/>
    </w:pPr>
    <w:rPr>
      <w:rFonts w:cstheme="minorHAnsi"/>
      <w:sz w:val="20"/>
      <w:szCs w:val="20"/>
    </w:rPr>
  </w:style>
  <w:style w:type="paragraph" w:styleId="TOC8">
    <w:name w:val="toc 8"/>
    <w:basedOn w:val="Normal"/>
    <w:next w:val="Normal"/>
    <w:autoRedefine/>
    <w:uiPriority w:val="39"/>
    <w:semiHidden/>
    <w:unhideWhenUsed/>
    <w:rsid w:val="002A0C79"/>
    <w:pPr>
      <w:ind w:left="1680"/>
    </w:pPr>
    <w:rPr>
      <w:rFonts w:cstheme="minorHAnsi"/>
      <w:sz w:val="20"/>
      <w:szCs w:val="20"/>
    </w:rPr>
  </w:style>
  <w:style w:type="paragraph" w:styleId="TOC9">
    <w:name w:val="toc 9"/>
    <w:basedOn w:val="Normal"/>
    <w:next w:val="Normal"/>
    <w:autoRedefine/>
    <w:uiPriority w:val="39"/>
    <w:semiHidden/>
    <w:unhideWhenUsed/>
    <w:rsid w:val="002A0C79"/>
    <w:pPr>
      <w:ind w:left="1920"/>
    </w:pPr>
    <w:rPr>
      <w:rFonts w:cstheme="minorHAnsi"/>
      <w:sz w:val="20"/>
      <w:szCs w:val="20"/>
    </w:rPr>
  </w:style>
  <w:style w:type="paragraph" w:styleId="Header">
    <w:name w:val="header"/>
    <w:basedOn w:val="Normal"/>
    <w:link w:val="HeaderChar"/>
    <w:uiPriority w:val="99"/>
    <w:unhideWhenUsed/>
    <w:rsid w:val="00D24380"/>
    <w:pPr>
      <w:tabs>
        <w:tab w:val="center" w:pos="4536"/>
        <w:tab w:val="right" w:pos="9072"/>
      </w:tabs>
    </w:pPr>
  </w:style>
  <w:style w:type="character" w:customStyle="1" w:styleId="HeaderChar">
    <w:name w:val="Header Char"/>
    <w:basedOn w:val="DefaultParagraphFont"/>
    <w:link w:val="Header"/>
    <w:uiPriority w:val="99"/>
    <w:rsid w:val="00D24380"/>
  </w:style>
  <w:style w:type="paragraph" w:styleId="Footer">
    <w:name w:val="footer"/>
    <w:basedOn w:val="Normal"/>
    <w:link w:val="FooterChar"/>
    <w:uiPriority w:val="99"/>
    <w:unhideWhenUsed/>
    <w:rsid w:val="00D24380"/>
    <w:pPr>
      <w:tabs>
        <w:tab w:val="center" w:pos="4536"/>
        <w:tab w:val="right" w:pos="9072"/>
      </w:tabs>
    </w:pPr>
  </w:style>
  <w:style w:type="character" w:customStyle="1" w:styleId="FooterChar">
    <w:name w:val="Footer Char"/>
    <w:basedOn w:val="DefaultParagraphFont"/>
    <w:link w:val="Footer"/>
    <w:uiPriority w:val="99"/>
    <w:rsid w:val="00D24380"/>
  </w:style>
  <w:style w:type="paragraph" w:styleId="NoSpacing">
    <w:name w:val="No Spacing"/>
    <w:link w:val="NoSpacingChar"/>
    <w:uiPriority w:val="1"/>
    <w:qFormat/>
    <w:rsid w:val="00EB6A83"/>
    <w:rPr>
      <w:rFonts w:eastAsiaTheme="minorEastAsia"/>
      <w:sz w:val="22"/>
      <w:szCs w:val="22"/>
      <w:lang w:val="en-US" w:eastAsia="zh-CN"/>
    </w:rPr>
  </w:style>
  <w:style w:type="character" w:customStyle="1" w:styleId="NoSpacingChar">
    <w:name w:val="No Spacing Char"/>
    <w:basedOn w:val="DefaultParagraphFont"/>
    <w:link w:val="NoSpacing"/>
    <w:uiPriority w:val="1"/>
    <w:rsid w:val="00EB6A83"/>
    <w:rPr>
      <w:rFonts w:eastAsiaTheme="minorEastAsia"/>
      <w:sz w:val="22"/>
      <w:szCs w:val="22"/>
      <w:lang w:val="en-US" w:eastAsia="zh-CN"/>
    </w:rPr>
  </w:style>
  <w:style w:type="paragraph" w:styleId="ListParagraph">
    <w:name w:val="List Paragraph"/>
    <w:basedOn w:val="Normal"/>
    <w:uiPriority w:val="34"/>
    <w:qFormat/>
    <w:rsid w:val="005B5AC2"/>
    <w:pPr>
      <w:ind w:left="720"/>
      <w:contextualSpacing/>
    </w:pPr>
    <w:rPr>
      <w:rFonts w:eastAsiaTheme="minorEastAsia"/>
    </w:rPr>
  </w:style>
  <w:style w:type="paragraph" w:styleId="Caption">
    <w:name w:val="caption"/>
    <w:basedOn w:val="Normal"/>
    <w:next w:val="Normal"/>
    <w:uiPriority w:val="35"/>
    <w:unhideWhenUsed/>
    <w:qFormat/>
    <w:rsid w:val="005B5AC2"/>
    <w:pPr>
      <w:spacing w:after="200"/>
    </w:pPr>
    <w:rPr>
      <w:i/>
      <w:iCs/>
      <w:color w:val="44546A" w:themeColor="text2"/>
      <w:sz w:val="18"/>
      <w:szCs w:val="18"/>
    </w:rPr>
  </w:style>
  <w:style w:type="character" w:customStyle="1" w:styleId="Heading3Char">
    <w:name w:val="Heading 3 Char"/>
    <w:basedOn w:val="DefaultParagraphFont"/>
    <w:link w:val="Heading3"/>
    <w:uiPriority w:val="9"/>
    <w:rsid w:val="00786187"/>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786187"/>
    <w:rPr>
      <w:color w:val="808080"/>
    </w:rPr>
  </w:style>
  <w:style w:type="table" w:styleId="TableGrid">
    <w:name w:val="Table Grid"/>
    <w:basedOn w:val="TableNormal"/>
    <w:uiPriority w:val="39"/>
    <w:rsid w:val="002441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F09A7"/>
    <w:rPr>
      <w:color w:val="605E5C"/>
      <w:shd w:val="clear" w:color="auto" w:fill="E1DFDD"/>
    </w:rPr>
  </w:style>
  <w:style w:type="paragraph" w:styleId="TableofFigures">
    <w:name w:val="table of figures"/>
    <w:basedOn w:val="Normal"/>
    <w:next w:val="Normal"/>
    <w:uiPriority w:val="99"/>
    <w:unhideWhenUsed/>
    <w:rsid w:val="00034BB3"/>
  </w:style>
  <w:style w:type="character" w:styleId="FollowedHyperlink">
    <w:name w:val="FollowedHyperlink"/>
    <w:basedOn w:val="DefaultParagraphFont"/>
    <w:uiPriority w:val="99"/>
    <w:semiHidden/>
    <w:unhideWhenUsed/>
    <w:rsid w:val="004766DE"/>
    <w:rPr>
      <w:color w:val="954F72" w:themeColor="followedHyperlink"/>
      <w:u w:val="single"/>
    </w:rPr>
  </w:style>
  <w:style w:type="character" w:styleId="Emphasis">
    <w:name w:val="Emphasis"/>
    <w:basedOn w:val="DefaultParagraphFont"/>
    <w:uiPriority w:val="20"/>
    <w:qFormat/>
    <w:rsid w:val="00D106F3"/>
    <w:rPr>
      <w:i/>
      <w:iCs/>
    </w:rPr>
  </w:style>
  <w:style w:type="paragraph" w:customStyle="1" w:styleId="FirstParagraph">
    <w:name w:val="First Paragraph"/>
    <w:basedOn w:val="BodyText"/>
    <w:next w:val="BodyText"/>
    <w:qFormat/>
    <w:rsid w:val="009957A1"/>
    <w:pPr>
      <w:spacing w:before="180" w:after="180" w:line="276" w:lineRule="auto"/>
      <w:jc w:val="both"/>
    </w:pPr>
    <w:rPr>
      <w:rFonts w:ascii="Calibri" w:hAnsi="Calibri" w:cs="Calibri"/>
    </w:rPr>
  </w:style>
  <w:style w:type="paragraph" w:styleId="BodyText">
    <w:name w:val="Body Text"/>
    <w:basedOn w:val="Normal"/>
    <w:link w:val="BodyTextChar"/>
    <w:uiPriority w:val="99"/>
    <w:unhideWhenUsed/>
    <w:rsid w:val="009957A1"/>
    <w:pPr>
      <w:spacing w:after="120"/>
    </w:pPr>
  </w:style>
  <w:style w:type="character" w:customStyle="1" w:styleId="BodyTextChar">
    <w:name w:val="Body Text Char"/>
    <w:basedOn w:val="DefaultParagraphFont"/>
    <w:link w:val="BodyText"/>
    <w:uiPriority w:val="99"/>
    <w:rsid w:val="009957A1"/>
    <w:rPr>
      <w:lang w:val="en-US"/>
    </w:rPr>
  </w:style>
  <w:style w:type="table" w:customStyle="1" w:styleId="Table">
    <w:name w:val="Table"/>
    <w:semiHidden/>
    <w:unhideWhenUsed/>
    <w:qFormat/>
    <w:rsid w:val="007C4E9E"/>
    <w:pPr>
      <w:spacing w:after="200"/>
    </w:pPr>
    <w:rPr>
      <w:lang w:val="en-US"/>
    </w:rPr>
    <w:tblPr>
      <w:tblInd w:w="0" w:type="dxa"/>
      <w:tblCellMar>
        <w:top w:w="0" w:type="dxa"/>
        <w:left w:w="108" w:type="dxa"/>
        <w:bottom w:w="0" w:type="dxa"/>
        <w:right w:w="108" w:type="dxa"/>
      </w:tblCellMar>
    </w:tblPr>
  </w:style>
  <w:style w:type="paragraph" w:customStyle="1" w:styleId="Compact">
    <w:name w:val="Compact"/>
    <w:basedOn w:val="BodyText"/>
    <w:qFormat/>
    <w:rsid w:val="00694B53"/>
    <w:pPr>
      <w:spacing w:before="36" w:after="36" w:line="276" w:lineRule="auto"/>
      <w:jc w:val="both"/>
    </w:pPr>
    <w:rPr>
      <w:rFonts w:ascii="Calibri" w:hAnsi="Calibri" w:cs="Calibri"/>
    </w:rPr>
  </w:style>
  <w:style w:type="character" w:customStyle="1" w:styleId="Revised">
    <w:name w:val="Revised"/>
    <w:rsid w:val="00C10492"/>
    <w:rPr>
      <w:b/>
      <w:i/>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academia.edu/download/48212250/Equivalent_consumption_minimization_stra20160820-12660-d4l1g0.pdf" TargetMode="External"/><Relationship Id="rId26" Type="http://schemas.openxmlformats.org/officeDocument/2006/relationships/hyperlink" Target="https://www.sciencedirect.com/science/article/abs/pii/S0378775316302427" TargetMode="External"/><Relationship Id="rId39" Type="http://schemas.openxmlformats.org/officeDocument/2006/relationships/hyperlink" Target="https://www.bdew.de/media/documents/BDEW_Strompreisanalyse_012026_1.pdf" TargetMode="External"/><Relationship Id="rId21" Type="http://schemas.openxmlformats.org/officeDocument/2006/relationships/hyperlink" Target="https://www.sciencedirect.com/science/article/abs/pii/S037877539900484X" TargetMode="External"/><Relationship Id="rId34" Type="http://schemas.openxmlformats.org/officeDocument/2006/relationships/hyperlink" Target="https://www.sciencedirect.com/science/article/pii/S0306261916314398"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ieeexplore.ieee.org/abstract/document/10247150" TargetMode="External"/><Relationship Id="rId20" Type="http://schemas.openxmlformats.org/officeDocument/2006/relationships/hyperlink" Target="https://www.sciencedirect.com/science/article/abs/pii/S0360319920340830" TargetMode="External"/><Relationship Id="rId29" Type="http://schemas.openxmlformats.org/officeDocument/2006/relationships/hyperlink" Target="https://link.springer.com/content/pdf/10.1007/978-1-4471-6781-5.pdf"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iopscience.iop.org/article/10.1149/1.2050072/meta" TargetMode="External"/><Relationship Id="rId32" Type="http://schemas.openxmlformats.org/officeDocument/2006/relationships/hyperlink" Target="https://www.sciencedirect.com/science/article/pii/S0360319925034093" TargetMode="External"/><Relationship Id="rId37" Type="http://schemas.openxmlformats.org/officeDocument/2006/relationships/hyperlink" Target="https://media.toyota.co.uk/wp-content/uploads/sites/5/pdf/220203M-Mirai-Tech-Spec.pdf"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iopscience.iop.org/article/10.1149/1.2085971/meta" TargetMode="External"/><Relationship Id="rId28" Type="http://schemas.openxmlformats.org/officeDocument/2006/relationships/hyperlink" Target="https://www.sciencedirect.com/science/article/abs/pii/S0378775304003611" TargetMode="External"/><Relationship Id="rId36" Type="http://schemas.openxmlformats.org/officeDocument/2006/relationships/hyperlink" Target="https://unece.org/sites/default/files/2022-04/ECE_TRANS_WP.29_2022_42_Rev.1E.pdf" TargetMode="External"/><Relationship Id="rId10" Type="http://schemas.openxmlformats.org/officeDocument/2006/relationships/image" Target="media/image3.png"/><Relationship Id="rId19" Type="http://schemas.openxmlformats.org/officeDocument/2006/relationships/hyperlink" Target="https://www.sciencedirect.com/science/article/abs/pii/S0360319913013578" TargetMode="External"/><Relationship Id="rId31" Type="http://schemas.openxmlformats.org/officeDocument/2006/relationships/hyperlink" Target="https://web.mit.edu/dimitrib/www/DP1_Short_View.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mdpi.com/1996-1073/19/6/1438" TargetMode="External"/><Relationship Id="rId27" Type="http://schemas.openxmlformats.org/officeDocument/2006/relationships/hyperlink" Target="https://www.sciencedirect.com/science/article/abs/pii/S037877531301745X" TargetMode="External"/><Relationship Id="rId30" Type="http://schemas.openxmlformats.org/officeDocument/2006/relationships/hyperlink" Target="https://ieeexplore.ieee.org/abstract/document/5281131" TargetMode="External"/><Relationship Id="rId35" Type="http://schemas.openxmlformats.org/officeDocument/2006/relationships/hyperlink" Target="https://www.sciencedirect.com/science/article/pii/S0306261920308059"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ieeexplore.ieee.org/abstract/document/4140747" TargetMode="External"/><Relationship Id="rId25" Type="http://schemas.openxmlformats.org/officeDocument/2006/relationships/hyperlink" Target="https://www.sciencedirect.com/science/article/abs/pii/S0098135411001037" TargetMode="External"/><Relationship Id="rId33" Type="http://schemas.openxmlformats.org/officeDocument/2006/relationships/hyperlink" Target="https://www.sciencedirect.com/science/article/pii/S0306261913005631" TargetMode="External"/><Relationship Id="rId38" Type="http://schemas.openxmlformats.org/officeDocument/2006/relationships/hyperlink" Target="https://h2.live/en/"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11672-1407-9A4D-9E29-32DB153AB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6022</Words>
  <Characters>34631</Characters>
  <Application>Microsoft Office Word</Application>
  <DocSecurity>0</DocSecurity>
  <Lines>805</Lines>
  <Paragraphs>423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Ahmet Yeşil</cp:lastModifiedBy>
  <cp:revision>2</cp:revision>
  <dcterms:created xsi:type="dcterms:W3CDTF">2026-06-12T12:22:00Z</dcterms:created>
  <dcterms:modified xsi:type="dcterms:W3CDTF">2026-06-12T12:22:00Z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