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qv09c34e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HG-SMS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fzueqygez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112-Vector Signal Mapping Specification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(Deterministic Ontology Layer — Definition of the Canonical State Coordinates)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exact measurable signals that populate the canonical state vector: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X∈R112X \in \mathbb{R}^{112}X∈R112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specified by HG-CMAS v1.0.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HelixGate depends on these coordinates being: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Ratio-based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Sector-stage normalized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Confidence-weighted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narrative scoring is permitted.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q7fr5u5dm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in the System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HG-SMS defines </w:t>
      </w:r>
      <w:r w:rsidDel="00000000" w:rsidR="00000000" w:rsidRPr="00000000">
        <w:rPr>
          <w:b w:val="1"/>
          <w:bCs w:val="1"/>
          <w:rtl w:val="0"/>
        </w:rPr>
        <w:t xml:space="preserve">what X actually represents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position: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Data</w:t>
        <w:br w:type="textWrapping"/>
        <w:t xml:space="preserve"> → Extraction Layer</w:t>
        <w:br w:type="textWrapping"/>
        <w:t xml:space="preserve"> → Structured Signals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HG-SMS definitions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HG-ME normalization &amp; calibration</w:t>
        <w:br w:type="textWrapping"/>
        <w:t xml:space="preserve"> → Canonical vector X</w:t>
        <w:br w:type="textWrapping"/>
        <w:t xml:space="preserve"> → HG-CMAS kernel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HG-SMS defines signals only.</w:t>
        <w:br w:type="textWrapping"/>
        <w:t xml:space="preserve"> It does not define normalization, conditioning, or learning.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ksfkmnh4t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Canonical Coordinate Construction Rule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coordinate: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xd,v=md,v⋅id,vx_{d,v} = m_{d,v} \cdot i_{d,v}xd,v​=md,v​⋅id,v​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quqrr8u8s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Measured Signal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md,v∈[0,1]m_{d,v} \in [0,1]md,v​∈[0,1]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Constructed from raw observable quantities via sector-stage normalization (performed in HG-ME).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jo2iunitt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 Weight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id,v∈[0,1]i_{d,v} \in [0,1]id,v​∈[0,1]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as: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id,v=cdata⋅cverificationi_{d,v} = c_{\text{data}} \cdot c_{\text{verification}}id,v​=cdata​⋅cverification​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Reflects data completeness and verification reliability.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3rq7j1xwk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Admissible Signal Properties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signal must be: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Quantifiable from observable data</w:t>
        <w:br w:type="textWrapping"/>
        <w:t xml:space="preserve"> ✔ Reproducible from the same inputs</w:t>
        <w:br w:type="textWrapping"/>
        <w:t xml:space="preserve"> ✔ Resistant to manipulation</w:t>
        <w:br w:type="textWrapping"/>
        <w:t xml:space="preserve"> ✔ Comparable across companies within sector/stage</w:t>
        <w:br w:type="textWrapping"/>
        <w:t xml:space="preserve"> ✔ Version-controlled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Prohibited signal types: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Subjective leadership ratings</w:t>
        <w:br w:type="textWrapping"/>
        <w:t xml:space="preserve"> ✘ Cultural assessments</w:t>
        <w:br w:type="textWrapping"/>
        <w:t xml:space="preserve"> ✘ Sentiment analysis</w:t>
        <w:br w:type="textWrapping"/>
        <w:t xml:space="preserve"> ✘ Narrative strategy scoring</w:t>
        <w:br w:type="textWrapping"/>
        <w:t xml:space="preserve"> ✘ Survey-based soft metrics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gi8ipdmwc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Dimensional Structure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112 coordinates are grouped into seven structural dimensions:</w:t>
      </w:r>
    </w:p>
    <w:tbl>
      <w:tblPr>
        <w:tblStyle w:val="Table1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410"/>
        <w:tblGridChange w:id="0">
          <w:tblGrid>
            <w:gridCol w:w="132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Capital Structure Integrity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&amp;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Temporal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&amp; Revenue Integrity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Market &amp; Liquidity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Execution Discipline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Failure Visibility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dimension contains exactly 16 vectors.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Flattening order: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D1-V01→D7-V16D1\text{-}V01 \rightarrow D7\text{-}V16D1-V01→D7-V16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ordering defines the canonical coordinate indices.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lqe195siy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D1 — Capital Structure Integrity (16)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structural properties of financing hierarchy and payoff distribution.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Preference Stack Complexity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Seniority Instruments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Anti-Dilution Aggressiveness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Liquidation Preference Overhang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Dividend Drag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Entrenchment Risk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Round Dependency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Ratchet Trigger Exposure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Unpriced Optionality Transfer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Downside Asymmetry Skew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Waterfall Opacity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Proliferation Risk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Proceeds Fragility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Flat-Round Ceiling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Stack Inertia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Repricing Inevitability Index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expressed as ratios of capital components to ownership, revenue, or valuation structure.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91s04pzad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D2 — Governance &amp; Control (16)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formal and informal control dynamics.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Power Asymmetry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Override Authority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Provision Weakness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 Decision Centers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Latency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Voting Power Drift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Influence Risk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Without Ownership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 Resolution Failure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Change-of-Control Ambiguity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Liquidity Misalignment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Information Gaps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Enforcement Friction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Right Illusion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Fatigue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Repair Difficulty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derived from voting ratios, contractual rights, and decision latency measures.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t658vfhmj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D3 — Temporal Risk (16)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time-dependent structural vulnerabilities.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Convexity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 Illusion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Lock-In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Dependency Formation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Time-to-Truth Lag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Time-to-Cash Gap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Optionality Decay Rate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Penalty Acceleration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Slippage Sensitivity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Window Compression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Rescue Capital Dependency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Latency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Spend Ratio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Repricing Risk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Leverage Loss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No-Return Time Threshold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signals directly influence instability dynamics.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bprzmx35f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D4 — Information &amp; Revenue Integrity (16)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reliability and sustainability of financial information.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Concentration Entropy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Revenue Stability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Churn Acceleration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Recognition Aggressiveness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vs Cash Divergence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Visibility Coverage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Power Durability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Credit Quality Exposure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Theatre Risk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Lag Severity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Credibility Decay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Manipulability Index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Non-GAAP Adjustment Density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 Aging Distortion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Reporting Opacity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Volatility Convexity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 financial statements, CRM data, and time-series analysis.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uylxfdkob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D5 — Market &amp; Liquidity (16)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external structural pressures.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Sector Multiple Compression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Concentration Index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Liquidity Tightening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 Accessibility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Post-Acquisition Price Elasticity Shift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Revenue Reaction Slope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Share Volatility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Dependency Exposure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Revenue Concentration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Switching Cost Proxy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Volatility Index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Volume Compression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Sensitivity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Capital Intensity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Elasticity Variance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Financing Dependency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response is embedded through observable reaction metrics.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4jp8dsobc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D6 — Execution Discipline (16)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operational reliability and decision quality.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Allocation IRR Variance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Post-Merger Synergy Realization Error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Timeline Deviation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Error Persistence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Variance Convexity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Turnover Volatility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Pivot Reversal Rate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Compensation-Performance Misalignment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vs Revenue Divergence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R&amp;D Productivity Variance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Cost Volatility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Completion Variance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Latency Trend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Dependency Ratio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Drift Acceleration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Alignment Elasticity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failures amplify structural fragility.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ekiys54tg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D7 — Failure Visibility (16)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detectable instability is.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Smoothing Indicator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Frequency Decline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Engagement-to-Revenue Divergence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Lag Acceleration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Revision Density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Time Variance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Discipline Decay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Compression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Disclosure Selectivity Index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Restatement Frequency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Completeness Decay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Volatility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Signal Drift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Disclosure Lag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Out-of-Distribution Signal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Detection Delay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visibility increases systemic risk.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8ifxcy9ib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Code Audit Integration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risk metrics are embedded primarily within D4 and D6, including: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Complexity ratios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graph properties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density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latency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factor concentration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expressed as normalized ratios.</w:t>
      </w:r>
    </w:p>
    <w:p w:rsidR="00000000" w:rsidDel="00000000" w:rsidP="00000000" w:rsidRDefault="00000000" w:rsidRPr="00000000" w14:paraId="000000D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ow2yhan8e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IP Audit Integration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Mapped across D1, D5, and D6: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Patent citation velocity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coverage breadth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horizon distribution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density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Revenue-to-IP leverage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substitutability index</w:t>
        <w:br w:type="textWrapping"/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53eayw5ss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Reaction Modeling Constraint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does not simulate strategic behavior.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reactions must be represented by: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Observed outcomes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Elasticity measures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Time-derivative responses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Sector-adjusted metrics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game-theoretic intent modeling allowed.</w:t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ft3eecmx8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Mapping to Conditioned State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populate canonical vector X.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sector-stage conditioning operator PPP defined in HG-CMAS acts after construction of X and does not alter signal definitions.</w:t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r4noy78b3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Prohibited Modifications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new dimensions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coordinates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remapping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Qualitative overrides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ontology changes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require constitutional process.</w:t>
      </w:r>
    </w:p>
    <w:p w:rsidR="00000000" w:rsidDel="00000000" w:rsidP="00000000" w:rsidRDefault="00000000" w:rsidRPr="00000000" w14:paraId="000000F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xpq3stthk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Determinism Requirement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Identical inputs must produce identical coordinates.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stochastic transformations permitted.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tvfzvr431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Version Governance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update requires: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proposal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Empirical validation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impact analysis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update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approval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signal changes allowed.</w:t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End of HG-SMS v1.0</w:t>
      </w:r>
    </w:p>
    <w:p w:rsidR="00000000" w:rsidDel="00000000" w:rsidP="00000000" w:rsidRDefault="00000000" w:rsidRPr="00000000" w14:paraId="0000010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