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A1A1A"/>
          <w:sz w:val="44"/>
          <w:szCs w:val="44"/>
        </w:rPr>
        <w:t xml:space="preserve">ThinkBitcoin</w:t>
      </w:r>
    </w:p>
    <w:p>
      <w:pPr>
        <w:spacing w:after="400"/>
      </w:pPr>
      <w:r>
        <w:rPr>
          <w:color w:val="8A6D00"/>
          <w:sz w:val="30"/>
          <w:szCs w:val="30"/>
        </w:rPr>
        <w:t xml:space="preserve">Política de Privacidade e Termos de Uso</w:t>
      </w:r>
    </w:p>
    <w:p>
      <w:pPr>
        <w:pBdr>
          <w:top w:val="single" w:color="D0D0D0" w:sz="6"/>
        </w:pBdr>
        <w:spacing w:after="120"/>
      </w:pPr>
      <w:r>
        <w:rPr>
          <w:sz w:val="2"/>
          <w:szCs w:val="2"/>
        </w:rPr>
        <w:t xml:space="preserve"/>
      </w:r>
    </w:p>
    <w:p>
      <w:pPr>
        <w:spacing w:after="160" w:line="280"/>
      </w:pPr>
      <w:r>
        <w:rPr>
          <w:b/>
          <w:bCs/>
          <w:sz w:val="24"/>
          <w:szCs w:val="24"/>
        </w:rPr>
        <w:t xml:space="preserve">Documento preparado para revisão jurídica</w:t>
      </w:r>
    </w:p>
    <w:p>
      <w:pPr>
        <w:spacing w:after="160" w:line="280"/>
      </w:pPr>
      <w:r>
        <w:rPr>
          <w:color w:val="5A5A5A"/>
          <w:sz w:val="21"/>
          <w:szCs w:val="21"/>
        </w:rPr>
        <w:t xml:space="preserve">Transcrição integral do texto que hoje está publicado na plataforma, acompanhada de um levantamento técnico do que o software efetivamente faz.</w:t>
      </w:r>
    </w:p>
    <w:p>
      <w:pPr>
        <w:spacing w:after="60" w:line="280"/>
      </w:pPr>
      <w:r>
        <w:rPr>
          <w:color w:val="5A5A5A"/>
          <w:sz w:val="21"/>
          <w:szCs w:val="21"/>
        </w:rPr>
        <w:t xml:space="preserve">Data: 3 de agosto de 2026</w:t>
      </w:r>
    </w:p>
    <w:p>
      <w:pPr>
        <w:spacing w:after="60" w:line="280"/>
      </w:pPr>
      <w:r>
        <w:rPr>
          <w:color w:val="5A5A5A"/>
          <w:sz w:val="21"/>
          <w:szCs w:val="21"/>
        </w:rPr>
        <w:t xml:space="preserve">Origem do texto: src/src/components/ConsentimentoLGPD.jsx (repositório ThinkBitcoin-Front, branch Desenv)</w:t>
      </w:r>
    </w:p>
    <w:p>
      <w:pPr>
        <w:spacing w:after="160" w:line="280"/>
      </w:pPr>
      <w:r>
        <w:rPr>
          <w:color w:val="5A5A5A"/>
          <w:sz w:val="21"/>
          <w:szCs w:val="21"/>
        </w:rPr>
        <w:t xml:space="preserve">Publicado em: /privacidade e /termos</w:t>
      </w:r>
    </w:p>
    <w:p>
      <w:pPr>
        <w:pBdr>
          <w:bottom w:val="single" w:color="D0D0D0" w:sz="6"/>
        </w:pBdr>
        <w:spacing w:after="240" w:before="120"/>
      </w:pPr>
      <w:r>
        <w:rPr>
          <w:sz w:val="2"/>
          <w:szCs w:val="2"/>
        </w:rPr>
        <w:t xml:space="preserve"/>
      </w:r>
    </w:p>
    <w:p>
      <w:pPr>
        <w:pStyle w:val="Heading2"/>
        <w:spacing w:after="120" w:before="280"/>
      </w:pPr>
      <w:r>
        <w:rPr>
          <w:b/>
          <w:bCs/>
          <w:color w:val="8A6D00"/>
          <w:sz w:val="23"/>
          <w:szCs w:val="23"/>
        </w:rPr>
        <w:t xml:space="preserve">Como ler este documento</w:t>
      </w:r>
    </w:p>
    <w:p>
      <w:pPr>
        <w:spacing w:after="160" w:line="280"/>
      </w:pPr>
      <w:r>
        <w:rPr>
          <w:sz w:val="21"/>
          <w:szCs w:val="21"/>
        </w:rPr>
        <w:t xml:space="preserve">As Partes I e II são transcrição literal. Nenhuma palavra do texto jurídico foi alterada, resumida ou reordenada — o que está ali é exatamente o que o usuário lê na tela.</w:t>
      </w:r>
    </w:p>
    <w:p>
      <w:pPr>
        <w:spacing w:after="160" w:line="280"/>
      </w:pPr>
      <w:r>
        <w:rPr>
          <w:sz w:val="21"/>
          <w:szCs w:val="21"/>
        </w:rPr>
        <w:t xml:space="preserve">A Parte III é de natureza diferente: são observações técnicas, comparando o que o texto declara com o que o sistema realmente faz. Não são opinião jurídica e não pretendem ser. Servem para que a revisão parta de fatos verificados sobre o produto, e não da suposição de que o texto descreve o sistema corretamente.</w:t>
      </w:r>
    </w:p>
    <w:p>
      <w:pPr>
        <w:spacing w:after="160" w:line="280"/>
      </w:pPr>
      <w:r>
        <w:rPr>
          <w:sz w:val="21"/>
          <w:szCs w:val="21"/>
        </w:rPr>
        <w:t xml:space="preserve">Os Anexos listam os dados efetivamente tratados e os terceiros envolvidos.</w:t>
      </w:r>
    </w:p>
    <w:p>
      <w:pPr>
        <w:pStyle w:val="Heading2"/>
        <w:spacing w:after="120" w:before="280"/>
      </w:pPr>
      <w:r>
        <w:rPr>
          <w:b/>
          <w:bCs/>
          <w:color w:val="8A6D00"/>
          <w:sz w:val="23"/>
          <w:szCs w:val="23"/>
        </w:rPr>
        <w:t xml:space="preserve">Base de apuração</w:t>
      </w:r>
    </w:p>
    <w:p>
      <w:pPr>
        <w:spacing w:after="160" w:line="280"/>
      </w:pPr>
      <w:r>
        <w:rPr>
          <w:sz w:val="21"/>
          <w:szCs w:val="21"/>
        </w:rPr>
        <w:t xml:space="preserve">O levantamento cobre os três componentes do sistema, a partir do código do front e da documentação técnica dos dois backends:</w:t>
      </w:r>
    </w:p>
    <w:p>
      <w:pPr>
        <w:pStyle w:val="ListParagraph"/>
        <w:numPr>
          <w:ilvl w:val="0"/>
          <w:numId w:val="2"/>
        </w:numPr>
        <w:spacing w:after="80" w:line="280"/>
      </w:pPr>
      <w:r>
        <w:rPr>
          <w:sz w:val="21"/>
          <w:szCs w:val="21"/>
        </w:rPr>
        <w:t xml:space="preserve">ThinkBitcoin-Front — aplicação React servida ao usuário (código lido diretamente)</w:t>
      </w:r>
    </w:p>
    <w:p>
      <w:pPr>
        <w:pStyle w:val="ListParagraph"/>
        <w:numPr>
          <w:ilvl w:val="0"/>
          <w:numId w:val="2"/>
        </w:numPr>
        <w:spacing w:after="80" w:line="280"/>
      </w:pPr>
      <w:r>
        <w:rPr>
          <w:sz w:val="21"/>
          <w:szCs w:val="21"/>
        </w:rPr>
        <w:t xml:space="preserve">ThinkBitcoin-Back-DotNet — API principal, contas, patrimônio, pagamentos e logs (documentação técnica)</w:t>
      </w:r>
    </w:p>
    <w:p>
      <w:pPr>
        <w:pStyle w:val="ListParagraph"/>
        <w:numPr>
          <w:ilvl w:val="0"/>
          <w:numId w:val="2"/>
        </w:numPr>
        <w:spacing w:after="80" w:line="280"/>
      </w:pPr>
      <w:r>
        <w:rPr>
          <w:sz w:val="21"/>
          <w:szCs w:val="21"/>
        </w:rPr>
        <w:t xml:space="preserve">ThinkBitcoin-Back-Python — motor de aprendizado por reforço e coleta de mercado (documentação técnica)</w:t>
      </w:r>
    </w:p>
    <w:p>
      <w:pPr>
        <w:spacing w:after="200" w:line="280"/>
      </w:pPr>
      <w:r>
        <w:rPr>
          <w:sz w:val="21"/>
          <w:szCs w:val="21"/>
        </w:rPr>
        <w:t xml:space="preserve">Onde uma afirmação vem da documentação e não do código, isso está dito na própria nota. Alguns pontos ficaram registrados como "não foi possível confirmar" — são exatamente os que merecem uma pergunta direta ao time antes da revisão fechar.</w:t>
      </w:r>
    </w:p>
    <w:p>
      <w:r>
        <w:br w:type="page"/>
      </w:r>
    </w:p>
    <w:p>
      <w:pPr>
        <w:pStyle w:val="Heading1"/>
        <w:spacing w:after="200" w:before="360"/>
      </w:pPr>
      <w:r>
        <w:rPr>
          <w:b/>
          <w:bCs/>
          <w:color w:val="1A1A1A"/>
          <w:sz w:val="30"/>
          <w:szCs w:val="30"/>
        </w:rPr>
        <w:t xml:space="preserve">Parte I — Política de Privacidade</w:t>
      </w:r>
    </w:p>
    <w:p>
      <w:pPr>
        <w:spacing w:after="240" w:line="280"/>
      </w:pPr>
      <w:r>
        <w:rPr>
          <w:i/>
          <w:iCs/>
          <w:color w:val="5A5A5A"/>
          <w:sz w:val="21"/>
          <w:szCs w:val="21"/>
        </w:rPr>
        <w:t xml:space="preserve">Transcrição literal.</w:t>
      </w:r>
    </w:p>
    <w:p>
      <w:pPr>
        <w:pStyle w:val="Heading2"/>
        <w:spacing w:after="120" w:before="280"/>
      </w:pPr>
      <w:r>
        <w:rPr>
          <w:b/>
          <w:bCs/>
          <w:color w:val="8A6D00"/>
          <w:sz w:val="23"/>
          <w:szCs w:val="23"/>
        </w:rPr>
        <w:t xml:space="preserve">1. Controlador dos Dados</w:t>
      </w:r>
    </w:p>
    <w:p>
      <w:pPr>
        <w:spacing w:after="160" w:line="280"/>
      </w:pPr>
      <w:r>
        <w:rPr>
          <w:b w:val="false"/>
          <w:bCs w:val="false"/>
          <w:sz w:val="21"/>
          <w:szCs w:val="21"/>
        </w:rPr>
        <w:t xml:space="preserve">A </w:t>
      </w:r>
      <w:r>
        <w:rPr>
          <w:b/>
          <w:bCs/>
          <w:sz w:val="21"/>
          <w:szCs w:val="21"/>
        </w:rPr>
        <w:t xml:space="preserve">ThinkBitcoin</w:t>
      </w:r>
      <w:r>
        <w:rPr>
          <w:b w:val="false"/>
          <w:bCs w:val="false"/>
          <w:sz w:val="21"/>
          <w:szCs w:val="21"/>
        </w:rPr>
        <w:t xml:space="preserve"> é a controladora dos dados pessoais coletados por meio desta plataforma, nos termos da Lei nº 13.709/2018 (LGPD).</w:t>
      </w:r>
    </w:p>
    <w:p>
      <w:pPr>
        <w:pStyle w:val="Heading2"/>
        <w:spacing w:after="120" w:before="280"/>
      </w:pPr>
      <w:r>
        <w:rPr>
          <w:b/>
          <w:bCs/>
          <w:color w:val="8A6D00"/>
          <w:sz w:val="23"/>
          <w:szCs w:val="23"/>
        </w:rPr>
        <w:t xml:space="preserve">2. Dados Coletados</w:t>
      </w:r>
    </w:p>
    <w:p>
      <w:pPr>
        <w:spacing w:after="160" w:line="280"/>
      </w:pPr>
      <w:r>
        <w:rPr>
          <w:sz w:val="21"/>
          <w:szCs w:val="21"/>
        </w:rPr>
        <w:t xml:space="preserve">Coletamos e tratamos as seguintes categorias de dados:</w:t>
      </w:r>
    </w:p>
    <w:p>
      <w:pPr>
        <w:pStyle w:val="ListParagraph"/>
        <w:numPr>
          <w:ilvl w:val="0"/>
          <w:numId w:val="2"/>
        </w:numPr>
        <w:spacing w:after="80" w:line="280"/>
      </w:pPr>
      <w:r>
        <w:rPr>
          <w:sz w:val="21"/>
          <w:szCs w:val="21"/>
        </w:rPr>
        <w:t xml:space="preserve">Dados de identificação (nome, e-mail)</w:t>
      </w:r>
    </w:p>
    <w:p>
      <w:pPr>
        <w:pStyle w:val="ListParagraph"/>
        <w:numPr>
          <w:ilvl w:val="0"/>
          <w:numId w:val="2"/>
        </w:numPr>
        <w:spacing w:after="80" w:line="280"/>
      </w:pPr>
      <w:r>
        <w:rPr>
          <w:sz w:val="21"/>
          <w:szCs w:val="21"/>
        </w:rPr>
        <w:t xml:space="preserve">Dados de acesso e autenticação (token JWT — armazenado localmente)</w:t>
      </w:r>
    </w:p>
    <w:p>
      <w:pPr>
        <w:pStyle w:val="ListParagraph"/>
        <w:numPr>
          <w:ilvl w:val="0"/>
          <w:numId w:val="2"/>
        </w:numPr>
        <w:spacing w:after="80" w:line="280"/>
      </w:pPr>
      <w:r>
        <w:rPr>
          <w:sz w:val="21"/>
          <w:szCs w:val="21"/>
        </w:rPr>
        <w:t xml:space="preserve">Preferências de uso (tema, idioma, perfil de risco)</w:t>
      </w:r>
    </w:p>
    <w:p>
      <w:pPr>
        <w:pStyle w:val="ListParagraph"/>
        <w:numPr>
          <w:ilvl w:val="0"/>
          <w:numId w:val="2"/>
        </w:numPr>
        <w:spacing w:after="80" w:line="280"/>
      </w:pPr>
      <w:r>
        <w:rPr>
          <w:sz w:val="21"/>
          <w:szCs w:val="21"/>
        </w:rPr>
        <w:t xml:space="preserve">Dados de navegação e interação com a plataforma (logs de sessão)</w:t>
      </w:r>
    </w:p>
    <w:p>
      <w:pPr>
        <w:pStyle w:val="ListParagraph"/>
        <w:numPr>
          <w:ilvl w:val="0"/>
          <w:numId w:val="2"/>
        </w:numPr>
        <w:spacing w:after="80" w:line="280"/>
      </w:pPr>
      <w:r>
        <w:rPr>
          <w:sz w:val="21"/>
          <w:szCs w:val="21"/>
        </w:rPr>
        <w:t xml:space="preserve">Endereços de carteiras Bitcoin informados voluntariamente</w:t>
      </w:r>
    </w:p>
    <w:p>
      <w:pPr>
        <w:pStyle w:val="Heading2"/>
        <w:spacing w:after="120" w:before="280"/>
      </w:pPr>
      <w:r>
        <w:rPr>
          <w:b/>
          <w:bCs/>
          <w:color w:val="8A6D00"/>
          <w:sz w:val="23"/>
          <w:szCs w:val="23"/>
        </w:rPr>
        <w:t xml:space="preserve">3. Finalidade do Tratamento</w:t>
      </w:r>
    </w:p>
    <w:p>
      <w:pPr>
        <w:spacing w:after="160" w:line="280"/>
      </w:pPr>
      <w:r>
        <w:rPr>
          <w:sz w:val="21"/>
          <w:szCs w:val="21"/>
        </w:rPr>
        <w:t xml:space="preserve">Os dados são tratados exclusivamente para: prestação dos serviços de análise de mercado Bitcoin, personalização da experiência, segurança da conta, cumprimento de obrigações legais e melhoria contínua da plataforma.</w:t>
      </w:r>
    </w:p>
    <w:p>
      <w:pPr>
        <w:pStyle w:val="Heading2"/>
        <w:spacing w:after="120" w:before="280"/>
      </w:pPr>
      <w:r>
        <w:rPr>
          <w:b/>
          <w:bCs/>
          <w:color w:val="8A6D00"/>
          <w:sz w:val="23"/>
          <w:szCs w:val="23"/>
        </w:rPr>
        <w:t xml:space="preserve">4. Base Legal</w:t>
      </w:r>
    </w:p>
    <w:p>
      <w:pPr>
        <w:spacing w:after="160" w:line="280"/>
      </w:pPr>
      <w:r>
        <w:rPr>
          <w:b w:val="false"/>
          <w:bCs w:val="false"/>
          <w:sz w:val="21"/>
          <w:szCs w:val="21"/>
        </w:rPr>
        <w:t xml:space="preserve">O tratamento é realizado com base no seu </w:t>
      </w:r>
      <w:r>
        <w:rPr>
          <w:b/>
          <w:bCs/>
          <w:sz w:val="21"/>
          <w:szCs w:val="21"/>
        </w:rPr>
        <w:t xml:space="preserve">consentimento</w:t>
      </w:r>
      <w:r>
        <w:rPr>
          <w:b w:val="false"/>
          <w:bCs w:val="false"/>
          <w:sz w:val="21"/>
          <w:szCs w:val="21"/>
        </w:rPr>
        <w:t xml:space="preserve"> (art. 7º, I da LGPD), na execução do contrato de uso da plataforma (art. 7º, V) e no cumprimento de obrigações legais (art. 7º, II).</w:t>
      </w:r>
    </w:p>
    <w:p>
      <w:pPr>
        <w:pStyle w:val="Heading2"/>
        <w:spacing w:after="120" w:before="280"/>
      </w:pPr>
      <w:r>
        <w:rPr>
          <w:b/>
          <w:bCs/>
          <w:color w:val="8A6D00"/>
          <w:sz w:val="23"/>
          <w:szCs w:val="23"/>
        </w:rPr>
        <w:t xml:space="preserve">5. Compartilhamento de Dados</w:t>
      </w:r>
    </w:p>
    <w:p>
      <w:pPr>
        <w:spacing w:after="160" w:line="280"/>
      </w:pPr>
      <w:r>
        <w:rPr>
          <w:b w:val="false"/>
          <w:bCs w:val="false"/>
          <w:sz w:val="21"/>
          <w:szCs w:val="21"/>
        </w:rPr>
        <w:t xml:space="preserve">Seus dados </w:t>
      </w:r>
      <w:r>
        <w:rPr>
          <w:b/>
          <w:bCs/>
          <w:sz w:val="21"/>
          <w:szCs w:val="21"/>
        </w:rPr>
        <w:t xml:space="preserve">não são vendidos</w:t>
      </w:r>
      <w:r>
        <w:rPr>
          <w:b w:val="false"/>
          <w:bCs w:val="false"/>
          <w:sz w:val="21"/>
          <w:szCs w:val="21"/>
        </w:rPr>
        <w:t xml:space="preserve"> a terceiros. Podemos compartilhá-los apenas com parceiros de infraestrutura (hospedagem, autenticação) vinculados por contratos de confidencialidade, ou quando exigido por lei.</w:t>
      </w:r>
    </w:p>
    <w:p>
      <w:pPr>
        <w:pStyle w:val="Heading2"/>
        <w:spacing w:after="120" w:before="280"/>
      </w:pPr>
      <w:r>
        <w:rPr>
          <w:b/>
          <w:bCs/>
          <w:color w:val="8A6D00"/>
          <w:sz w:val="23"/>
          <w:szCs w:val="23"/>
        </w:rPr>
        <w:t xml:space="preserve">6. Retenção e Exclusão</w:t>
      </w:r>
    </w:p>
    <w:p>
      <w:pPr>
        <w:spacing w:after="160" w:line="280"/>
      </w:pPr>
      <w:r>
        <w:rPr>
          <w:sz w:val="21"/>
          <w:szCs w:val="21"/>
        </w:rPr>
        <w:t xml:space="preserve">Os dados são retidos pelo período necessário à prestação do serviço ou conforme exigido pela legislação. Você pode solicitar a exclusão a qualquer momento pelo e-mail de suporte.</w:t>
      </w:r>
    </w:p>
    <w:p>
      <w:pPr>
        <w:pStyle w:val="Heading2"/>
        <w:spacing w:after="120" w:before="280"/>
      </w:pPr>
      <w:r>
        <w:rPr>
          <w:b/>
          <w:bCs/>
          <w:color w:val="8A6D00"/>
          <w:sz w:val="23"/>
          <w:szCs w:val="23"/>
        </w:rPr>
        <w:t xml:space="preserve">7. Seus Direitos (art. 18 LGPD)</w:t>
      </w:r>
    </w:p>
    <w:p>
      <w:pPr>
        <w:pStyle w:val="ListParagraph"/>
        <w:numPr>
          <w:ilvl w:val="0"/>
          <w:numId w:val="2"/>
        </w:numPr>
        <w:spacing w:after="80" w:line="280"/>
      </w:pPr>
      <w:r>
        <w:rPr>
          <w:sz w:val="21"/>
          <w:szCs w:val="21"/>
        </w:rPr>
        <w:t xml:space="preserve">Confirmação da existência de tratamento</w:t>
      </w:r>
    </w:p>
    <w:p>
      <w:pPr>
        <w:pStyle w:val="ListParagraph"/>
        <w:numPr>
          <w:ilvl w:val="0"/>
          <w:numId w:val="2"/>
        </w:numPr>
        <w:spacing w:after="80" w:line="280"/>
      </w:pPr>
      <w:r>
        <w:rPr>
          <w:sz w:val="21"/>
          <w:szCs w:val="21"/>
        </w:rPr>
        <w:t xml:space="preserve">Acesso aos seus dados</w:t>
      </w:r>
    </w:p>
    <w:p>
      <w:pPr>
        <w:pStyle w:val="ListParagraph"/>
        <w:numPr>
          <w:ilvl w:val="0"/>
          <w:numId w:val="2"/>
        </w:numPr>
        <w:spacing w:after="80" w:line="280"/>
      </w:pPr>
      <w:r>
        <w:rPr>
          <w:sz w:val="21"/>
          <w:szCs w:val="21"/>
        </w:rPr>
        <w:t xml:space="preserve">Correção de dados incompletos ou desatualizados</w:t>
      </w:r>
    </w:p>
    <w:p>
      <w:pPr>
        <w:pStyle w:val="ListParagraph"/>
        <w:numPr>
          <w:ilvl w:val="0"/>
          <w:numId w:val="2"/>
        </w:numPr>
        <w:spacing w:after="80" w:line="280"/>
      </w:pPr>
      <w:r>
        <w:rPr>
          <w:sz w:val="21"/>
          <w:szCs w:val="21"/>
        </w:rPr>
        <w:t xml:space="preserve">Anonimização, bloqueio ou eliminação de dados desnecessários</w:t>
      </w:r>
    </w:p>
    <w:p>
      <w:pPr>
        <w:pStyle w:val="ListParagraph"/>
        <w:numPr>
          <w:ilvl w:val="0"/>
          <w:numId w:val="2"/>
        </w:numPr>
        <w:spacing w:after="80" w:line="280"/>
      </w:pPr>
      <w:r>
        <w:rPr>
          <w:sz w:val="21"/>
          <w:szCs w:val="21"/>
        </w:rPr>
        <w:t xml:space="preserve">Portabilidade dos dados</w:t>
      </w:r>
    </w:p>
    <w:p>
      <w:pPr>
        <w:pStyle w:val="ListParagraph"/>
        <w:numPr>
          <w:ilvl w:val="0"/>
          <w:numId w:val="2"/>
        </w:numPr>
        <w:spacing w:after="80" w:line="280"/>
      </w:pPr>
      <w:r>
        <w:rPr>
          <w:sz w:val="21"/>
          <w:szCs w:val="21"/>
        </w:rPr>
        <w:t xml:space="preserve">Revogação do consentimento a qualquer tempo</w:t>
      </w:r>
    </w:p>
    <w:p>
      <w:pPr>
        <w:pStyle w:val="Heading2"/>
        <w:spacing w:after="120" w:before="280"/>
      </w:pPr>
      <w:r>
        <w:rPr>
          <w:b/>
          <w:bCs/>
          <w:color w:val="8A6D00"/>
          <w:sz w:val="23"/>
          <w:szCs w:val="23"/>
        </w:rPr>
        <w:t xml:space="preserve">8. Contato com o DPO</w:t>
      </w:r>
    </w:p>
    <w:p>
      <w:pPr>
        <w:spacing w:after="160" w:line="280"/>
      </w:pPr>
      <w:r>
        <w:rPr>
          <w:b w:val="false"/>
          <w:bCs w:val="false"/>
          <w:sz w:val="21"/>
          <w:szCs w:val="21"/>
        </w:rPr>
        <w:t xml:space="preserve">Para exercer seus direitos ou esclarecer dúvidas sobre privacidade, entre em contato com nosso Encarregado (DPO) pelo e-mail: </w:t>
      </w:r>
      <w:r>
        <w:rPr>
          <w:b/>
          <w:bCs/>
          <w:sz w:val="21"/>
          <w:szCs w:val="21"/>
        </w:rPr>
        <w:t xml:space="preserve">privacidade@thinkbitcoin.com.br</w:t>
      </w:r>
    </w:p>
    <w:p>
      <w:r>
        <w:br w:type="page"/>
      </w:r>
    </w:p>
    <w:p>
      <w:pPr>
        <w:pStyle w:val="Heading1"/>
        <w:spacing w:after="200" w:before="360"/>
      </w:pPr>
      <w:r>
        <w:rPr>
          <w:b/>
          <w:bCs/>
          <w:color w:val="1A1A1A"/>
          <w:sz w:val="30"/>
          <w:szCs w:val="30"/>
        </w:rPr>
        <w:t xml:space="preserve">Parte II — Termos de Uso</w:t>
      </w:r>
    </w:p>
    <w:p>
      <w:pPr>
        <w:spacing w:after="240" w:line="280"/>
      </w:pPr>
      <w:r>
        <w:rPr>
          <w:i/>
          <w:iCs/>
          <w:color w:val="5A5A5A"/>
          <w:sz w:val="21"/>
          <w:szCs w:val="21"/>
        </w:rPr>
        <w:t xml:space="preserve">Transcrição literal.</w:t>
      </w:r>
    </w:p>
    <w:p>
      <w:pPr>
        <w:pStyle w:val="Heading2"/>
        <w:spacing w:after="120" w:before="280"/>
      </w:pPr>
      <w:r>
        <w:rPr>
          <w:b/>
          <w:bCs/>
          <w:color w:val="8A6D00"/>
          <w:sz w:val="23"/>
          <w:szCs w:val="23"/>
        </w:rPr>
        <w:t xml:space="preserve">1. Aceitação dos Termos</w:t>
      </w:r>
    </w:p>
    <w:p>
      <w:pPr>
        <w:spacing w:after="160" w:line="280"/>
      </w:pPr>
      <w:r>
        <w:rPr>
          <w:sz w:val="21"/>
          <w:szCs w:val="21"/>
        </w:rPr>
        <w:t xml:space="preserve">Ao utilizar a plataforma ThinkBitcoin você concorda integralmente com estes Termos de Uso. O uso continuado após alterações implica aceitação das versões atualizadas.</w:t>
      </w:r>
    </w:p>
    <w:p>
      <w:pPr>
        <w:pStyle w:val="Heading2"/>
        <w:spacing w:after="120" w:before="280"/>
      </w:pPr>
      <w:r>
        <w:rPr>
          <w:b/>
          <w:bCs/>
          <w:color w:val="8A6D00"/>
          <w:sz w:val="23"/>
          <w:szCs w:val="23"/>
        </w:rPr>
        <w:t xml:space="preserve">2. Descrição do Serviço</w:t>
      </w:r>
    </w:p>
    <w:p>
      <w:pPr>
        <w:spacing w:after="160" w:line="280"/>
      </w:pPr>
      <w:r>
        <w:rPr>
          <w:sz w:val="21"/>
          <w:szCs w:val="21"/>
        </w:rPr>
        <w:t xml:space="preserve">A ThinkBitcoin oferece uma plataforma de análise de dados e informações sobre o mercado de Bitcoin, incluindo dashboards, heatmaps geopolíticos, análises de on-chain e ferramentas educacionais. As informações disponibilizadas têm caráter exclusivamente informativo.</w:t>
      </w:r>
    </w:p>
    <w:p>
      <w:pPr>
        <w:pStyle w:val="Heading2"/>
        <w:spacing w:after="120" w:before="280"/>
      </w:pPr>
      <w:r>
        <w:rPr>
          <w:b/>
          <w:bCs/>
          <w:color w:val="8A6D00"/>
          <w:sz w:val="23"/>
          <w:szCs w:val="23"/>
        </w:rPr>
        <w:t xml:space="preserve">3. Não Constitui Consultoria Financeira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6E3" w:val="clear"/>
            <w:tcMar>
              <w:top w:type="dxa" w:w="160"/>
              <w:left w:type="dxa" w:w="200"/>
              <w:bottom w:type="dxa" w:w="160"/>
              <w:right w:type="dxa" w:w="200"/>
            </w:tcMar>
          </w:tcPr>
          <w:p>
            <w:pPr>
              <w:spacing w:after="80"/>
            </w:pPr>
            <w:r>
              <w:rPr>
                <w:b/>
                <w:bCs/>
                <w:color w:val="8A6D00"/>
                <w:sz w:val="21"/>
                <w:szCs w:val="21"/>
              </w:rPr>
              <w:t xml:space="preserve">⚠ Aviso Importante</w:t>
            </w:r>
          </w:p>
          <w:p>
            <w:pPr>
              <w:spacing w:line="280"/>
            </w:pPr>
            <w:r>
              <w:rPr>
                <w:sz w:val="21"/>
                <w:szCs w:val="21"/>
              </w:rPr>
              <w:t xml:space="preserve">O conteúdo desta plataforma é meramente informativo e educacional. Nenhuma informação aqui disponibilizada constitui conselho de investimento, recomendação de compra ou venda de ativos, ou assessoria financeira de qualquer natureza. Investimentos em criptoativos envolvem riscos significativos. Consulte um profissional habilitado antes de tomar decisões financeiras.</w:t>
            </w:r>
          </w:p>
        </w:tc>
      </w:tr>
    </w:tbl>
    <w:p>
      <w:pPr>
        <w:spacing w:after="200" w:line="280"/>
      </w:pPr>
      <w:r>
        <w:rPr>
          <w:sz w:val="21"/>
          <w:szCs w:val="21"/>
        </w:rPr>
        <w:t xml:space="preserve"/>
      </w:r>
    </w:p>
    <w:p>
      <w:pPr>
        <w:pStyle w:val="Heading2"/>
        <w:spacing w:after="120" w:before="280"/>
      </w:pPr>
      <w:r>
        <w:rPr>
          <w:b/>
          <w:bCs/>
          <w:color w:val="8A6D00"/>
          <w:sz w:val="23"/>
          <w:szCs w:val="23"/>
        </w:rPr>
        <w:t xml:space="preserve">4. Uso Permitido</w:t>
      </w:r>
    </w:p>
    <w:p>
      <w:pPr>
        <w:spacing w:after="160" w:line="280"/>
      </w:pPr>
      <w:r>
        <w:rPr>
          <w:sz w:val="21"/>
          <w:szCs w:val="21"/>
        </w:rPr>
        <w:t xml:space="preserve">Você se compromete a utilizar a plataforma somente para fins lícitos e pessoais, respeitando a legislação brasileira vigente. É vedado: reproduzir, redistribuir ou comercializar o conteúdo sem autorização expressa; realizar engenharia reversa; utilizar bots ou automações não autorizadas; praticar qualquer ato que prejudique a integridade da plataforma ou de outros usuários.</w:t>
      </w:r>
    </w:p>
    <w:p>
      <w:pPr>
        <w:pStyle w:val="Heading2"/>
        <w:spacing w:after="120" w:before="280"/>
      </w:pPr>
      <w:r>
        <w:rPr>
          <w:b/>
          <w:bCs/>
          <w:color w:val="8A6D00"/>
          <w:sz w:val="23"/>
          <w:szCs w:val="23"/>
        </w:rPr>
        <w:t xml:space="preserve">5. Propriedade Intelectual</w:t>
      </w:r>
    </w:p>
    <w:p>
      <w:pPr>
        <w:spacing w:after="160" w:line="280"/>
      </w:pPr>
      <w:r>
        <w:rPr>
          <w:sz w:val="21"/>
          <w:szCs w:val="21"/>
        </w:rPr>
        <w:t xml:space="preserve">Todo o conteúdo, marca, código-fonte, layout e demais elementos da plataforma são de propriedade exclusiva da ThinkBitcoin e protegidos pela Lei nº 9.610/1998 (Lei de Direitos Autorais) e pela Lei nº 9.279/1996 (Propriedade Industrial).</w:t>
      </w:r>
    </w:p>
    <w:p>
      <w:pPr>
        <w:pStyle w:val="Heading2"/>
        <w:spacing w:after="120" w:before="280"/>
      </w:pPr>
      <w:r>
        <w:rPr>
          <w:b/>
          <w:bCs/>
          <w:color w:val="8A6D00"/>
          <w:sz w:val="23"/>
          <w:szCs w:val="23"/>
        </w:rPr>
        <w:t xml:space="preserve">6. Limitação de Responsabilidade</w:t>
      </w:r>
    </w:p>
    <w:p>
      <w:pPr>
        <w:spacing w:after="160" w:line="280"/>
      </w:pPr>
      <w:r>
        <w:rPr>
          <w:sz w:val="21"/>
          <w:szCs w:val="21"/>
        </w:rPr>
        <w:t xml:space="preserve">A ThinkBitcoin não se responsabiliza por perdas financeiras decorrentes do uso das informações disponibilizadas, por interrupções no serviço, por falhas de terceiros ou por eventos de força maior.</w:t>
      </w:r>
    </w:p>
    <w:p>
      <w:pPr>
        <w:pStyle w:val="Heading2"/>
        <w:spacing w:after="120" w:before="280"/>
      </w:pPr>
      <w:r>
        <w:rPr>
          <w:b/>
          <w:bCs/>
          <w:color w:val="8A6D00"/>
          <w:sz w:val="23"/>
          <w:szCs w:val="23"/>
        </w:rPr>
        <w:t xml:space="preserve">7. Modificações</w:t>
      </w:r>
    </w:p>
    <w:p>
      <w:pPr>
        <w:spacing w:after="160" w:line="280"/>
      </w:pPr>
      <w:r>
        <w:rPr>
          <w:sz w:val="21"/>
          <w:szCs w:val="21"/>
        </w:rPr>
        <w:t xml:space="preserve">Reservamo-nos o direito de alterar estes Termos a qualquer momento. Mudanças relevantes serão comunicadas por e-mail ou por aviso na plataforma.</w:t>
      </w:r>
    </w:p>
    <w:p>
      <w:pPr>
        <w:pStyle w:val="Heading2"/>
        <w:spacing w:after="120" w:before="280"/>
      </w:pPr>
      <w:r>
        <w:rPr>
          <w:b/>
          <w:bCs/>
          <w:color w:val="8A6D00"/>
          <w:sz w:val="23"/>
          <w:szCs w:val="23"/>
        </w:rPr>
        <w:t xml:space="preserve">8. Foro</w:t>
      </w:r>
    </w:p>
    <w:p>
      <w:pPr>
        <w:spacing w:after="160" w:line="280"/>
      </w:pPr>
      <w:r>
        <w:rPr>
          <w:sz w:val="21"/>
          <w:szCs w:val="21"/>
        </w:rPr>
        <w:t xml:space="preserve">Fica eleito o foro da comarca de São Paulo / SP para dirimir quaisquer controvérsias decorrentes destes Termos, com renúncia expressa a qualquer outro, por mais privilegiado que seja.</w:t>
      </w:r>
    </w:p>
    <w:p>
      <w:r>
        <w:br w:type="page"/>
      </w:r>
    </w:p>
    <w:p>
      <w:pPr>
        <w:pStyle w:val="Heading1"/>
        <w:spacing w:after="200" w:before="360"/>
      </w:pPr>
      <w:r>
        <w:rPr>
          <w:b/>
          <w:bCs/>
          <w:color w:val="1A1A1A"/>
          <w:sz w:val="30"/>
          <w:szCs w:val="30"/>
        </w:rPr>
        <w:t xml:space="preserve">Parte III — Notas técnicas para a revisão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6E3" w:val="clear"/>
            <w:tcMar>
              <w:top w:type="dxa" w:w="160"/>
              <w:left w:type="dxa" w:w="200"/>
              <w:bottom w:type="dxa" w:w="160"/>
              <w:right w:type="dxa" w:w="200"/>
            </w:tcMar>
          </w:tcPr>
          <w:p>
            <w:pPr>
              <w:spacing w:line="280"/>
            </w:pPr>
            <w:r>
              <w:rPr>
                <w:sz w:val="20"/>
                <w:szCs w:val="20"/>
              </w:rPr>
              <w:t xml:space="preserve">Estas notas não são opinião jurídica. São observações verificadas no código-fonte, apontando onde o texto acima e o comportamento real do software divergem. A leitura jurídica de cada ponto fica com o advogado.</w:t>
            </w:r>
          </w:p>
        </w:tc>
      </w:tr>
    </w:tbl>
    <w:p>
      <w:pPr>
        <w:spacing w:after="120" w:line="280"/>
      </w:pPr>
      <w:r>
        <w:rPr>
          <w:sz w:val="21"/>
          <w:szCs w:val="21"/>
        </w:rPr>
        <w:t xml:space="preserve"/>
      </w:r>
    </w:p>
    <w:p>
      <w:pPr>
        <w:spacing w:after="100" w:before="280"/>
      </w:pPr>
      <w:r>
        <w:rPr>
          <w:b/>
          <w:bCs/>
          <w:color w:val="1A1A1A"/>
          <w:sz w:val="22"/>
          <w:szCs w:val="22"/>
        </w:rPr>
        <w:t xml:space="preserve">1. O aceite descrito na política não chega a ser coletado</w:t>
      </w:r>
    </w:p>
    <w:p>
      <w:pPr>
        <w:spacing w:after="80" w:line="280"/>
        <w:ind w:left="280"/>
      </w:pPr>
      <w:r>
        <w:rPr>
          <w:b/>
          <w:bCs/>
          <w:color w:val="5A5A5A"/>
          <w:sz w:val="20"/>
          <w:szCs w:val="20"/>
        </w:rPr>
        <w:t xml:space="preserve">Texto: </w:t>
      </w:r>
      <w:r>
        <w:rPr>
          <w:sz w:val="20"/>
          <w:szCs w:val="20"/>
        </w:rPr>
        <w:t xml:space="preserve">A base legal declarada é o consentimento do titular (art. 7º, I da LGPD).</w:t>
      </w:r>
    </w:p>
    <w:p>
      <w:pPr>
        <w:spacing w:after="80" w:line="280"/>
        <w:ind w:left="280"/>
      </w:pPr>
      <w:r>
        <w:rPr>
          <w:b/>
          <w:bCs/>
          <w:color w:val="5A5A5A"/>
          <w:sz w:val="20"/>
          <w:szCs w:val="20"/>
        </w:rPr>
        <w:t xml:space="preserve">Software: </w:t>
      </w:r>
      <w:r>
        <w:rPr>
          <w:sz w:val="20"/>
          <w:szCs w:val="20"/>
        </w:rPr>
        <w:t xml:space="preserve">A tela que exibe estes documentos e registra o aceite existe e está pronta, mas não é chamada por nenhuma parte da aplicação. A função que verifica se houve aceite também não é chamada em lugar nenhum. Na prática, nenhum usuário jamais viu essa tela nem registrou consentimento por ela.</w:t>
      </w:r>
    </w:p>
    <w:p>
      <w:pPr>
        <w:spacing w:after="80" w:line="280"/>
        <w:ind w:left="280"/>
      </w:pPr>
      <w:r>
        <w:rPr>
          <w:b/>
          <w:bCs/>
          <w:color w:val="5A5A5A"/>
          <w:sz w:val="20"/>
          <w:szCs w:val="20"/>
        </w:rPr>
        <w:t xml:space="preserve">Onde: </w:t>
      </w:r>
      <w:r>
        <w:rPr>
          <w:sz w:val="20"/>
          <w:szCs w:val="20"/>
        </w:rPr>
        <w:t xml:space="preserve">src/src/components/ConsentimentoLGPD.jsx — o arquivo não é importado por nenhum outro.</w:t>
      </w:r>
    </w:p>
    <w:p>
      <w:pPr>
        <w:spacing w:after="100" w:before="280"/>
      </w:pPr>
      <w:r>
        <w:rPr>
          <w:b/>
          <w:bCs/>
          <w:color w:val="1A1A1A"/>
          <w:sz w:val="22"/>
          <w:szCs w:val="22"/>
        </w:rPr>
        <w:t xml:space="preserve">2. O banner de cookies não governa cookies</w:t>
      </w:r>
    </w:p>
    <w:p>
      <w:pPr>
        <w:spacing w:after="80" w:line="280"/>
        <w:ind w:left="280"/>
      </w:pPr>
      <w:r>
        <w:rPr>
          <w:b/>
          <w:bCs/>
          <w:color w:val="5A5A5A"/>
          <w:sz w:val="20"/>
          <w:szCs w:val="20"/>
        </w:rPr>
        <w:t xml:space="preserve">Texto: </w:t>
      </w:r>
      <w:r>
        <w:rPr>
          <w:sz w:val="20"/>
          <w:szCs w:val="20"/>
        </w:rPr>
        <w:t xml:space="preserve">O banner exibido na home fala em "cookies essenciais" e "cookies de preferências".</w:t>
      </w:r>
    </w:p>
    <w:p>
      <w:pPr>
        <w:spacing w:after="80" w:line="280"/>
        <w:ind w:left="280"/>
      </w:pPr>
      <w:r>
        <w:rPr>
          <w:b/>
          <w:bCs/>
          <w:color w:val="5A5A5A"/>
          <w:sz w:val="20"/>
          <w:szCs w:val="20"/>
        </w:rPr>
        <w:t xml:space="preserve">Software: </w:t>
      </w:r>
      <w:r>
        <w:rPr>
          <w:sz w:val="20"/>
          <w:szCs w:val="20"/>
        </w:rPr>
        <w:t xml:space="preserve">A aplicação não grava um único cookie. Toda a persistência local é feita em localStorage, que é uma tecnologia distinta e não expira como cookie. A expressão usada no banner não corresponde ao mecanismo empregado.</w:t>
      </w:r>
    </w:p>
    <w:p>
      <w:pPr>
        <w:spacing w:after="80" w:line="280"/>
        <w:ind w:left="280"/>
      </w:pPr>
      <w:r>
        <w:rPr>
          <w:b/>
          <w:bCs/>
          <w:color w:val="5A5A5A"/>
          <w:sz w:val="20"/>
          <w:szCs w:val="20"/>
        </w:rPr>
        <w:t xml:space="preserve">Onde: </w:t>
      </w:r>
      <w:r>
        <w:rPr>
          <w:sz w:val="20"/>
          <w:szCs w:val="20"/>
        </w:rPr>
        <w:t xml:space="preserve">Nenhuma ocorrência de "document.cookie" no código do front.</w:t>
      </w:r>
    </w:p>
    <w:p>
      <w:pPr>
        <w:spacing w:after="100" w:before="280"/>
      </w:pPr>
      <w:r>
        <w:rPr>
          <w:b/>
          <w:bCs/>
          <w:color w:val="1A1A1A"/>
          <w:sz w:val="22"/>
          <w:szCs w:val="22"/>
        </w:rPr>
        <w:t xml:space="preserve">3. A escolha entre "Apenas essenciais" e "Aceitar todos" não altera nada</w:t>
      </w:r>
    </w:p>
    <w:p>
      <w:pPr>
        <w:spacing w:after="80" w:line="280"/>
        <w:ind w:left="280"/>
      </w:pPr>
      <w:r>
        <w:rPr>
          <w:b/>
          <w:bCs/>
          <w:color w:val="5A5A5A"/>
          <w:sz w:val="20"/>
          <w:szCs w:val="20"/>
        </w:rPr>
        <w:t xml:space="preserve">Texto: </w:t>
      </w:r>
      <w:r>
        <w:rPr>
          <w:sz w:val="20"/>
          <w:szCs w:val="20"/>
        </w:rPr>
        <w:t xml:space="preserve">O banner oferece dois níveis de consentimento, sugerindo tratamento diferente conforme a escolha.</w:t>
      </w:r>
    </w:p>
    <w:p>
      <w:pPr>
        <w:spacing w:after="80" w:line="280"/>
        <w:ind w:left="280"/>
      </w:pPr>
      <w:r>
        <w:rPr>
          <w:b/>
          <w:bCs/>
          <w:color w:val="5A5A5A"/>
          <w:sz w:val="20"/>
          <w:szCs w:val="20"/>
        </w:rPr>
        <w:t xml:space="preserve">Software: </w:t>
      </w:r>
      <w:r>
        <w:rPr>
          <w:sz w:val="20"/>
          <w:szCs w:val="20"/>
        </w:rPr>
        <w:t xml:space="preserve">Os dois botões gravam valores diferentes e nada no código lê esse valor depois. O único efeito prático de qualquer um dos dois é o banner parar de aparecer.</w:t>
      </w:r>
    </w:p>
    <w:p>
      <w:pPr>
        <w:spacing w:after="80" w:line="280"/>
        <w:ind w:left="280"/>
      </w:pPr>
      <w:r>
        <w:rPr>
          <w:b/>
          <w:bCs/>
          <w:color w:val="5A5A5A"/>
          <w:sz w:val="20"/>
          <w:szCs w:val="20"/>
        </w:rPr>
        <w:t xml:space="preserve">Onde: </w:t>
      </w:r>
      <w:r>
        <w:rPr>
          <w:sz w:val="20"/>
          <w:szCs w:val="20"/>
        </w:rPr>
        <w:t xml:space="preserve">src/src/components/CookieBanner.jsx — o valor gravado não é consultado por nenhum outro trecho.</w:t>
      </w:r>
    </w:p>
    <w:p>
      <w:pPr>
        <w:spacing w:after="100" w:before="280"/>
      </w:pPr>
      <w:r>
        <w:rPr>
          <w:b/>
          <w:bCs/>
          <w:color w:val="1A1A1A"/>
          <w:sz w:val="22"/>
          <w:szCs w:val="22"/>
        </w:rPr>
        <w:t xml:space="preserve">4. Categoria de dado declarada que não é coletada</w:t>
      </w:r>
    </w:p>
    <w:p>
      <w:pPr>
        <w:spacing w:after="80" w:line="280"/>
        <w:ind w:left="280"/>
      </w:pPr>
      <w:r>
        <w:rPr>
          <w:b/>
          <w:bCs/>
          <w:color w:val="5A5A5A"/>
          <w:sz w:val="20"/>
          <w:szCs w:val="20"/>
        </w:rPr>
        <w:t xml:space="preserve">Texto: </w:t>
      </w:r>
      <w:r>
        <w:rPr>
          <w:sz w:val="20"/>
          <w:szCs w:val="20"/>
        </w:rPr>
        <w:t xml:space="preserve">A política lista "endereços de carteiras Bitcoin informados voluntariamente" entre os dados coletados.</w:t>
      </w:r>
    </w:p>
    <w:p>
      <w:pPr>
        <w:spacing w:after="80" w:line="280"/>
        <w:ind w:left="280"/>
      </w:pPr>
      <w:r>
        <w:rPr>
          <w:b/>
          <w:bCs/>
          <w:color w:val="5A5A5A"/>
          <w:sz w:val="20"/>
          <w:szCs w:val="20"/>
        </w:rPr>
        <w:t xml:space="preserve">Software: </w:t>
      </w:r>
      <w:r>
        <w:rPr>
          <w:sz w:val="20"/>
          <w:szCs w:val="20"/>
        </w:rPr>
        <w:t xml:space="preserve">Não existe nenhum campo de endereço de carteira na aplicação. O registro de patrimônio pede apenas um valor em reais e uma observação livre.</w:t>
      </w:r>
    </w:p>
    <w:p>
      <w:pPr>
        <w:spacing w:after="80" w:line="280"/>
        <w:ind w:left="280"/>
      </w:pPr>
      <w:r>
        <w:rPr>
          <w:b/>
          <w:bCs/>
          <w:color w:val="5A5A5A"/>
          <w:sz w:val="20"/>
          <w:szCs w:val="20"/>
        </w:rPr>
        <w:t xml:space="preserve">Onde: </w:t>
      </w:r>
      <w:r>
        <w:rPr>
          <w:sz w:val="20"/>
          <w:szCs w:val="20"/>
        </w:rPr>
        <w:t xml:space="preserve">src/src/components/dashboard/PatrimonioModal.jsx</w:t>
      </w:r>
    </w:p>
    <w:p>
      <w:pPr>
        <w:spacing w:after="100" w:before="280"/>
      </w:pPr>
      <w:r>
        <w:rPr>
          <w:b/>
          <w:bCs/>
          <w:color w:val="1A1A1A"/>
          <w:sz w:val="22"/>
          <w:szCs w:val="22"/>
        </w:rPr>
        <w:t xml:space="preserve">5. Dados financeiros coletados sob um rótulo genérico</w:t>
      </w:r>
    </w:p>
    <w:p>
      <w:pPr>
        <w:spacing w:after="80" w:line="280"/>
        <w:ind w:left="280"/>
      </w:pPr>
      <w:r>
        <w:rPr>
          <w:b/>
          <w:bCs/>
          <w:color w:val="5A5A5A"/>
          <w:sz w:val="20"/>
          <w:szCs w:val="20"/>
        </w:rPr>
        <w:t xml:space="preserve">Texto: </w:t>
      </w:r>
      <w:r>
        <w:rPr>
          <w:sz w:val="20"/>
          <w:szCs w:val="20"/>
        </w:rPr>
        <w:t xml:space="preserve">A política resume a categoria como "preferências de uso (tema, idioma, perfil de risco)".</w:t>
      </w:r>
    </w:p>
    <w:p>
      <w:pPr>
        <w:spacing w:after="80" w:line="280"/>
        <w:ind w:left="280"/>
      </w:pPr>
      <w:r>
        <w:rPr>
          <w:b/>
          <w:bCs/>
          <w:color w:val="5A5A5A"/>
          <w:sz w:val="20"/>
          <w:szCs w:val="20"/>
        </w:rPr>
        <w:t xml:space="preserve">Software: </w:t>
      </w:r>
      <w:r>
        <w:rPr>
          <w:sz w:val="20"/>
          <w:szCs w:val="20"/>
        </w:rPr>
        <w:t xml:space="preserve">O conjunto realmente coletado inclui investimento inicial, saldo de segurança, risco máximo de perda aceito, estilo de algoritmo, frequência de acompanhamento e moeda preferida — além do patrimônio total declarado em reais, com campo de observação em texto livre. É informação econômico-financeira do titular, e não configuração de interface.</w:t>
      </w:r>
    </w:p>
    <w:p>
      <w:pPr>
        <w:spacing w:after="80" w:line="280"/>
        <w:ind w:left="280"/>
      </w:pPr>
      <w:r>
        <w:rPr>
          <w:b/>
          <w:bCs/>
          <w:color w:val="5A5A5A"/>
          <w:sz w:val="20"/>
          <w:szCs w:val="20"/>
        </w:rPr>
        <w:t xml:space="preserve">Onde: </w:t>
      </w:r>
      <w:r>
        <w:rPr>
          <w:sz w:val="20"/>
          <w:szCs w:val="20"/>
        </w:rPr>
        <w:t xml:space="preserve">src/src/utils/preferences.js (DEFAULT_PREFERENCES) e o modal de patrimônio.</w:t>
      </w:r>
    </w:p>
    <w:p>
      <w:pPr>
        <w:spacing w:after="100" w:before="280"/>
      </w:pPr>
      <w:r>
        <w:rPr>
          <w:b/>
          <w:bCs/>
          <w:color w:val="1A1A1A"/>
          <w:sz w:val="22"/>
          <w:szCs w:val="22"/>
        </w:rPr>
        <w:t xml:space="preserve">6. Cinco terceiros envolvidos no tratamento, nenhum declarado</w:t>
      </w:r>
    </w:p>
    <w:p>
      <w:pPr>
        <w:spacing w:after="80" w:line="280"/>
        <w:ind w:left="280"/>
      </w:pPr>
      <w:r>
        <w:rPr>
          <w:b/>
          <w:bCs/>
          <w:color w:val="5A5A5A"/>
          <w:sz w:val="20"/>
          <w:szCs w:val="20"/>
        </w:rPr>
        <w:t xml:space="preserve">Texto: </w:t>
      </w:r>
      <w:r>
        <w:rPr>
          <w:sz w:val="20"/>
          <w:szCs w:val="20"/>
        </w:rPr>
        <w:t xml:space="preserve">O compartilhamento é descrito como restrito a "parceiros de infraestrutura (hospedagem, autenticação)", sem nomear ninguém.</w:t>
      </w:r>
    </w:p>
    <w:p>
      <w:pPr>
        <w:spacing w:after="80" w:line="280"/>
        <w:ind w:left="280"/>
      </w:pPr>
      <w:r>
        <w:rPr>
          <w:b/>
          <w:bCs/>
          <w:color w:val="5A5A5A"/>
          <w:sz w:val="20"/>
          <w:szCs w:val="20"/>
        </w:rPr>
        <w:t xml:space="preserve">Software: </w:t>
      </w:r>
      <w:r>
        <w:rPr>
          <w:sz w:val="20"/>
          <w:szCs w:val="20"/>
        </w:rPr>
        <w:t xml:space="preserve">O levantamento identificou cinco terceiros distintos: a Vercel (hospedagem do front), o AbacatePay (gateway de cobrança Pix), a AwesomeAPI (consultada a cada aporte de patrimônio, para converter o valor em dólar), a Resend (envio de e-mails transacionais) e o Google (biblioteca de gráficos e fontes tipográficas, carregadas pelo navegador do usuário). O detalhamento está no Anexo B.</w:t>
      </w:r>
    </w:p>
    <w:p>
      <w:pPr>
        <w:spacing w:after="80" w:line="280"/>
        <w:ind w:left="280"/>
      </w:pPr>
      <w:r>
        <w:rPr>
          <w:b/>
          <w:bCs/>
          <w:color w:val="5A5A5A"/>
          <w:sz w:val="20"/>
          <w:szCs w:val="20"/>
        </w:rPr>
        <w:t xml:space="preserve">Onde: </w:t>
      </w:r>
      <w:r>
        <w:rPr>
          <w:sz w:val="20"/>
          <w:szCs w:val="20"/>
        </w:rPr>
        <w:t xml:space="preserve">planos-pagamento-README.md e patrimonio-README.md (backend .NET); código do front para os componentes Google.</w:t>
      </w:r>
    </w:p>
    <w:p>
      <w:pPr>
        <w:spacing w:after="100" w:before="280"/>
      </w:pPr>
      <w:r>
        <w:rPr>
          <w:b/>
          <w:bCs/>
          <w:color w:val="1A1A1A"/>
          <w:sz w:val="22"/>
          <w:szCs w:val="22"/>
        </w:rPr>
        <w:t xml:space="preserve">7. Ausência de cláusula de transferência internacional de dados</w:t>
      </w:r>
    </w:p>
    <w:p>
      <w:pPr>
        <w:spacing w:after="80" w:line="280"/>
        <w:ind w:left="280"/>
      </w:pPr>
      <w:r>
        <w:rPr>
          <w:b/>
          <w:bCs/>
          <w:color w:val="5A5A5A"/>
          <w:sz w:val="20"/>
          <w:szCs w:val="20"/>
        </w:rPr>
        <w:t xml:space="preserve">Texto: </w:t>
      </w:r>
      <w:r>
        <w:rPr>
          <w:sz w:val="20"/>
          <w:szCs w:val="20"/>
        </w:rPr>
        <w:t xml:space="preserve">A política não menciona transferência internacional em nenhum ponto.</w:t>
      </w:r>
    </w:p>
    <w:p>
      <w:pPr>
        <w:spacing w:after="80" w:line="280"/>
        <w:ind w:left="280"/>
      </w:pPr>
      <w:r>
        <w:rPr>
          <w:b/>
          <w:bCs/>
          <w:color w:val="5A5A5A"/>
          <w:sz w:val="20"/>
          <w:szCs w:val="20"/>
        </w:rPr>
        <w:t xml:space="preserve">Software: </w:t>
      </w:r>
      <w:r>
        <w:rPr>
          <w:sz w:val="20"/>
          <w:szCs w:val="20"/>
        </w:rPr>
        <w:t xml:space="preserve">A hospedagem do front é na Vercel e ao menos três dos terceiros acima são estrangeiros, o que implica tráfego de dados para fora do país.</w:t>
      </w:r>
    </w:p>
    <w:p>
      <w:pPr>
        <w:spacing w:after="80" w:line="280"/>
        <w:ind w:left="280"/>
      </w:pPr>
      <w:r>
        <w:rPr>
          <w:b/>
          <w:bCs/>
          <w:color w:val="5A5A5A"/>
          <w:sz w:val="20"/>
          <w:szCs w:val="20"/>
        </w:rPr>
        <w:t xml:space="preserve">Onde: </w:t>
      </w:r>
      <w:r>
        <w:rPr>
          <w:sz w:val="20"/>
          <w:szCs w:val="20"/>
        </w:rPr>
        <w:t xml:space="preserve">docs/DEPLOYMENT.md (front) e Anexo B.</w:t>
      </w:r>
    </w:p>
    <w:p>
      <w:pPr>
        <w:spacing w:after="100" w:before="280"/>
      </w:pPr>
      <w:r>
        <w:rPr>
          <w:b/>
          <w:bCs/>
          <w:color w:val="1A1A1A"/>
          <w:sz w:val="22"/>
          <w:szCs w:val="22"/>
        </w:rPr>
        <w:t xml:space="preserve">8. Canal de exclusão descrito não confere com o que existe</w:t>
      </w:r>
    </w:p>
    <w:p>
      <w:pPr>
        <w:spacing w:after="80" w:line="280"/>
        <w:ind w:left="280"/>
      </w:pPr>
      <w:r>
        <w:rPr>
          <w:b/>
          <w:bCs/>
          <w:color w:val="5A5A5A"/>
          <w:sz w:val="20"/>
          <w:szCs w:val="20"/>
        </w:rPr>
        <w:t xml:space="preserve">Texto: </w:t>
      </w:r>
      <w:r>
        <w:rPr>
          <w:sz w:val="20"/>
          <w:szCs w:val="20"/>
        </w:rPr>
        <w:t xml:space="preserve">A política diz que a exclusão pode ser solicitada "pelo e-mail de suporte" — e não informa qual é esse e-mail em nenhum ponto do documento.</w:t>
      </w:r>
    </w:p>
    <w:p>
      <w:pPr>
        <w:spacing w:after="80" w:line="280"/>
        <w:ind w:left="280"/>
      </w:pPr>
      <w:r>
        <w:rPr>
          <w:b/>
          <w:bCs/>
          <w:color w:val="5A5A5A"/>
          <w:sz w:val="20"/>
          <w:szCs w:val="20"/>
        </w:rPr>
        <w:t xml:space="preserve">Software: </w:t>
      </w:r>
      <w:r>
        <w:rPr>
          <w:sz w:val="20"/>
          <w:szCs w:val="20"/>
        </w:rPr>
        <w:t xml:space="preserve">A aplicação já oferece exclusão de conta pelo próprio usuário, sem depender de e-mail. O texto descreve um caminho pior do que o que o produto entrega, e cita um canal que não é informado.</w:t>
      </w:r>
    </w:p>
    <w:p>
      <w:pPr>
        <w:spacing w:after="80" w:line="280"/>
        <w:ind w:left="280"/>
      </w:pPr>
      <w:r>
        <w:rPr>
          <w:b/>
          <w:bCs/>
          <w:color w:val="5A5A5A"/>
          <w:sz w:val="20"/>
          <w:szCs w:val="20"/>
        </w:rPr>
        <w:t xml:space="preserve">Onde: </w:t>
      </w:r>
      <w:r>
        <w:rPr>
          <w:sz w:val="20"/>
          <w:szCs w:val="20"/>
        </w:rPr>
        <w:t xml:space="preserve">src/src/components/ExcluirContaModal.jsx</w:t>
      </w:r>
    </w:p>
    <w:p>
      <w:pPr>
        <w:spacing w:after="100" w:before="280"/>
      </w:pPr>
      <w:r>
        <w:rPr>
          <w:b/>
          <w:bCs/>
          <w:color w:val="1A1A1A"/>
          <w:sz w:val="22"/>
          <w:szCs w:val="22"/>
        </w:rPr>
        <w:t xml:space="preserve">9. Domínios de contato divergentes</w:t>
      </w:r>
    </w:p>
    <w:p>
      <w:pPr>
        <w:spacing w:after="80" w:line="280"/>
        <w:ind w:left="280"/>
      </w:pPr>
      <w:r>
        <w:rPr>
          <w:b/>
          <w:bCs/>
          <w:color w:val="5A5A5A"/>
          <w:sz w:val="20"/>
          <w:szCs w:val="20"/>
        </w:rPr>
        <w:t xml:space="preserve">Texto: </w:t>
      </w:r>
      <w:r>
        <w:rPr>
          <w:sz w:val="20"/>
          <w:szCs w:val="20"/>
        </w:rPr>
        <w:t xml:space="preserve">O DPO é indicado no domínio thinkbitcoin.com.br.</w:t>
      </w:r>
    </w:p>
    <w:p>
      <w:pPr>
        <w:spacing w:after="80" w:line="280"/>
        <w:ind w:left="280"/>
      </w:pPr>
      <w:r>
        <w:rPr>
          <w:b/>
          <w:bCs/>
          <w:color w:val="5A5A5A"/>
          <w:sz w:val="20"/>
          <w:szCs w:val="20"/>
        </w:rPr>
        <w:t xml:space="preserve">Software: </w:t>
      </w:r>
      <w:r>
        <w:rPr>
          <w:sz w:val="20"/>
          <w:szCs w:val="20"/>
        </w:rPr>
        <w:t xml:space="preserve">A plataforma é servida em minerthinkbitcoin.com, e há ainda um terceiro endereço no domínio thinkbitcoin.com dentro do código. São três domínios diferentes para a mesma marca; vale confirmar qual deles está de fato ativo e monitorado, já que é o canal oficial de exercício de direitos.</w:t>
      </w:r>
    </w:p>
    <w:p>
      <w:pPr>
        <w:spacing w:after="80" w:line="280"/>
        <w:ind w:left="280"/>
      </w:pPr>
      <w:r>
        <w:rPr>
          <w:b/>
          <w:bCs/>
          <w:color w:val="5A5A5A"/>
          <w:sz w:val="20"/>
          <w:szCs w:val="20"/>
        </w:rPr>
        <w:t xml:space="preserve">Onde: </w:t>
      </w:r>
      <w:r>
        <w:rPr>
          <w:sz w:val="20"/>
          <w:szCs w:val="20"/>
        </w:rPr>
        <w:t xml:space="preserve">docs/DEPLOYMENT.md e o próprio texto da política.</w:t>
      </w:r>
    </w:p>
    <w:p>
      <w:pPr>
        <w:spacing w:after="100" w:before="280"/>
      </w:pPr>
      <w:r>
        <w:rPr>
          <w:b/>
          <w:bCs/>
          <w:color w:val="1A1A1A"/>
          <w:sz w:val="22"/>
          <w:szCs w:val="22"/>
        </w:rPr>
        <w:t xml:space="preserve">10. Funcionalidade descrita nos Termos que não existe no produto</w:t>
      </w:r>
    </w:p>
    <w:p>
      <w:pPr>
        <w:spacing w:after="80" w:line="280"/>
        <w:ind w:left="280"/>
      </w:pPr>
      <w:r>
        <w:rPr>
          <w:b/>
          <w:bCs/>
          <w:color w:val="5A5A5A"/>
          <w:sz w:val="20"/>
          <w:szCs w:val="20"/>
        </w:rPr>
        <w:t xml:space="preserve">Texto: </w:t>
      </w:r>
      <w:r>
        <w:rPr>
          <w:sz w:val="20"/>
          <w:szCs w:val="20"/>
        </w:rPr>
        <w:t xml:space="preserve">A descrição do serviço menciona "análises de on-chain".</w:t>
      </w:r>
    </w:p>
    <w:p>
      <w:pPr>
        <w:spacing w:after="80" w:line="280"/>
        <w:ind w:left="280"/>
      </w:pPr>
      <w:r>
        <w:rPr>
          <w:b/>
          <w:bCs/>
          <w:color w:val="5A5A5A"/>
          <w:sz w:val="20"/>
          <w:szCs w:val="20"/>
        </w:rPr>
        <w:t xml:space="preserve">Software: </w:t>
      </w:r>
      <w:r>
        <w:rPr>
          <w:sz w:val="20"/>
          <w:szCs w:val="20"/>
        </w:rPr>
        <w:t xml:space="preserve">A expressão aparece unicamente dentro do próprio texto jurídico. Não há nenhuma funcionalidade de análise on-chain na aplicação.</w:t>
      </w:r>
    </w:p>
    <w:p>
      <w:pPr>
        <w:spacing w:after="80" w:line="280"/>
        <w:ind w:left="280"/>
      </w:pPr>
      <w:r>
        <w:rPr>
          <w:b/>
          <w:bCs/>
          <w:color w:val="5A5A5A"/>
          <w:sz w:val="20"/>
          <w:szCs w:val="20"/>
        </w:rPr>
        <w:t xml:space="preserve">Onde: </w:t>
      </w:r>
      <w:r>
        <w:rPr>
          <w:sz w:val="20"/>
          <w:szCs w:val="20"/>
        </w:rPr>
        <w:t xml:space="preserve">Busca por "on-chain" no código retorna apenas a linha do texto legal.</w:t>
      </w:r>
    </w:p>
    <w:p>
      <w:pPr>
        <w:spacing w:after="100" w:before="280"/>
      </w:pPr>
      <w:r>
        <w:rPr>
          <w:b/>
          <w:bCs/>
          <w:color w:val="1A1A1A"/>
          <w:sz w:val="22"/>
          <w:szCs w:val="22"/>
        </w:rPr>
        <w:t xml:space="preserve">11. Os documentos não têm data de vigência nem versão visível</w:t>
      </w:r>
    </w:p>
    <w:p>
      <w:pPr>
        <w:spacing w:after="80" w:line="280"/>
        <w:ind w:left="280"/>
      </w:pPr>
      <w:r>
        <w:rPr>
          <w:b/>
          <w:bCs/>
          <w:color w:val="5A5A5A"/>
          <w:sz w:val="20"/>
          <w:szCs w:val="20"/>
        </w:rPr>
        <w:t xml:space="preserve">Texto: </w:t>
      </w:r>
      <w:r>
        <w:rPr>
          <w:sz w:val="20"/>
          <w:szCs w:val="20"/>
        </w:rPr>
        <w:t xml:space="preserve">Nenhum dos dois documentos indica data de vigência, data da última atualização ou número de versão.</w:t>
      </w:r>
    </w:p>
    <w:p>
      <w:pPr>
        <w:spacing w:after="80" w:line="280"/>
        <w:ind w:left="280"/>
      </w:pPr>
      <w:r>
        <w:rPr>
          <w:b/>
          <w:bCs/>
          <w:color w:val="5A5A5A"/>
          <w:sz w:val="20"/>
          <w:szCs w:val="20"/>
        </w:rPr>
        <w:t xml:space="preserve">Software: </w:t>
      </w:r>
      <w:r>
        <w:rPr>
          <w:sz w:val="20"/>
          <w:szCs w:val="20"/>
        </w:rPr>
        <w:t xml:space="preserve">O registro interno de aceite usa uma chave versionada, mas o texto não informa ao usuário a que versão ele corresponde. Se a redação mudar, não há como distinguir quem aceitou qual versão — o que a cláusula 7 dos Termos ("mudanças relevantes serão comunicadas") pressupõe.</w:t>
      </w:r>
    </w:p>
    <w:p>
      <w:pPr>
        <w:spacing w:after="80" w:line="280"/>
        <w:ind w:left="280"/>
      </w:pPr>
      <w:r>
        <w:rPr>
          <w:b/>
          <w:bCs/>
          <w:color w:val="5A5A5A"/>
          <w:sz w:val="20"/>
          <w:szCs w:val="20"/>
        </w:rPr>
        <w:t xml:space="preserve">Onde: </w:t>
      </w:r>
      <w:r>
        <w:rPr>
          <w:sz w:val="20"/>
          <w:szCs w:val="20"/>
        </w:rPr>
        <w:t xml:space="preserve">src/src/components/ConsentimentoLGPD.jsx</w:t>
      </w:r>
    </w:p>
    <w:p>
      <w:pPr>
        <w:spacing w:after="100" w:before="280"/>
      </w:pPr>
      <w:r>
        <w:rPr>
          <w:b/>
          <w:bCs/>
          <w:color w:val="1A1A1A"/>
          <w:sz w:val="22"/>
          <w:szCs w:val="22"/>
        </w:rPr>
        <w:t xml:space="preserve">12. O registro de patrimônio é declaradamente imutável, e o titular tem direito à eliminação</w:t>
      </w:r>
    </w:p>
    <w:p>
      <w:pPr>
        <w:spacing w:after="80" w:line="280"/>
        <w:ind w:left="280"/>
      </w:pPr>
      <w:r>
        <w:rPr>
          <w:b/>
          <w:bCs/>
          <w:color w:val="5A5A5A"/>
          <w:sz w:val="20"/>
          <w:szCs w:val="20"/>
        </w:rPr>
        <w:t xml:space="preserve">Texto: </w:t>
      </w:r>
      <w:r>
        <w:rPr>
          <w:sz w:val="20"/>
          <w:szCs w:val="20"/>
        </w:rPr>
        <w:t xml:space="preserve">A política assegura o direito de "anonimização, bloqueio ou eliminação" e diz que a exclusão pode ser pedida a qualquer momento.</w:t>
      </w:r>
    </w:p>
    <w:p>
      <w:pPr>
        <w:spacing w:after="80" w:line="280"/>
        <w:ind w:left="280"/>
      </w:pPr>
      <w:r>
        <w:rPr>
          <w:b/>
          <w:bCs/>
          <w:color w:val="5A5A5A"/>
          <w:sz w:val="20"/>
          <w:szCs w:val="20"/>
        </w:rPr>
        <w:t xml:space="preserve">Sistema: </w:t>
      </w:r>
      <w:r>
        <w:rPr>
          <w:sz w:val="20"/>
          <w:szCs w:val="20"/>
        </w:rPr>
        <w:t xml:space="preserve">A tabela de patrimônio é descrita na documentação como um livro-caixa (ledger) imutável de aportes e saques, deliberadamente protegido de alterações. Além disso, cada aporte gera uma transação espelho numa segunda tabela, que alimenta o motor de IA. Como a exclusão de conta convive com esses dois registros — se apaga, se anonimiza ou se preserva — não está descrito em lugar nenhum.</w:t>
      </w:r>
    </w:p>
    <w:p>
      <w:pPr>
        <w:spacing w:after="80" w:line="280"/>
        <w:ind w:left="280"/>
      </w:pPr>
      <w:r>
        <w:rPr>
          <w:b/>
          <w:bCs/>
          <w:color w:val="5A5A5A"/>
          <w:sz w:val="20"/>
          <w:szCs w:val="20"/>
        </w:rPr>
        <w:t xml:space="preserve">Onde: </w:t>
      </w:r>
      <w:r>
        <w:rPr>
          <w:sz w:val="20"/>
          <w:szCs w:val="20"/>
        </w:rPr>
        <w:t xml:space="preserve">patrimonio-README.md (backend .NET).</w:t>
      </w:r>
    </w:p>
    <w:p>
      <w:pPr>
        <w:spacing w:after="100" w:before="280"/>
      </w:pPr>
      <w:r>
        <w:rPr>
          <w:b/>
          <w:bCs/>
          <w:color w:val="1A1A1A"/>
          <w:sz w:val="22"/>
          <w:szCs w:val="22"/>
        </w:rPr>
        <w:t xml:space="preserve">13. O capital declarado pelo usuário alimenta o motor de IA</w:t>
      </w:r>
    </w:p>
    <w:p>
      <w:pPr>
        <w:spacing w:after="80" w:line="280"/>
        <w:ind w:left="280"/>
      </w:pPr>
      <w:r>
        <w:rPr>
          <w:b/>
          <w:bCs/>
          <w:color w:val="5A5A5A"/>
          <w:sz w:val="20"/>
          <w:szCs w:val="20"/>
        </w:rPr>
        <w:t xml:space="preserve">Texto: </w:t>
      </w:r>
      <w:r>
        <w:rPr>
          <w:sz w:val="20"/>
          <w:szCs w:val="20"/>
        </w:rPr>
        <w:t xml:space="preserve">A finalidade declarada é "prestação dos serviços de análise de mercado Bitcoin, personalização da experiência, segurança da conta, cumprimento de obrigações legais e melhoria contínua da plataforma".</w:t>
      </w:r>
    </w:p>
    <w:p>
      <w:pPr>
        <w:spacing w:after="80" w:line="280"/>
        <w:ind w:left="280"/>
      </w:pPr>
      <w:r>
        <w:rPr>
          <w:b/>
          <w:bCs/>
          <w:color w:val="5A5A5A"/>
          <w:sz w:val="20"/>
          <w:szCs w:val="20"/>
        </w:rPr>
        <w:t xml:space="preserve">Sistema: </w:t>
      </w:r>
      <w:r>
        <w:rPr>
          <w:sz w:val="20"/>
          <w:szCs w:val="20"/>
        </w:rPr>
        <w:t xml:space="preserve">O valor que o usuário declara como patrimônio é convertido em dólar e injetado como saldo inicial na base que o motor de aprendizado por reforço usa para simulação e treinamento. É um uso legítimo e provavelmente esperado, mas "melhoria contínua da plataforma" é um guarda-chuva largo para descrever treinamento de modelo com dado financeiro do titular — vale avaliar se a finalidade está descrita com a especificidade que a LGPD pede.</w:t>
      </w:r>
    </w:p>
    <w:p>
      <w:pPr>
        <w:spacing w:after="80" w:line="280"/>
        <w:ind w:left="280"/>
      </w:pPr>
      <w:r>
        <w:rPr>
          <w:b/>
          <w:bCs/>
          <w:color w:val="5A5A5A"/>
          <w:sz w:val="20"/>
          <w:szCs w:val="20"/>
        </w:rPr>
        <w:t xml:space="preserve">Onde: </w:t>
      </w:r>
      <w:r>
        <w:rPr>
          <w:sz w:val="20"/>
          <w:szCs w:val="20"/>
        </w:rPr>
        <w:t xml:space="preserve">patrimonio-README.md e database-models.md (backend Python).</w:t>
      </w:r>
    </w:p>
    <w:p>
      <w:pPr>
        <w:spacing w:after="100" w:before="280"/>
      </w:pPr>
      <w:r>
        <w:rPr>
          <w:b/>
          <w:bCs/>
          <w:color w:val="1A1A1A"/>
          <w:sz w:val="22"/>
          <w:szCs w:val="22"/>
        </w:rPr>
        <w:t xml:space="preserve">14. Prazos de retenção existem na engenharia e não aparecem no texto</w:t>
      </w:r>
    </w:p>
    <w:p>
      <w:pPr>
        <w:spacing w:after="80" w:line="280"/>
        <w:ind w:left="280"/>
      </w:pPr>
      <w:r>
        <w:rPr>
          <w:b/>
          <w:bCs/>
          <w:color w:val="5A5A5A"/>
          <w:sz w:val="20"/>
          <w:szCs w:val="20"/>
        </w:rPr>
        <w:t xml:space="preserve">Texto: </w:t>
      </w:r>
      <w:r>
        <w:rPr>
          <w:sz w:val="20"/>
          <w:szCs w:val="20"/>
        </w:rPr>
        <w:t xml:space="preserve">A política diz apenas que os dados são retidos "pelo período necessário à prestação do serviço ou conforme exigido pela legislação".</w:t>
      </w:r>
    </w:p>
    <w:p>
      <w:pPr>
        <w:spacing w:after="80" w:line="280"/>
        <w:ind w:left="280"/>
      </w:pPr>
      <w:r>
        <w:rPr>
          <w:b/>
          <w:bCs/>
          <w:color w:val="5A5A5A"/>
          <w:sz w:val="20"/>
          <w:szCs w:val="20"/>
        </w:rPr>
        <w:t xml:space="preserve">Sistema: </w:t>
      </w:r>
      <w:r>
        <w:rPr>
          <w:sz w:val="20"/>
          <w:szCs w:val="20"/>
        </w:rPr>
        <w:t xml:space="preserve">Há prazos concretos definidos: os logs de auditoria são expurgados automaticamente a cada hora, com retenção padrão de 24 horas, por rotina agendada. Já o patrimônio é, por decisão de projeto, permanente. São dois regimes opostos e nenhum dos dois é informado ao titular.</w:t>
      </w:r>
    </w:p>
    <w:p>
      <w:pPr>
        <w:spacing w:after="80" w:line="280"/>
        <w:ind w:left="280"/>
      </w:pPr>
      <w:r>
        <w:rPr>
          <w:b/>
          <w:bCs/>
          <w:color w:val="5A5A5A"/>
          <w:sz w:val="20"/>
          <w:szCs w:val="20"/>
        </w:rPr>
        <w:t xml:space="preserve">Onde: </w:t>
      </w:r>
      <w:r>
        <w:rPr>
          <w:sz w:val="20"/>
          <w:szCs w:val="20"/>
        </w:rPr>
        <w:t xml:space="preserve">logs-assincronos-README.md e README.md (backend .NET).</w:t>
      </w:r>
    </w:p>
    <w:p>
      <w:pPr>
        <w:spacing w:after="100" w:before="280"/>
      </w:pPr>
      <w:r>
        <w:rPr>
          <w:b/>
          <w:bCs/>
          <w:color w:val="1A1A1A"/>
          <w:sz w:val="22"/>
          <w:szCs w:val="22"/>
        </w:rPr>
        <w:t xml:space="preserve">15. Onde os logs de auditoria são armazenados</w:t>
      </w:r>
    </w:p>
    <w:p>
      <w:pPr>
        <w:spacing w:after="80" w:line="280"/>
        <w:ind w:left="280"/>
      </w:pPr>
      <w:r>
        <w:rPr>
          <w:b/>
          <w:bCs/>
          <w:color w:val="5A5A5A"/>
          <w:sz w:val="20"/>
          <w:szCs w:val="20"/>
        </w:rPr>
        <w:t xml:space="preserve">Sistema: </w:t>
      </w:r>
      <w:r>
        <w:rPr>
          <w:sz w:val="20"/>
          <w:szCs w:val="20"/>
        </w:rPr>
        <w:t xml:space="preserve">Os logs de auditoria da aplicação não ficam no banco principal. São publicados numa fila e gravados num PostgreSQL que roda dentro de um telefone celular (Galaxy Note 20 Ultra com Debian via Termux), conectado à rede Wi-Fi doméstica. A própria documentação registra que o acesso SSH ao aparelho usa o usuário root com a senha 123456, e que o banco usa a mesma senha.</w:t>
      </w:r>
    </w:p>
    <w:p>
      <w:pPr>
        <w:spacing w:after="80" w:line="280"/>
        <w:ind w:left="280"/>
      </w:pPr>
      <w:r>
        <w:rPr>
          <w:b/>
          <w:bCs/>
          <w:color w:val="5A5A5A"/>
          <w:sz w:val="20"/>
          <w:szCs w:val="20"/>
        </w:rPr>
        <w:t xml:space="preserve">Por que importa aqui: </w:t>
      </w:r>
      <w:r>
        <w:rPr>
          <w:sz w:val="20"/>
          <w:szCs w:val="20"/>
        </w:rPr>
        <w:t xml:space="preserve">Se esses logs contiverem qualquer dado pessoal — identificador de usuário, e-mail, IP, conteúdo de requisição —, o arranjo precisa ser avaliado à luz das medidas de segurança que a LGPD exige do controlador. Não foi possível confirmar, pela documentação disponível, quais campos os registros de log efetivamente guardam. Esta é a primeira pergunta a fazer ao time.</w:t>
      </w:r>
    </w:p>
    <w:p>
      <w:pPr>
        <w:spacing w:after="80" w:line="280"/>
        <w:ind w:left="280"/>
      </w:pPr>
      <w:r>
        <w:rPr>
          <w:b/>
          <w:bCs/>
          <w:color w:val="5A5A5A"/>
          <w:sz w:val="20"/>
          <w:szCs w:val="20"/>
        </w:rPr>
        <w:t xml:space="preserve">Onde: </w:t>
      </w:r>
      <w:r>
        <w:rPr>
          <w:sz w:val="20"/>
          <w:szCs w:val="20"/>
        </w:rPr>
        <w:t xml:space="preserve">logs-assincronos-README.md (backend .NET).</w:t>
      </w:r>
    </w:p>
    <w:p>
      <w:pPr>
        <w:spacing w:after="100" w:before="280"/>
      </w:pPr>
      <w:r>
        <w:rPr>
          <w:b/>
          <w:bCs/>
          <w:color w:val="1A1A1A"/>
          <w:sz w:val="22"/>
          <w:szCs w:val="22"/>
        </w:rPr>
        <w:t xml:space="preserve">16. O webhook de pagamento não valida a assinatura do gateway</w:t>
      </w:r>
    </w:p>
    <w:p>
      <w:pPr>
        <w:spacing w:after="80" w:line="280"/>
        <w:ind w:left="280"/>
      </w:pPr>
      <w:r>
        <w:rPr>
          <w:b/>
          <w:bCs/>
          <w:color w:val="5A5A5A"/>
          <w:sz w:val="20"/>
          <w:szCs w:val="20"/>
        </w:rPr>
        <w:t xml:space="preserve">Sistema: </w:t>
      </w:r>
      <w:r>
        <w:rPr>
          <w:sz w:val="20"/>
          <w:szCs w:val="20"/>
        </w:rPr>
        <w:t xml:space="preserve">A confirmação de pagamento que ativa o plano pago do usuário chega por webhook do gateway. A validação de assinatura HMAC não foi implementada — a documentação explica que o gateway não documenta o nome do header nem o algoritmo. Hoje o endpoint é protegido apenas por um segredo trafegado na query string da URL, e a própria documentação registra isso como pendência a resolver antes de produção.</w:t>
      </w:r>
    </w:p>
    <w:p>
      <w:pPr>
        <w:spacing w:after="80" w:line="280"/>
        <w:ind w:left="280"/>
      </w:pPr>
      <w:r>
        <w:rPr>
          <w:b/>
          <w:bCs/>
          <w:color w:val="5A5A5A"/>
          <w:sz w:val="20"/>
          <w:szCs w:val="20"/>
        </w:rPr>
        <w:t xml:space="preserve">Por que importa aqui: </w:t>
      </w:r>
      <w:r>
        <w:rPr>
          <w:sz w:val="20"/>
          <w:szCs w:val="20"/>
        </w:rPr>
        <w:t xml:space="preserve">É o ponto do sistema em que uma requisição externa altera o estado comercial da conta. Não é uma questão de proteção de dados pessoais, mas é matéria de segurança de um fluxo financeiro e provavelmente interessa a quem revisa o produto sob a ótica de relação de consumo.</w:t>
      </w:r>
    </w:p>
    <w:p>
      <w:pPr>
        <w:spacing w:after="80" w:line="280"/>
        <w:ind w:left="280"/>
      </w:pPr>
      <w:r>
        <w:rPr>
          <w:b/>
          <w:bCs/>
          <w:color w:val="5A5A5A"/>
          <w:sz w:val="20"/>
          <w:szCs w:val="20"/>
        </w:rPr>
        <w:t xml:space="preserve">Onde: </w:t>
      </w:r>
      <w:r>
        <w:rPr>
          <w:sz w:val="20"/>
          <w:szCs w:val="20"/>
        </w:rPr>
        <w:t xml:space="preserve">planos-pagamento-README.md (backend .NET), seção "Limitação conhecida".</w:t>
      </w:r>
    </w:p>
    <w:p>
      <w:pPr>
        <w:spacing w:after="100" w:before="280"/>
      </w:pPr>
      <w:r>
        <w:rPr>
          <w:b/>
          <w:bCs/>
          <w:color w:val="1A1A1A"/>
          <w:sz w:val="22"/>
          <w:szCs w:val="22"/>
        </w:rPr>
        <w:t xml:space="preserve">17. Pontos que provavelmente merecem o olhar jurídico, sem observação técnica a acrescentar</w:t>
      </w:r>
    </w:p>
    <w:p>
      <w:pPr>
        <w:spacing w:after="80" w:line="280"/>
        <w:ind w:left="280"/>
      </w:pPr>
      <w:r>
        <w:rPr>
          <w:b/>
          <w:bCs/>
          <w:color w:val="5A5A5A"/>
          <w:sz w:val="20"/>
          <w:szCs w:val="20"/>
        </w:rPr>
        <w:t xml:space="preserve">Foro: </w:t>
      </w:r>
      <w:r>
        <w:rPr>
          <w:sz w:val="20"/>
          <w:szCs w:val="20"/>
        </w:rPr>
        <w:t xml:space="preserve">A cláusula 8 dos Termos elege o foro de São Paulo/SP com renúncia expressa a qualquer outro, em contrato de adesão destinado a consumidor final.</w:t>
      </w:r>
    </w:p>
    <w:p>
      <w:pPr>
        <w:spacing w:after="80" w:line="280"/>
        <w:ind w:left="280"/>
      </w:pPr>
      <w:r>
        <w:rPr>
          <w:b/>
          <w:bCs/>
          <w:color w:val="5A5A5A"/>
          <w:sz w:val="20"/>
          <w:szCs w:val="20"/>
        </w:rPr>
        <w:t xml:space="preserve">Limitação de responsabilidade: </w:t>
      </w:r>
      <w:r>
        <w:rPr>
          <w:sz w:val="20"/>
          <w:szCs w:val="20"/>
        </w:rPr>
        <w:t xml:space="preserve">A cláusula 6 afasta responsabilidade por perdas financeiras, interrupções e falhas de terceiros, também em contrato de adesão.</w:t>
      </w:r>
    </w:p>
    <w:p>
      <w:pPr>
        <w:spacing w:after="80" w:line="280"/>
        <w:ind w:left="280"/>
      </w:pPr>
      <w:r>
        <w:rPr>
          <w:b/>
          <w:bCs/>
          <w:color w:val="5A5A5A"/>
          <w:sz w:val="20"/>
          <w:szCs w:val="20"/>
        </w:rPr>
        <w:t xml:space="preserve">Uso de automações: </w:t>
      </w:r>
      <w:r>
        <w:rPr>
          <w:sz w:val="20"/>
          <w:szCs w:val="20"/>
        </w:rPr>
        <w:t xml:space="preserve">A cláusula 4 veda "bots ou automações não autorizadas" num produto cuja proposta é acompanhar um robô trader — vale confirmar se o alcance pretendido é esse mesmo.</w:t>
      </w:r>
    </w:p>
    <w:p>
      <w:pPr>
        <w:spacing w:after="80" w:line="280"/>
        <w:ind w:left="280"/>
      </w:pPr>
      <w:r>
        <w:rPr>
          <w:b/>
          <w:bCs/>
          <w:color w:val="5A5A5A"/>
          <w:sz w:val="20"/>
          <w:szCs w:val="20"/>
        </w:rPr>
        <w:t xml:space="preserve">Aviso de não-consultoria: </w:t>
      </w:r>
      <w:r>
        <w:rPr>
          <w:sz w:val="20"/>
          <w:szCs w:val="20"/>
        </w:rPr>
        <w:t xml:space="preserve">A cláusula 3 é o ponto mais sensível do conjunto, dado o objeto do produto. Está redigida, mas aparece apenas dentro dos Termos.</w:t>
      </w:r>
    </w:p>
    <w:p>
      <w:r>
        <w:br w:type="page"/>
      </w:r>
    </w:p>
    <w:p>
      <w:pPr>
        <w:pStyle w:val="Heading1"/>
        <w:spacing w:after="200" w:before="360"/>
      </w:pPr>
      <w:r>
        <w:rPr>
          <w:b/>
          <w:bCs/>
          <w:color w:val="1A1A1A"/>
          <w:sz w:val="30"/>
          <w:szCs w:val="30"/>
        </w:rPr>
        <w:t xml:space="preserve">Anexo A — Dados tratados</w:t>
      </w:r>
    </w:p>
    <w:p>
      <w:pPr>
        <w:spacing w:after="240" w:line="280"/>
      </w:pPr>
      <w:r>
        <w:rPr>
          <w:color w:val="5A5A5A"/>
          <w:sz w:val="21"/>
          <w:szCs w:val="21"/>
        </w:rPr>
        <w:t xml:space="preserve">Coleta no front lida diretamente no código; armazenamento no backend conforme a documentação técnica dos repositórios .NET 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EFEFEF" w:val="clear"/>
            <w:tcMar>
              <w:top w:type="dxa" w:w="100"/>
              <w:left w:type="dxa" w:w="140"/>
              <w:bottom w:type="dxa" w:w="100"/>
              <w:right w:type="dxa" w:w="140"/>
            </w:tcMar>
          </w:tcPr>
          <w:p>
            <w:pPr>
              <w:spacing w:after="40" w:line="260"/>
            </w:pPr>
            <w:r>
              <w:rPr>
                <w:b/>
                <w:bCs/>
                <w:sz w:val="19"/>
                <w:szCs w:val="19"/>
              </w:rPr>
              <w:t xml:space="preserve">Dado</w:t>
            </w:r>
          </w:p>
        </w:tc>
        <w:tc>
          <w:tcPr>
            <w:tcW w:type="dxa" w:w="2500"/>
            <w:shd w:fill="EFEFEF" w:val="clear"/>
            <w:tcMar>
              <w:top w:type="dxa" w:w="100"/>
              <w:left w:type="dxa" w:w="140"/>
              <w:bottom w:type="dxa" w:w="100"/>
              <w:right w:type="dxa" w:w="140"/>
            </w:tcMar>
          </w:tcPr>
          <w:p>
            <w:pPr>
              <w:spacing w:after="40" w:line="260"/>
            </w:pPr>
            <w:r>
              <w:rPr>
                <w:b/>
                <w:bCs/>
                <w:sz w:val="19"/>
                <w:szCs w:val="19"/>
              </w:rPr>
              <w:t xml:space="preserve">Onde é pedido</w:t>
            </w:r>
          </w:p>
        </w:tc>
        <w:tc>
          <w:tcPr>
            <w:tcW w:type="dxa" w:w="4360"/>
            <w:shd w:fill="EFEFEF" w:val="clear"/>
            <w:tcMar>
              <w:top w:type="dxa" w:w="100"/>
              <w:left w:type="dxa" w:w="140"/>
              <w:bottom w:type="dxa" w:w="100"/>
              <w:right w:type="dxa" w:w="140"/>
            </w:tcMar>
          </w:tcPr>
          <w:p>
            <w:pPr>
              <w:spacing w:after="40" w:line="260"/>
            </w:pPr>
            <w:r>
              <w:rPr>
                <w:b/>
                <w:bCs/>
                <w:sz w:val="19"/>
                <w:szCs w:val="19"/>
              </w:rPr>
              <w:t xml:space="preserve">Onde fica</w:t>
            </w:r>
          </w:p>
        </w:tc>
      </w:tr>
      <w:tr>
        <w:tc>
          <w:tcPr>
            <w:tcW w:type="dxa" w:w="2500"/>
            <w:tcMar>
              <w:top w:type="dxa" w:w="100"/>
              <w:left w:type="dxa" w:w="140"/>
              <w:bottom w:type="dxa" w:w="100"/>
              <w:right w:type="dxa" w:w="140"/>
            </w:tcMar>
          </w:tcPr>
          <w:p>
            <w:pPr>
              <w:spacing w:after="40" w:line="260"/>
            </w:pPr>
            <w:r>
              <w:rPr>
                <w:sz w:val="19"/>
                <w:szCs w:val="19"/>
              </w:rPr>
              <w:t xml:space="preserve">Nome, e-mail e senha</w:t>
            </w:r>
          </w:p>
        </w:tc>
        <w:tc>
          <w:tcPr>
            <w:tcW w:type="dxa" w:w="2500"/>
            <w:tcMar>
              <w:top w:type="dxa" w:w="100"/>
              <w:left w:type="dxa" w:w="140"/>
              <w:bottom w:type="dxa" w:w="100"/>
              <w:right w:type="dxa" w:w="140"/>
            </w:tcMar>
          </w:tcPr>
          <w:p>
            <w:pPr>
              <w:spacing w:after="40" w:line="260"/>
            </w:pPr>
            <w:r>
              <w:rPr>
                <w:sz w:val="19"/>
                <w:szCs w:val="19"/>
              </w:rPr>
              <w:t xml:space="preserve">Cadastro por convite</w:t>
            </w:r>
          </w:p>
        </w:tc>
        <w:tc>
          <w:tcPr>
            <w:tcW w:type="dxa" w:w="4360"/>
            <w:tcMar>
              <w:top w:type="dxa" w:w="100"/>
              <w:left w:type="dxa" w:w="140"/>
              <w:bottom w:type="dxa" w:w="100"/>
              <w:right w:type="dxa" w:w="140"/>
            </w:tcMar>
          </w:tcPr>
          <w:p>
            <w:pPr>
              <w:spacing w:after="40" w:line="260"/>
            </w:pPr>
            <w:r>
              <w:rPr>
                <w:sz w:val="19"/>
                <w:szCs w:val="19"/>
              </w:rPr>
              <w:t xml:space="preserve">Banco da API própria (SQL Server)</w:t>
            </w:r>
          </w:p>
        </w:tc>
      </w:tr>
      <w:tr>
        <w:tc>
          <w:tcPr>
            <w:tcW w:type="dxa" w:w="2500"/>
            <w:tcMar>
              <w:top w:type="dxa" w:w="100"/>
              <w:left w:type="dxa" w:w="140"/>
              <w:bottom w:type="dxa" w:w="100"/>
              <w:right w:type="dxa" w:w="140"/>
            </w:tcMar>
          </w:tcPr>
          <w:p>
            <w:pPr>
              <w:spacing w:after="40" w:line="260"/>
            </w:pPr>
            <w:r>
              <w:rPr>
                <w:sz w:val="19"/>
                <w:szCs w:val="19"/>
              </w:rPr>
              <w:t xml:space="preserve">Investimento inicial</w:t>
            </w:r>
          </w:p>
        </w:tc>
        <w:tc>
          <w:tcPr>
            <w:tcW w:type="dxa" w:w="2500"/>
            <w:tcMar>
              <w:top w:type="dxa" w:w="100"/>
              <w:left w:type="dxa" w:w="140"/>
              <w:bottom w:type="dxa" w:w="100"/>
              <w:right w:type="dxa" w:w="140"/>
            </w:tcMar>
          </w:tcPr>
          <w:p>
            <w:pPr>
              <w:spacing w:after="40" w:line="260"/>
            </w:pPr>
            <w:r>
              <w:rPr>
                <w:sz w:val="19"/>
                <w:szCs w:val="19"/>
              </w:rPr>
              <w:t xml:space="preserve">Cadastro e Configurações</w:t>
            </w:r>
          </w:p>
        </w:tc>
        <w:tc>
          <w:tcPr>
            <w:tcW w:type="dxa" w:w="4360"/>
            <w:tcMar>
              <w:top w:type="dxa" w:w="100"/>
              <w:left w:type="dxa" w:w="140"/>
              <w:bottom w:type="dxa" w:w="100"/>
              <w:right w:type="dxa" w:w="140"/>
            </w:tcMar>
          </w:tcPr>
          <w:p>
            <w:pPr>
              <w:spacing w:after="40" w:line="260"/>
            </w:pPr>
            <w:r>
              <w:rPr>
                <w:sz w:val="19"/>
                <w:szCs w:val="19"/>
              </w:rPr>
              <w:t xml:space="preserve">Banco da API própria</w:t>
            </w:r>
          </w:p>
        </w:tc>
      </w:tr>
      <w:tr>
        <w:tc>
          <w:tcPr>
            <w:tcW w:type="dxa" w:w="2500"/>
            <w:tcMar>
              <w:top w:type="dxa" w:w="100"/>
              <w:left w:type="dxa" w:w="140"/>
              <w:bottom w:type="dxa" w:w="100"/>
              <w:right w:type="dxa" w:w="140"/>
            </w:tcMar>
          </w:tcPr>
          <w:p>
            <w:pPr>
              <w:spacing w:after="40" w:line="260"/>
            </w:pPr>
            <w:r>
              <w:rPr>
                <w:sz w:val="19"/>
                <w:szCs w:val="19"/>
              </w:rPr>
              <w:t xml:space="preserve">Perfil de risco, risco máximo de perda, saldo de segurança, estilo de algoritmo, frequência de acompanhamento, moeda preferida</w:t>
            </w:r>
          </w:p>
        </w:tc>
        <w:tc>
          <w:tcPr>
            <w:tcW w:type="dxa" w:w="2500"/>
            <w:tcMar>
              <w:top w:type="dxa" w:w="100"/>
              <w:left w:type="dxa" w:w="140"/>
              <w:bottom w:type="dxa" w:w="100"/>
              <w:right w:type="dxa" w:w="140"/>
            </w:tcMar>
          </w:tcPr>
          <w:p>
            <w:pPr>
              <w:spacing w:after="40" w:line="260"/>
            </w:pPr>
            <w:r>
              <w:rPr>
                <w:sz w:val="19"/>
                <w:szCs w:val="19"/>
              </w:rPr>
              <w:t xml:space="preserve">Configurações</w:t>
            </w:r>
          </w:p>
        </w:tc>
        <w:tc>
          <w:tcPr>
            <w:tcW w:type="dxa" w:w="4360"/>
            <w:tcMar>
              <w:top w:type="dxa" w:w="100"/>
              <w:left w:type="dxa" w:w="140"/>
              <w:bottom w:type="dxa" w:w="100"/>
              <w:right w:type="dxa" w:w="140"/>
            </w:tcMar>
          </w:tcPr>
          <w:p>
            <w:pPr>
              <w:spacing w:after="40" w:line="260"/>
            </w:pPr>
            <w:r>
              <w:rPr>
                <w:sz w:val="19"/>
                <w:szCs w:val="19"/>
              </w:rPr>
              <w:t xml:space="preserve">Banco da API própria</w:t>
            </w:r>
          </w:p>
        </w:tc>
      </w:tr>
      <w:tr>
        <w:tc>
          <w:tcPr>
            <w:tcW w:type="dxa" w:w="2500"/>
            <w:tcMar>
              <w:top w:type="dxa" w:w="100"/>
              <w:left w:type="dxa" w:w="140"/>
              <w:bottom w:type="dxa" w:w="100"/>
              <w:right w:type="dxa" w:w="140"/>
            </w:tcMar>
          </w:tcPr>
          <w:p>
            <w:pPr>
              <w:spacing w:after="40" w:line="260"/>
            </w:pPr>
            <w:r>
              <w:rPr>
                <w:sz w:val="19"/>
                <w:szCs w:val="19"/>
              </w:rPr>
              <w:t xml:space="preserve">Tema, idioma e notificações</w:t>
            </w:r>
          </w:p>
        </w:tc>
        <w:tc>
          <w:tcPr>
            <w:tcW w:type="dxa" w:w="2500"/>
            <w:tcMar>
              <w:top w:type="dxa" w:w="100"/>
              <w:left w:type="dxa" w:w="140"/>
              <w:bottom w:type="dxa" w:w="100"/>
              <w:right w:type="dxa" w:w="140"/>
            </w:tcMar>
          </w:tcPr>
          <w:p>
            <w:pPr>
              <w:spacing w:after="40" w:line="260"/>
            </w:pPr>
            <w:r>
              <w:rPr>
                <w:sz w:val="19"/>
                <w:szCs w:val="19"/>
              </w:rPr>
              <w:t xml:space="preserve">Configurações</w:t>
            </w:r>
          </w:p>
        </w:tc>
        <w:tc>
          <w:tcPr>
            <w:tcW w:type="dxa" w:w="4360"/>
            <w:tcMar>
              <w:top w:type="dxa" w:w="100"/>
              <w:left w:type="dxa" w:w="140"/>
              <w:bottom w:type="dxa" w:w="100"/>
              <w:right w:type="dxa" w:w="140"/>
            </w:tcMar>
          </w:tcPr>
          <w:p>
            <w:pPr>
              <w:spacing w:after="40" w:line="260"/>
            </w:pPr>
            <w:r>
              <w:rPr>
                <w:sz w:val="19"/>
                <w:szCs w:val="19"/>
              </w:rPr>
              <w:t xml:space="preserve">Banco da API própria e localStorage do navegador</w:t>
            </w:r>
          </w:p>
        </w:tc>
      </w:tr>
      <w:tr>
        <w:tc>
          <w:tcPr>
            <w:tcW w:type="dxa" w:w="2500"/>
            <w:tcMar>
              <w:top w:type="dxa" w:w="100"/>
              <w:left w:type="dxa" w:w="140"/>
              <w:bottom w:type="dxa" w:w="100"/>
              <w:right w:type="dxa" w:w="140"/>
            </w:tcMar>
          </w:tcPr>
          <w:p>
            <w:pPr>
              <w:spacing w:after="40" w:line="260"/>
            </w:pPr>
            <w:r>
              <w:rPr>
                <w:sz w:val="19"/>
                <w:szCs w:val="19"/>
              </w:rPr>
              <w:t xml:space="preserve">Patrimônio declarado em reais, com observação em texto livre</w:t>
            </w:r>
          </w:p>
        </w:tc>
        <w:tc>
          <w:tcPr>
            <w:tcW w:type="dxa" w:w="2500"/>
            <w:tcMar>
              <w:top w:type="dxa" w:w="100"/>
              <w:left w:type="dxa" w:w="140"/>
              <w:bottom w:type="dxa" w:w="100"/>
              <w:right w:type="dxa" w:w="140"/>
            </w:tcMar>
          </w:tcPr>
          <w:p>
            <w:pPr>
              <w:spacing w:after="40" w:line="260"/>
            </w:pPr>
            <w:r>
              <w:rPr>
                <w:sz w:val="19"/>
                <w:szCs w:val="19"/>
              </w:rPr>
              <w:t xml:space="preserve">Modal de patrimônio</w:t>
            </w:r>
          </w:p>
        </w:tc>
        <w:tc>
          <w:tcPr>
            <w:tcW w:type="dxa" w:w="4360"/>
            <w:tcMar>
              <w:top w:type="dxa" w:w="100"/>
              <w:left w:type="dxa" w:w="140"/>
              <w:bottom w:type="dxa" w:w="100"/>
              <w:right w:type="dxa" w:w="140"/>
            </w:tcMar>
          </w:tcPr>
          <w:p>
            <w:pPr>
              <w:spacing w:after="40" w:line="260"/>
            </w:pPr>
            <w:r>
              <w:rPr>
                <w:sz w:val="19"/>
                <w:szCs w:val="19"/>
              </w:rPr>
              <w:t xml:space="preserve">Livro-caixa permanente na API própria, com conversão para dólar; gera transação espelho na base usada pelo motor de IA</w:t>
            </w:r>
          </w:p>
        </w:tc>
      </w:tr>
      <w:tr>
        <w:tc>
          <w:tcPr>
            <w:tcW w:type="dxa" w:w="2500"/>
            <w:tcMar>
              <w:top w:type="dxa" w:w="100"/>
              <w:left w:type="dxa" w:w="140"/>
              <w:bottom w:type="dxa" w:w="100"/>
              <w:right w:type="dxa" w:w="140"/>
            </w:tcMar>
          </w:tcPr>
          <w:p>
            <w:pPr>
              <w:spacing w:after="40" w:line="260"/>
            </w:pPr>
            <w:r>
              <w:rPr>
                <w:sz w:val="19"/>
                <w:szCs w:val="19"/>
              </w:rPr>
              <w:t xml:space="preserve">Token de autenticação (JWT)</w:t>
            </w:r>
          </w:p>
        </w:tc>
        <w:tc>
          <w:tcPr>
            <w:tcW w:type="dxa" w:w="2500"/>
            <w:tcMar>
              <w:top w:type="dxa" w:w="100"/>
              <w:left w:type="dxa" w:w="140"/>
              <w:bottom w:type="dxa" w:w="100"/>
              <w:right w:type="dxa" w:w="140"/>
            </w:tcMar>
          </w:tcPr>
          <w:p>
            <w:pPr>
              <w:spacing w:after="40" w:line="260"/>
            </w:pPr>
            <w:r>
              <w:rPr>
                <w:sz w:val="19"/>
                <w:szCs w:val="19"/>
              </w:rPr>
              <w:t xml:space="preserve">Gerado no login</w:t>
            </w:r>
          </w:p>
        </w:tc>
        <w:tc>
          <w:tcPr>
            <w:tcW w:type="dxa" w:w="4360"/>
            <w:tcMar>
              <w:top w:type="dxa" w:w="100"/>
              <w:left w:type="dxa" w:w="140"/>
              <w:bottom w:type="dxa" w:w="100"/>
              <w:right w:type="dxa" w:w="140"/>
            </w:tcMar>
          </w:tcPr>
          <w:p>
            <w:pPr>
              <w:spacing w:after="40" w:line="260"/>
            </w:pPr>
            <w:r>
              <w:rPr>
                <w:sz w:val="19"/>
                <w:szCs w:val="19"/>
              </w:rPr>
              <w:t xml:space="preserve">localStorage do navegador</w:t>
            </w:r>
          </w:p>
        </w:tc>
      </w:tr>
      <w:tr>
        <w:tc>
          <w:tcPr>
            <w:tcW w:type="dxa" w:w="2500"/>
            <w:tcMar>
              <w:top w:type="dxa" w:w="100"/>
              <w:left w:type="dxa" w:w="140"/>
              <w:bottom w:type="dxa" w:w="100"/>
              <w:right w:type="dxa" w:w="140"/>
            </w:tcMar>
          </w:tcPr>
          <w:p>
            <w:pPr>
              <w:spacing w:after="40" w:line="260"/>
            </w:pPr>
            <w:r>
              <w:rPr>
                <w:sz w:val="19"/>
                <w:szCs w:val="19"/>
              </w:rPr>
              <w:t xml:space="preserve">Cobrança Pix: código copia-e-cola, QR code, identificador no gateway, status e datas</w:t>
            </w:r>
          </w:p>
        </w:tc>
        <w:tc>
          <w:tcPr>
            <w:tcW w:type="dxa" w:w="2500"/>
            <w:tcMar>
              <w:top w:type="dxa" w:w="100"/>
              <w:left w:type="dxa" w:w="140"/>
              <w:bottom w:type="dxa" w:w="100"/>
              <w:right w:type="dxa" w:w="140"/>
            </w:tcMar>
          </w:tcPr>
          <w:p>
            <w:pPr>
              <w:spacing w:after="40" w:line="260"/>
            </w:pPr>
            <w:r>
              <w:rPr>
                <w:sz w:val="19"/>
                <w:szCs w:val="19"/>
              </w:rPr>
              <w:t xml:space="preserve">Contratação de plano</w:t>
            </w:r>
          </w:p>
        </w:tc>
        <w:tc>
          <w:tcPr>
            <w:tcW w:type="dxa" w:w="4360"/>
            <w:tcMar>
              <w:top w:type="dxa" w:w="100"/>
              <w:left w:type="dxa" w:w="140"/>
              <w:bottom w:type="dxa" w:w="100"/>
              <w:right w:type="dxa" w:w="140"/>
            </w:tcMar>
          </w:tcPr>
          <w:p>
            <w:pPr>
              <w:spacing w:after="40" w:line="260"/>
            </w:pPr>
            <w:r>
              <w:rPr>
                <w:sz w:val="19"/>
                <w:szCs w:val="19"/>
              </w:rPr>
              <w:t xml:space="preserve">Banco da API própria; a cobrança é criada no gateway</w:t>
            </w:r>
          </w:p>
        </w:tc>
      </w:tr>
      <w:tr>
        <w:tc>
          <w:tcPr>
            <w:tcW w:type="dxa" w:w="2500"/>
            <w:tcMar>
              <w:top w:type="dxa" w:w="100"/>
              <w:left w:type="dxa" w:w="140"/>
              <w:bottom w:type="dxa" w:w="100"/>
              <w:right w:type="dxa" w:w="140"/>
            </w:tcMar>
          </w:tcPr>
          <w:p>
            <w:pPr>
              <w:spacing w:after="40" w:line="260"/>
            </w:pPr>
            <w:r>
              <w:rPr>
                <w:sz w:val="19"/>
                <w:szCs w:val="19"/>
              </w:rPr>
              <w:t xml:space="preserve">Plano ativo e cargo de acesso</w:t>
            </w:r>
          </w:p>
        </w:tc>
        <w:tc>
          <w:tcPr>
            <w:tcW w:type="dxa" w:w="2500"/>
            <w:tcMar>
              <w:top w:type="dxa" w:w="100"/>
              <w:left w:type="dxa" w:w="140"/>
              <w:bottom w:type="dxa" w:w="100"/>
              <w:right w:type="dxa" w:w="140"/>
            </w:tcMar>
          </w:tcPr>
          <w:p>
            <w:pPr>
              <w:spacing w:after="40" w:line="260"/>
            </w:pPr>
            <w:r>
              <w:rPr>
                <w:sz w:val="19"/>
                <w:szCs w:val="19"/>
              </w:rPr>
              <w:t xml:space="preserve">Derivado da contratação</w:t>
            </w:r>
          </w:p>
        </w:tc>
        <w:tc>
          <w:tcPr>
            <w:tcW w:type="dxa" w:w="4360"/>
            <w:tcMar>
              <w:top w:type="dxa" w:w="100"/>
              <w:left w:type="dxa" w:w="140"/>
              <w:bottom w:type="dxa" w:w="100"/>
              <w:right w:type="dxa" w:w="140"/>
            </w:tcMar>
          </w:tcPr>
          <w:p>
            <w:pPr>
              <w:spacing w:after="40" w:line="260"/>
            </w:pPr>
            <w:r>
              <w:rPr>
                <w:sz w:val="19"/>
                <w:szCs w:val="19"/>
              </w:rPr>
              <w:t xml:space="preserve">Banco da API própria; o cargo vai como claim no token</w:t>
            </w:r>
          </w:p>
        </w:tc>
      </w:tr>
      <w:tr>
        <w:tc>
          <w:tcPr>
            <w:tcW w:type="dxa" w:w="2500"/>
            <w:tcMar>
              <w:top w:type="dxa" w:w="100"/>
              <w:left w:type="dxa" w:w="140"/>
              <w:bottom w:type="dxa" w:w="100"/>
              <w:right w:type="dxa" w:w="140"/>
            </w:tcMar>
          </w:tcPr>
          <w:p>
            <w:pPr>
              <w:spacing w:after="40" w:line="260"/>
            </w:pPr>
            <w:r>
              <w:rPr>
                <w:sz w:val="19"/>
                <w:szCs w:val="19"/>
              </w:rPr>
              <w:t xml:space="preserve">Logs de auditoria da aplicação</w:t>
            </w:r>
          </w:p>
        </w:tc>
        <w:tc>
          <w:tcPr>
            <w:tcW w:type="dxa" w:w="2500"/>
            <w:tcMar>
              <w:top w:type="dxa" w:w="100"/>
              <w:left w:type="dxa" w:w="140"/>
              <w:bottom w:type="dxa" w:w="100"/>
              <w:right w:type="dxa" w:w="140"/>
            </w:tcMar>
          </w:tcPr>
          <w:p>
            <w:pPr>
              <w:spacing w:after="40" w:line="260"/>
            </w:pPr>
            <w:r>
              <w:rPr>
                <w:sz w:val="19"/>
                <w:szCs w:val="19"/>
              </w:rPr>
              <w:t xml:space="preserve">Gerados pelo próprio sistema</w:t>
            </w:r>
          </w:p>
        </w:tc>
        <w:tc>
          <w:tcPr>
            <w:tcW w:type="dxa" w:w="4360"/>
            <w:tcMar>
              <w:top w:type="dxa" w:w="100"/>
              <w:left w:type="dxa" w:w="140"/>
              <w:bottom w:type="dxa" w:w="100"/>
              <w:right w:type="dxa" w:w="140"/>
            </w:tcMar>
          </w:tcPr>
          <w:p>
            <w:pPr>
              <w:spacing w:after="40" w:line="260"/>
            </w:pPr>
            <w:r>
              <w:rPr>
                <w:sz w:val="19"/>
                <w:szCs w:val="19"/>
              </w:rPr>
              <w:t xml:space="preserve">PostgreSQL em aparelho celular; retenção de 24 horas (ver nota 15)</w:t>
            </w:r>
          </w:p>
        </w:tc>
      </w:tr>
      <w:tr>
        <w:tc>
          <w:tcPr>
            <w:tcW w:type="dxa" w:w="2500"/>
            <w:tcMar>
              <w:top w:type="dxa" w:w="100"/>
              <w:left w:type="dxa" w:w="140"/>
              <w:bottom w:type="dxa" w:w="100"/>
              <w:right w:type="dxa" w:w="140"/>
            </w:tcMar>
          </w:tcPr>
          <w:p>
            <w:pPr>
              <w:spacing w:after="40" w:line="260"/>
            </w:pPr>
            <w:r>
              <w:rPr>
                <w:sz w:val="19"/>
                <w:szCs w:val="19"/>
              </w:rPr>
              <w:t xml:space="preserve">Escolha do banner de cookies</w:t>
            </w:r>
          </w:p>
        </w:tc>
        <w:tc>
          <w:tcPr>
            <w:tcW w:type="dxa" w:w="2500"/>
            <w:tcMar>
              <w:top w:type="dxa" w:w="100"/>
              <w:left w:type="dxa" w:w="140"/>
              <w:bottom w:type="dxa" w:w="100"/>
              <w:right w:type="dxa" w:w="140"/>
            </w:tcMar>
          </w:tcPr>
          <w:p>
            <w:pPr>
              <w:spacing w:after="40" w:line="260"/>
            </w:pPr>
            <w:r>
              <w:rPr>
                <w:sz w:val="19"/>
                <w:szCs w:val="19"/>
              </w:rPr>
              <w:t xml:space="preserve">Banner na home</w:t>
            </w:r>
          </w:p>
        </w:tc>
        <w:tc>
          <w:tcPr>
            <w:tcW w:type="dxa" w:w="4360"/>
            <w:tcMar>
              <w:top w:type="dxa" w:w="100"/>
              <w:left w:type="dxa" w:w="140"/>
              <w:bottom w:type="dxa" w:w="100"/>
              <w:right w:type="dxa" w:w="140"/>
            </w:tcMar>
          </w:tcPr>
          <w:p>
            <w:pPr>
              <w:spacing w:after="40" w:line="260"/>
            </w:pPr>
            <w:r>
              <w:rPr>
                <w:sz w:val="19"/>
                <w:szCs w:val="19"/>
              </w:rPr>
              <w:t xml:space="preserve">localStorage; não sai do navegador</w:t>
            </w:r>
          </w:p>
        </w:tc>
      </w:tr>
    </w:tbl>
    <w:p>
      <w:pPr>
        <w:spacing w:after="160" w:line="280"/>
      </w:pPr>
      <w:r>
        <w:rPr>
          <w:sz w:val="21"/>
          <w:szCs w:val="21"/>
        </w:rPr>
        <w:t xml:space="preserve"/>
      </w:r>
    </w:p>
    <w:p>
      <w:pPr>
        <w:spacing w:after="160" w:line="280"/>
      </w:pPr>
      <w:r>
        <w:rPr>
          <w:color w:val="5A5A5A"/>
          <w:sz w:val="21"/>
          <w:szCs w:val="21"/>
        </w:rPr>
        <w:t xml:space="preserve">Não há coleta de CPF, telefone, endereço nem documento de identidade em nenhuma das telas, e não existe campo de endereço de carteira. Não trafegam dados de cartão: a cobrança é por Pix, e o front apenas exibe o QR code que o backend devolve, sem nunca conversar com o gateway.</w:t>
      </w:r>
    </w:p>
    <w:p>
      <w:pPr>
        <w:spacing w:after="160" w:line="280"/>
      </w:pPr>
      <w:r>
        <w:rPr>
          <w:color w:val="5A5A5A"/>
          <w:sz w:val="21"/>
          <w:szCs w:val="21"/>
        </w:rPr>
        <w:t xml:space="preserve">O banco do motor de IA (Python) não guarda dados pessoais: são séries de preço, indicadores de mercado, pesos de rede neural e métricas de treino. O único ponto de contato com dado do titular é o saldo de patrimônio injetado na base de decisões, descrito na nota 13.</w:t>
      </w:r>
    </w:p>
    <w:p>
      <w:r>
        <w:br w:type="page"/>
      </w:r>
    </w:p>
    <w:p>
      <w:pPr>
        <w:pStyle w:val="Heading1"/>
        <w:spacing w:after="200" w:before="360"/>
      </w:pPr>
      <w:r>
        <w:rPr>
          <w:b/>
          <w:bCs/>
          <w:color w:val="1A1A1A"/>
          <w:sz w:val="30"/>
          <w:szCs w:val="30"/>
        </w:rPr>
        <w:t xml:space="preserve">Anexo B — Terceiros envolvidos no tratamento</w:t>
      </w:r>
    </w:p>
    <w:p>
      <w:pPr>
        <w:spacing w:after="240" w:line="280"/>
      </w:pPr>
      <w:r>
        <w:rPr>
          <w:color w:val="5A5A5A"/>
          <w:sz w:val="21"/>
          <w:szCs w:val="21"/>
        </w:rPr>
        <w:t xml:space="preserve">Nenhum dos cinco é nomeado na Política de Privacidade, que menciona apenas "parceiros de infraestrutura (hospedagem, autenticação)".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EFEFEF" w:val="clear"/>
            <w:tcMar>
              <w:top w:type="dxa" w:w="100"/>
              <w:left w:type="dxa" w:w="140"/>
              <w:bottom w:type="dxa" w:w="100"/>
              <w:right w:type="dxa" w:w="140"/>
            </w:tcMar>
          </w:tcPr>
          <w:p>
            <w:pPr>
              <w:spacing w:after="40" w:line="260"/>
            </w:pPr>
            <w:r>
              <w:rPr>
                <w:b/>
                <w:bCs/>
                <w:sz w:val="19"/>
                <w:szCs w:val="19"/>
              </w:rPr>
              <w:t xml:space="preserve">Terceiro</w:t>
            </w:r>
          </w:p>
        </w:tc>
        <w:tc>
          <w:tcPr>
            <w:tcW w:type="dxa" w:w="3600"/>
            <w:shd w:fill="EFEFEF" w:val="clear"/>
            <w:tcMar>
              <w:top w:type="dxa" w:w="100"/>
              <w:left w:type="dxa" w:w="140"/>
              <w:bottom w:type="dxa" w:w="100"/>
              <w:right w:type="dxa" w:w="140"/>
            </w:tcMar>
          </w:tcPr>
          <w:p>
            <w:pPr>
              <w:spacing w:after="40" w:line="260"/>
            </w:pPr>
            <w:r>
              <w:rPr>
                <w:b/>
                <w:bCs/>
                <w:sz w:val="19"/>
                <w:szCs w:val="19"/>
              </w:rPr>
              <w:t xml:space="preserve">Papel</w:t>
            </w:r>
          </w:p>
        </w:tc>
        <w:tc>
          <w:tcPr>
            <w:tcW w:type="dxa" w:w="3560"/>
            <w:shd w:fill="EFEFEF" w:val="clear"/>
            <w:tcMar>
              <w:top w:type="dxa" w:w="100"/>
              <w:left w:type="dxa" w:w="140"/>
              <w:bottom w:type="dxa" w:w="100"/>
              <w:right w:type="dxa" w:w="140"/>
            </w:tcMar>
          </w:tcPr>
          <w:p>
            <w:pPr>
              <w:spacing w:after="40" w:line="260"/>
            </w:pPr>
            <w:r>
              <w:rPr>
                <w:b/>
                <w:bCs/>
                <w:sz w:val="19"/>
                <w:szCs w:val="19"/>
              </w:rPr>
              <w:t xml:space="preserve">O que trafega</w:t>
            </w:r>
          </w:p>
        </w:tc>
      </w:tr>
      <w:tr>
        <w:tc>
          <w:tcPr>
            <w:tcW w:type="dxa" w:w="2200"/>
            <w:tcMar>
              <w:top w:type="dxa" w:w="100"/>
              <w:left w:type="dxa" w:w="140"/>
              <w:bottom w:type="dxa" w:w="100"/>
              <w:right w:type="dxa" w:w="140"/>
            </w:tcMar>
          </w:tcPr>
          <w:p>
            <w:pPr>
              <w:spacing w:after="40" w:line="260"/>
            </w:pPr>
            <w:r>
              <w:rPr>
                <w:sz w:val="19"/>
                <w:szCs w:val="19"/>
              </w:rPr>
              <w:t xml:space="preserve">Vercel</w:t>
            </w:r>
          </w:p>
        </w:tc>
        <w:tc>
          <w:tcPr>
            <w:tcW w:type="dxa" w:w="3600"/>
            <w:tcMar>
              <w:top w:type="dxa" w:w="100"/>
              <w:left w:type="dxa" w:w="140"/>
              <w:bottom w:type="dxa" w:w="100"/>
              <w:right w:type="dxa" w:w="140"/>
            </w:tcMar>
          </w:tcPr>
          <w:p>
            <w:pPr>
              <w:spacing w:after="40" w:line="260"/>
            </w:pPr>
            <w:r>
              <w:rPr>
                <w:sz w:val="19"/>
                <w:szCs w:val="19"/>
              </w:rPr>
              <w:t xml:space="preserve">Hospedagem da aplicação web</w:t>
            </w:r>
          </w:p>
        </w:tc>
        <w:tc>
          <w:tcPr>
            <w:tcW w:type="dxa" w:w="3560"/>
            <w:tcMar>
              <w:top w:type="dxa" w:w="100"/>
              <w:left w:type="dxa" w:w="140"/>
              <w:bottom w:type="dxa" w:w="100"/>
              <w:right w:type="dxa" w:w="140"/>
            </w:tcMar>
          </w:tcPr>
          <w:p>
            <w:pPr>
              <w:spacing w:after="40" w:line="260"/>
            </w:pPr>
            <w:r>
              <w:rPr>
                <w:sz w:val="19"/>
                <w:szCs w:val="19"/>
              </w:rPr>
              <w:t xml:space="preserve">Todo o acesso do usuário à plataforma</w:t>
            </w:r>
          </w:p>
        </w:tc>
      </w:tr>
      <w:tr>
        <w:tc>
          <w:tcPr>
            <w:tcW w:type="dxa" w:w="2200"/>
            <w:tcMar>
              <w:top w:type="dxa" w:w="100"/>
              <w:left w:type="dxa" w:w="140"/>
              <w:bottom w:type="dxa" w:w="100"/>
              <w:right w:type="dxa" w:w="140"/>
            </w:tcMar>
          </w:tcPr>
          <w:p>
            <w:pPr>
              <w:spacing w:after="40" w:line="260"/>
            </w:pPr>
            <w:r>
              <w:rPr>
                <w:sz w:val="19"/>
                <w:szCs w:val="19"/>
              </w:rPr>
              <w:t xml:space="preserve">AbacatePay</w:t>
            </w:r>
          </w:p>
        </w:tc>
        <w:tc>
          <w:tcPr>
            <w:tcW w:type="dxa" w:w="3600"/>
            <w:tcMar>
              <w:top w:type="dxa" w:w="100"/>
              <w:left w:type="dxa" w:w="140"/>
              <w:bottom w:type="dxa" w:w="100"/>
              <w:right w:type="dxa" w:w="140"/>
            </w:tcMar>
          </w:tcPr>
          <w:p>
            <w:pPr>
              <w:spacing w:after="40" w:line="260"/>
            </w:pPr>
            <w:r>
              <w:rPr>
                <w:sz w:val="19"/>
                <w:szCs w:val="19"/>
              </w:rPr>
              <w:t xml:space="preserve">Gateway de cobrança Pix</w:t>
            </w:r>
          </w:p>
        </w:tc>
        <w:tc>
          <w:tcPr>
            <w:tcW w:type="dxa" w:w="3560"/>
            <w:tcMar>
              <w:top w:type="dxa" w:w="100"/>
              <w:left w:type="dxa" w:w="140"/>
              <w:bottom w:type="dxa" w:w="100"/>
              <w:right w:type="dxa" w:w="140"/>
            </w:tcMar>
          </w:tcPr>
          <w:p>
            <w:pPr>
              <w:spacing w:after="40" w:line="260"/>
            </w:pPr>
            <w:r>
              <w:rPr>
                <w:sz w:val="19"/>
                <w:szCs w:val="19"/>
              </w:rPr>
              <w:t xml:space="preserve">Criação da cobrança e confirmação de pagamento, por webhook. Acionado pelo backend; o front nunca fala com ele</w:t>
            </w:r>
          </w:p>
        </w:tc>
      </w:tr>
      <w:tr>
        <w:tc>
          <w:tcPr>
            <w:tcW w:type="dxa" w:w="2200"/>
            <w:tcMar>
              <w:top w:type="dxa" w:w="100"/>
              <w:left w:type="dxa" w:w="140"/>
              <w:bottom w:type="dxa" w:w="100"/>
              <w:right w:type="dxa" w:w="140"/>
            </w:tcMar>
          </w:tcPr>
          <w:p>
            <w:pPr>
              <w:spacing w:after="40" w:line="260"/>
            </w:pPr>
            <w:r>
              <w:rPr>
                <w:sz w:val="19"/>
                <w:szCs w:val="19"/>
              </w:rPr>
              <w:t xml:space="preserve">AwesomeAPI</w:t>
            </w:r>
          </w:p>
        </w:tc>
        <w:tc>
          <w:tcPr>
            <w:tcW w:type="dxa" w:w="3600"/>
            <w:tcMar>
              <w:top w:type="dxa" w:w="100"/>
              <w:left w:type="dxa" w:w="140"/>
              <w:bottom w:type="dxa" w:w="100"/>
              <w:right w:type="dxa" w:w="140"/>
            </w:tcMar>
          </w:tcPr>
          <w:p>
            <w:pPr>
              <w:spacing w:after="40" w:line="260"/>
            </w:pPr>
            <w:r>
              <w:rPr>
                <w:sz w:val="19"/>
                <w:szCs w:val="19"/>
              </w:rPr>
              <w:t xml:space="preserve">Cotação do dólar</w:t>
            </w:r>
          </w:p>
        </w:tc>
        <w:tc>
          <w:tcPr>
            <w:tcW w:type="dxa" w:w="3560"/>
            <w:tcMar>
              <w:top w:type="dxa" w:w="100"/>
              <w:left w:type="dxa" w:w="140"/>
              <w:bottom w:type="dxa" w:w="100"/>
              <w:right w:type="dxa" w:w="140"/>
            </w:tcMar>
          </w:tcPr>
          <w:p>
            <w:pPr>
              <w:spacing w:after="40" w:line="260"/>
            </w:pPr>
            <w:r>
              <w:rPr>
                <w:sz w:val="19"/>
                <w:szCs w:val="19"/>
              </w:rPr>
              <w:t xml:space="preserve">Consultada a cada aporte de patrimônio, para converter o valor em dólar</w:t>
            </w:r>
          </w:p>
        </w:tc>
      </w:tr>
      <w:tr>
        <w:tc>
          <w:tcPr>
            <w:tcW w:type="dxa" w:w="2200"/>
            <w:tcMar>
              <w:top w:type="dxa" w:w="100"/>
              <w:left w:type="dxa" w:w="140"/>
              <w:bottom w:type="dxa" w:w="100"/>
              <w:right w:type="dxa" w:w="140"/>
            </w:tcMar>
          </w:tcPr>
          <w:p>
            <w:pPr>
              <w:spacing w:after="40" w:line="260"/>
            </w:pPr>
            <w:r>
              <w:rPr>
                <w:sz w:val="19"/>
                <w:szCs w:val="19"/>
              </w:rPr>
              <w:t xml:space="preserve">Resend</w:t>
            </w:r>
          </w:p>
        </w:tc>
        <w:tc>
          <w:tcPr>
            <w:tcW w:type="dxa" w:w="3600"/>
            <w:tcMar>
              <w:top w:type="dxa" w:w="100"/>
              <w:left w:type="dxa" w:w="140"/>
              <w:bottom w:type="dxa" w:w="100"/>
              <w:right w:type="dxa" w:w="140"/>
            </w:tcMar>
          </w:tcPr>
          <w:p>
            <w:pPr>
              <w:spacing w:after="40" w:line="260"/>
            </w:pPr>
            <w:r>
              <w:rPr>
                <w:sz w:val="19"/>
                <w:szCs w:val="19"/>
              </w:rPr>
              <w:t xml:space="preserve">Envio de e-mails transacionais</w:t>
            </w:r>
          </w:p>
        </w:tc>
        <w:tc>
          <w:tcPr>
            <w:tcW w:type="dxa" w:w="3560"/>
            <w:tcMar>
              <w:top w:type="dxa" w:w="100"/>
              <w:left w:type="dxa" w:w="140"/>
              <w:bottom w:type="dxa" w:w="100"/>
              <w:right w:type="dxa" w:w="140"/>
            </w:tcMar>
          </w:tcPr>
          <w:p>
            <w:pPr>
              <w:spacing w:after="40" w:line="260"/>
            </w:pPr>
            <w:r>
              <w:rPr>
                <w:sz w:val="19"/>
                <w:szCs w:val="19"/>
              </w:rPr>
              <w:t xml:space="preserve">Recuperação de senha e boas-vindas; endereço de e-mail do titular</w:t>
            </w:r>
          </w:p>
        </w:tc>
      </w:tr>
      <w:tr>
        <w:tc>
          <w:tcPr>
            <w:tcW w:type="dxa" w:w="2200"/>
            <w:tcMar>
              <w:top w:type="dxa" w:w="100"/>
              <w:left w:type="dxa" w:w="140"/>
              <w:bottom w:type="dxa" w:w="100"/>
              <w:right w:type="dxa" w:w="140"/>
            </w:tcMar>
          </w:tcPr>
          <w:p>
            <w:pPr>
              <w:spacing w:after="40" w:line="260"/>
            </w:pPr>
            <w:r>
              <w:rPr>
                <w:sz w:val="19"/>
                <w:szCs w:val="19"/>
              </w:rPr>
              <w:t xml:space="preserve">Google</w:t>
            </w:r>
          </w:p>
        </w:tc>
        <w:tc>
          <w:tcPr>
            <w:tcW w:type="dxa" w:w="3600"/>
            <w:tcMar>
              <w:top w:type="dxa" w:w="100"/>
              <w:left w:type="dxa" w:w="140"/>
              <w:bottom w:type="dxa" w:w="100"/>
              <w:right w:type="dxa" w:w="140"/>
            </w:tcMar>
          </w:tcPr>
          <w:p>
            <w:pPr>
              <w:spacing w:after="40" w:line="260"/>
            </w:pPr>
            <w:r>
              <w:rPr>
                <w:sz w:val="19"/>
                <w:szCs w:val="19"/>
              </w:rPr>
              <w:t xml:space="preserve">Biblioteca de gráficos e fontes</w:t>
            </w:r>
          </w:p>
        </w:tc>
        <w:tc>
          <w:tcPr>
            <w:tcW w:type="dxa" w:w="3560"/>
            <w:tcMar>
              <w:top w:type="dxa" w:w="100"/>
              <w:left w:type="dxa" w:w="140"/>
              <w:bottom w:type="dxa" w:w="100"/>
              <w:right w:type="dxa" w:w="140"/>
            </w:tcMar>
          </w:tcPr>
          <w:p>
            <w:pPr>
              <w:spacing w:after="40" w:line="260"/>
            </w:pPr>
            <w:r>
              <w:rPr>
                <w:sz w:val="19"/>
                <w:szCs w:val="19"/>
              </w:rPr>
              <w:t xml:space="preserve">Carregados pelo navegador do usuário na tela de heatmap e em todas as páginas; expõe endereço IP e cabeçalhos ao provedor</w:t>
            </w:r>
          </w:p>
        </w:tc>
      </w:tr>
    </w:tbl>
    <w:p>
      <w:pPr>
        <w:spacing w:after="200" w:line="280"/>
      </w:pPr>
      <w:r>
        <w:rPr>
          <w:sz w:val="21"/>
          <w:szCs w:val="21"/>
        </w:rPr>
        <w:t xml:space="preserve"/>
      </w:r>
    </w:p>
    <w:p>
      <w:pPr>
        <w:spacing w:after="160" w:line="280"/>
      </w:pPr>
      <w:r>
        <w:rPr>
          <w:color w:val="5A5A5A"/>
          <w:sz w:val="21"/>
          <w:szCs w:val="21"/>
        </w:rPr>
        <w:t xml:space="preserve">Sobre o gateway: a documentação descreve o envio do valor e do método de cobrança, sem indicar repasse de dados cadastrais do titular. Confirmar diretamente com o AbacatePay o que é exigido e retido do lado deles é um passo que a revisão provavelmente vai querer.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ThinkBitcoin — Política de Privacidade e Termos de Uso — para revisão jurídica</dc:title>
  <dc:creator>ThinkBitcoin</dc:creator>
  <dc:description>Transcrição do texto publicado e levantamento técnico de divergências</dc:description>
  <cp:lastModifiedBy>Un-named</cp:lastModifiedBy>
  <cp:revision>1</cp:revision>
  <dcterms:created xsi:type="dcterms:W3CDTF">2026-08-03T10:33:47.553Z</dcterms:created>
  <dcterms:modified xsi:type="dcterms:W3CDTF">2026-08-03T10:33:47.554Z</dcterms:modified>
</cp:coreProperties>
</file>

<file path=docProps/custom.xml><?xml version="1.0" encoding="utf-8"?>
<Properties xmlns="http://schemas.openxmlformats.org/officeDocument/2006/custom-properties" xmlns:vt="http://schemas.openxmlformats.org/officeDocument/2006/docPropsVTypes"/>
</file>