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-711" w:firstLine="138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TERMO DE VINCULAÇÃO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393700</wp:posOffset>
                </wp:positionV>
                <wp:extent cx="6350" cy="127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87510" y="3776825"/>
                          <a:ext cx="6316980" cy="6350"/>
                        </a:xfrm>
                        <a:custGeom>
                          <a:rect b="b" l="l" r="r" t="t"/>
                          <a:pathLst>
                            <a:path extrusionOk="0" h="6350" w="6316980">
                              <a:moveTo>
                                <a:pt x="63167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16726" y="6096"/>
                              </a:lnTo>
                              <a:lnTo>
                                <a:pt x="6316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393700</wp:posOffset>
                </wp:positionV>
                <wp:extent cx="6350" cy="12700"/>
                <wp:effectExtent b="0" l="0" r="0" t="0"/>
                <wp:wrapNone/>
                <wp:docPr id="2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4.0" w:type="dxa"/>
        <w:jc w:val="left"/>
        <w:tblInd w:w="568.0" w:type="dxa"/>
        <w:tblBorders>
          <w:top w:color="bebebe" w:space="0" w:sz="4" w:val="single"/>
          <w:left w:color="bebebe" w:space="0" w:sz="4" w:val="single"/>
          <w:bottom w:color="bebebe" w:space="0" w:sz="4" w:val="single"/>
          <w:right w:color="bebebe" w:space="0" w:sz="4" w:val="single"/>
          <w:insideH w:color="bebebe" w:space="0" w:sz="4" w:val="single"/>
          <w:insideV w:color="bebebe" w:space="0" w:sz="4" w:val="single"/>
        </w:tblBorders>
        <w:tblLayout w:type="fixed"/>
        <w:tblLook w:val="0000"/>
      </w:tblPr>
      <w:tblGrid>
        <w:gridCol w:w="3255"/>
        <w:gridCol w:w="6109"/>
        <w:tblGridChange w:id="0">
          <w:tblGrid>
            <w:gridCol w:w="3255"/>
            <w:gridCol w:w="6109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gridSpan w:val="2"/>
            <w:tcBorders>
              <w:bottom w:color="bebebe" w:space="0" w:sz="4" w:val="single"/>
            </w:tcBorders>
            <w:shd w:fill="d9d9d9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CORRETOR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bebebe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NOME/RAZÃO SOCIAL:</w:t>
            </w:r>
          </w:p>
        </w:tc>
        <w:tc>
          <w:tcPr>
            <w:tcBorders>
              <w:top w:color="bebebe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CNPJ/CPF sob o nº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2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bottom w:color="bebebe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3398" cy="123091"/>
                  <wp:effectExtent b="0" l="0" r="0" t="0"/>
                  <wp:docPr id="2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98" cy="123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SEDE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4224" cy="123091"/>
                  <wp:effectExtent b="0" l="0" r="0" t="0"/>
                  <wp:docPr id="2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24" cy="123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FILIAL</w:t>
            </w:r>
          </w:p>
        </w:tc>
        <w:tc>
          <w:tcPr>
            <w:tcBorders>
              <w:bottom w:color="bebebe" w:space="0" w:sz="4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2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2"/>
            <w:tcBorders>
              <w:bottom w:color="d0cece" w:space="0" w:sz="4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REPRESENTAÇÃO: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Neste ato representada em conformidade com seu Contrato/Estatuto Social.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2"/>
            <w:tcBorders>
              <w:top w:color="d0cece" w:space="0" w:sz="4" w:val="single"/>
              <w:left w:color="000000" w:space="0" w:sz="0" w:val="nil"/>
              <w:bottom w:color="d0cece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tcBorders>
              <w:top w:color="d0cece" w:space="0" w:sz="4" w:val="single"/>
              <w:bottom w:color="bebebe" w:space="0" w:sz="8" w:val="single"/>
            </w:tcBorders>
            <w:shd w:fill="e7e6e6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ASSESORIA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tcBorders>
              <w:top w:color="000000" w:space="0" w:sz="0" w:val="nil"/>
              <w:bottom w:color="bebebe" w:space="0" w:sz="8" w:val="single"/>
              <w:right w:color="d0cece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NOME/RAZÃO SOCIAL:</w:t>
            </w:r>
          </w:p>
        </w:tc>
        <w:tc>
          <w:tcPr>
            <w:tcBorders>
              <w:top w:color="000000" w:space="0" w:sz="0" w:val="nil"/>
              <w:left w:color="d0cece" w:space="0" w:sz="4" w:val="single"/>
              <w:bottom w:color="bebebe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NOVA AFFINITY CORRETORA DE SEGUROS LTDA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tcBorders>
              <w:top w:color="000000" w:space="0" w:sz="0" w:val="nil"/>
              <w:bottom w:color="bebebe" w:space="0" w:sz="8" w:val="single"/>
              <w:right w:color="d0cece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CNPJ/CPF sob o nº</w:t>
            </w:r>
          </w:p>
        </w:tc>
        <w:tc>
          <w:tcPr>
            <w:tcBorders>
              <w:top w:color="000000" w:space="0" w:sz="0" w:val="nil"/>
              <w:left w:color="d0cece" w:space="0" w:sz="4" w:val="single"/>
              <w:bottom w:color="bebebe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13.843.895/0001-78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tcBorders>
              <w:top w:color="000000" w:space="0" w:sz="0" w:val="nil"/>
              <w:bottom w:color="bebebe" w:space="0" w:sz="8" w:val="single"/>
              <w:right w:color="d0cece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3398" cy="123091"/>
                  <wp:effectExtent b="0" l="0" r="0" t="0"/>
                  <wp:docPr id="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98" cy="123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SEDE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4224" cy="123091"/>
                  <wp:effectExtent b="0" l="0" r="0" t="0"/>
                  <wp:docPr id="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24" cy="123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FILIAL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0cece" w:space="0" w:sz="4" w:val="single"/>
              <w:bottom w:color="bebebe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PRAÇA DOM JOSÉ GASPAR, 30 – 11º ANDAR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tcBorders>
              <w:top w:color="bebebe" w:space="0" w:sz="8" w:val="single"/>
              <w:bottom w:color="d0cece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REPRESENTAÇÃO: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Neste ato representada em conformidade com seu Contrato/Estatuto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tcBorders>
              <w:top w:color="d0cece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tcBorders>
              <w:top w:color="000000" w:space="0" w:sz="0" w:val="nil"/>
              <w:bottom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INTERVENIENTE ANUENTE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bebebe" w:space="0" w:sz="8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RAZÃO SOCIAL:</w:t>
            </w:r>
          </w:p>
        </w:tc>
        <w:tc>
          <w:tcPr>
            <w:tcBorders>
              <w:top w:color="bebebe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AMIL ASSISTÊNCIA MÉDICA INTERNACIONAL S.A.</w:t>
            </w:r>
          </w:p>
        </w:tc>
      </w:tr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CNPJ/MF sob o N°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2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29.309.127/0001-79</w:t>
            </w:r>
          </w:p>
        </w:tc>
      </w:tr>
      <w:tr>
        <w:trPr>
          <w:cantSplit w:val="0"/>
          <w:trHeight w:val="1209" w:hRule="atLeast"/>
          <w:tblHeader w:val="0"/>
        </w:trPr>
        <w:tc>
          <w:tcPr>
            <w:tcBorders>
              <w:bottom w:color="bebebe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3906" cy="113622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06" cy="113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SEDE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4804" cy="113622"/>
                  <wp:effectExtent b="0" l="0" r="0" t="0"/>
                  <wp:docPr id="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4" cy="113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FILIAL</w:t>
            </w:r>
          </w:p>
        </w:tc>
        <w:tc>
          <w:tcPr>
            <w:tcBorders>
              <w:bottom w:color="bebebe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2" w:right="24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Rua Arquiteto Olavo Redig de Campos, n° 105 - Andar 6 ao 21 - Torre B Empreendimento Ez Towers – Vila São Francisco (Zona Sul) – São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2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Paulo/SP – CEP: 04.711-904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tcBorders>
              <w:bottom w:color="d0cece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42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REPRESENTAÇÃO: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Neste ato representada em conformidade com seu Estatuto Social.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tcBorders>
              <w:top w:color="d0cece" w:space="0" w:sz="4" w:val="single"/>
              <w:left w:color="000000" w:space="0" w:sz="0" w:val="nil"/>
              <w:bottom w:color="d0cece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tcBorders>
              <w:top w:color="d0cece" w:space="0" w:sz="4" w:val="single"/>
              <w:left w:color="a6a6a6" w:space="0" w:sz="4" w:val="single"/>
              <w:bottom w:color="a6a6a6" w:space="0" w:sz="8" w:val="single"/>
              <w:right w:color="a6a6a6" w:space="0" w:sz="4" w:val="single"/>
            </w:tcBorders>
            <w:shd w:fill="d9d9d9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ANEXOS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tcBorders>
              <w:top w:color="a6a6a6" w:space="0" w:sz="8" w:val="single"/>
              <w:left w:color="a6a6a6" w:space="0" w:sz="4" w:val="single"/>
              <w:bottom w:color="d0cece" w:space="0" w:sz="4" w:val="single"/>
              <w:right w:color="a6a6a6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 I – REGRAS DE REMUNERAÇÃO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tcBorders>
              <w:top w:color="d0cece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42" w:right="0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 E DATA DE ASSINATURA:</w:t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42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São Paulo/SP, 01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 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julho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202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567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conjunto, denominadas “Partes”.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56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567" w:right="-567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Considerando que o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CORRETOR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possui o interesse de usufruir do apoio técnico operacional da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ASSESSORIA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através de seus serviços de prospecção, cadastro e atendimento no que se refere à prestação de orientações gerais quanto às normas de aceitação de beneficiários e elegibilidade, bem como intermediação das relações entre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CORRETOR/BROKER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INTERVENIENTE ANUENTE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as partes decidem firmar o presente termo de vinculação com as seguintes cláusulas e condições:</w:t>
      </w:r>
    </w:p>
    <w:p w:rsidR="00000000" w:rsidDel="00000000" w:rsidP="00000000" w:rsidRDefault="00000000" w:rsidRPr="00000000" w14:paraId="0000003B">
      <w:pPr>
        <w:tabs>
          <w:tab w:val="left" w:leader="none" w:pos="851"/>
        </w:tabs>
        <w:spacing w:line="360" w:lineRule="auto"/>
        <w:ind w:left="567" w:right="-567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presente Termo de Vinculação tem como objeto regular as condições para a atuação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CORRETOR,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meio da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ASSESSORIA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junto à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INTERVENIENE ANUENTE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CORRETOR,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partir da assinatura do presente termo, anui integralmente com os termos do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Autorização para Comercialização de Produto e Uso da Marca (“Contrato Broker”) firmado entre 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ASSESSORIA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INTERVENIENE ANUENTE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993"/>
          <w:tab w:val="left" w:leader="none" w:pos="1134"/>
          <w:tab w:val="left" w:leader="none" w:pos="1418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vigência deste termo está condicionada a vigência do Contrato referido acima.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20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CORRETOR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ratifica sua responsabilidade perante 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INTERVENIENE ANUENTE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terceiros no que se refere às atividades inerentes à comercialização dos produtos e uso das marcas dessa, respondendo pelos danos que vier eventualmente a causar no que se refere a tais atividades.</w:t>
      </w:r>
    </w:p>
    <w:p w:rsidR="00000000" w:rsidDel="00000000" w:rsidP="00000000" w:rsidRDefault="00000000" w:rsidRPr="00000000" w14:paraId="00000043">
      <w:pPr>
        <w:tabs>
          <w:tab w:val="left" w:leader="none" w:pos="851"/>
        </w:tabs>
        <w:spacing w:line="360" w:lineRule="auto"/>
        <w:ind w:left="567" w:right="-567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3.1.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CORRETOR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declara, sob as penas da lei, que os atos autorizados em decorrência desta vinculação apenas e tão somente serão realizados por pessoas expressamente autorizadas e desde que estejam em pleno gozo de nossas prerrogativas profissionais.</w:t>
      </w:r>
    </w:p>
    <w:p w:rsidR="00000000" w:rsidDel="00000000" w:rsidP="00000000" w:rsidRDefault="00000000" w:rsidRPr="00000000" w14:paraId="00000044">
      <w:pPr>
        <w:tabs>
          <w:tab w:val="left" w:leader="none" w:pos="851"/>
        </w:tabs>
        <w:spacing w:line="360" w:lineRule="auto"/>
        <w:ind w:left="567" w:right="-567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CORRETOR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possui ciência e concorda que sua remuneração seguirá o disposto no Termo de Remuneração, que constitui o Anexo I a este instrumento, sendo certo que será orientada pelos critérios objetivos de avaliação ali elencados. Todavia, fica certo entre as partes que poderá haver, a qualquer tempo, alteração da classificação de comissionamento da categoria atual (Anexo I), mediante notificação da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ASSESSORIA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e/ou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INTERVENIENE ANUENTE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567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4.1.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Os critérios de remuneração previstos no Anexo I aplicam-se às hipóteses de comercialização de produtos da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INTERVENIENE ANUENTE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o segmento PME, isto é, para contratos coletivos empresariais que possuam de 2 (duas) a 99 (noventa e nove) vidas.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4.2.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 regras previstas neste instrumento não se aplicam para as hipóteses de intermediação pelo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CORRETOR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contratos coletivos empresariais do segmento corporativo, com 100 ou mais vidas. Para tais situações, as condições de remuneração deverão ser negociadas caso a caso entre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INTERVENIENE ANUENTE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CORRETOR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sem que haja qualquer participação da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ASSESSORIA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As Partes estão cientes que qualquer pagamento somente será realizado após a avaliação pela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INTERVENIENE ANUENTE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das informações e documentos relacionados à nomeação mencionada, podendo 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INTERVENIENE ANUENTE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solicitar quaisquer informações ou documentos que julgar necessários.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distrato do presente termo poderá ser feito a qualquer tempo, por iniciativa de qualquer das Partes, mediante solicitação por escrito com 30 (trinta) dias de antecedência a ser dirigida à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ASSESSORIA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CÓDIGO DE CONDUTA DA INTERVENIENTE ANUENTE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6.1.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CORRETOR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declara ter ciência e observar os termos do Código de Conduta Para Parceiros de Negócio, onde estão dispostos os princípios gerais de Ética e Integridade da INTERVENIENTE ANUENTE, bem como as melhores práticas para realização do negócio objeto deste termo.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6.2.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Os documentos mencionados nesta cláusula encontram-se disponibilizados pela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INTERVENIENTE ANUENTE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 meio de seu website</w:t>
      </w: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rFonts w:ascii="Verdana" w:cs="Verdana" w:eastAsia="Verdana" w:hAnsi="Verdana"/>
            <w:b w:val="0"/>
            <w:i w:val="1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https://institucional.amil.com.br/etica-compliance</w:t>
        </w:r>
      </w:hyperlink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comprometendo-se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CORRETOR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observá-los e cumpri-los integralmente, em especial no que tange à interação com agentes do governo. 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6.3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Durante a vigência deste Termo, as Partes se comprometem a: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 A.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Respeitar e fazer cumprir toda a legislação ambiental vigente; não empregar trabalhadores menores de 16 (dezesseis) anos de idade, salvo na condição de aprendizes a partir de 14 (quatorze) anos, bem como não empregar adolescentes de até 18 (dezoito) anos de idade em locais prejudiciais à sua formação e ao seu desenvolvimento; de forma alguma adotar práticas de trabalho análogo ao escravo e trabalho ilegal de crianças e adolescentes no cumprimento do presente Contrato.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 B.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 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Cumprir todas e quaisquer políticas estabelecidas, leis e regulamentos anticorrupção e antissuborno, incluindo, mas não se limitando, a Lei Federal nº 12.846/2013 (Lei Brasileira Anticorrupção), e demais legislações, comprometendo-se o CORRETOR em manter ou criar políticas e processos para promover o cumprimento dessas leis e regulamentos, bem como implementar um programa de integridade caso não exista.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 C.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Não solicitar, sugerir, dar, oferecer, prometer ou pagar, direta ou indiretamente através de terceiros, qualquer item de valor (exemplos: pagamentos em dinheiro, entretenimentos, presentes, hospitalidades, contribuições políticas, produtos ou serviços, etc.) para qualquer agente público ou privado, com o objetivo de influenciar indevidamente qualquer ato, decisão ou concessão, ou para garantir uma vantagem imprópria.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não observância das obrigações previstas nesta cláusula de Compliance poderá ensejar o pleito de deste termo com possível reparação de perdas e danos pela parte prejudicada.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851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E.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CORRETOR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concede, desde já, à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INTERVENIENTE ANUENTE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 direito de auditar os livros e registros do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CORRETOR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fins exclusivamente de verificar o cumprimento desta cláusula. A realização desta auditoria estará condicionada à prévia notificação da parte solicitante, bem como agenda definida em comum acordo entre as Partes.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567" w:right="-567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Partes reconhecem a forma de acordos por meios eletrônicos, digitais e informáticos como válida e plenamente eficaz, ainda que seja estabelecida com assinatura eletrônica ou certificação fora dos padrões ICP-BRASIL, conforme disposto pelo art. 10 da Medida Provisória nº 2.200/2001 em vigor no Brasil.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284" w:firstLine="0"/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CORRETOR(A):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4" w:right="-177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2.0" w:type="dxa"/>
        <w:jc w:val="left"/>
        <w:tblInd w:w="-142.0" w:type="dxa"/>
        <w:tblLayout w:type="fixed"/>
        <w:tblLook w:val="0400"/>
      </w:tblPr>
      <w:tblGrid>
        <w:gridCol w:w="4678"/>
        <w:gridCol w:w="5504"/>
        <w:tblGridChange w:id="0">
          <w:tblGrid>
            <w:gridCol w:w="4678"/>
            <w:gridCol w:w="550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5">
            <w:pPr>
              <w:ind w:left="284" w:right="-177" w:firstLine="0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________________________________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284" w:right="-177" w:firstLine="0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_________________________________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88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97"/>
        <w:gridCol w:w="4091"/>
        <w:tblGridChange w:id="0">
          <w:tblGrid>
            <w:gridCol w:w="4097"/>
            <w:gridCol w:w="4091"/>
          </w:tblGrid>
        </w:tblGridChange>
      </w:tblGrid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Nome:      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CPF:      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Nome:      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CPF:      </w:t>
            </w:r>
          </w:p>
        </w:tc>
      </w:tr>
      <w:tr>
        <w:trPr>
          <w:cantSplit w:val="0"/>
          <w:trHeight w:val="87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Cargo:      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Cargo:      </w:t>
            </w:r>
          </w:p>
        </w:tc>
      </w:tr>
    </w:tbl>
    <w:p w:rsidR="00000000" w:rsidDel="00000000" w:rsidP="00000000" w:rsidRDefault="00000000" w:rsidRPr="00000000" w14:paraId="0000006E">
      <w:pPr>
        <w:spacing w:line="360" w:lineRule="auto"/>
        <w:ind w:right="-177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84" w:right="-177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ASSESSORIA: NOVA AFFINITY CORRETORA DE SEGUROS LTDA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tbl>
      <w:tblPr>
        <w:tblStyle w:val="Table4"/>
        <w:tblW w:w="9354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675"/>
        <w:gridCol w:w="679"/>
        <w:tblGridChange w:id="0">
          <w:tblGrid>
            <w:gridCol w:w="8675"/>
            <w:gridCol w:w="679"/>
          </w:tblGrid>
        </w:tblGridChange>
      </w:tblGrid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459.0" w:type="dxa"/>
              <w:jc w:val="left"/>
              <w:tblLayout w:type="fixed"/>
              <w:tblLook w:val="0400"/>
            </w:tblPr>
            <w:tblGrid>
              <w:gridCol w:w="4172"/>
              <w:gridCol w:w="4287"/>
              <w:tblGridChange w:id="0">
                <w:tblGrid>
                  <w:gridCol w:w="4172"/>
                  <w:gridCol w:w="4287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71">
                  <w:pPr>
                    <w:ind w:left="284" w:right="-177" w:firstLine="0"/>
                    <w:jc w:val="both"/>
                    <w:rPr>
                      <w:rFonts w:ascii="Verdana" w:cs="Verdana" w:eastAsia="Verdana" w:hAnsi="Verdan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ind w:left="284" w:right="-177" w:firstLine="0"/>
                    <w:jc w:val="both"/>
                    <w:rPr>
                      <w:rFonts w:ascii="Verdana" w:cs="Verdana" w:eastAsia="Verdana" w:hAnsi="Verdan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188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097"/>
              <w:gridCol w:w="4091"/>
              <w:tblGridChange w:id="0">
                <w:tblGrid>
                  <w:gridCol w:w="4097"/>
                  <w:gridCol w:w="4091"/>
                </w:tblGrid>
              </w:tblGridChange>
            </w:tblGrid>
            <w:tr>
              <w:trPr>
                <w:cantSplit w:val="0"/>
                <w:trHeight w:val="6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Nome: Alvaro Varela     </w:t>
                  </w:r>
                </w:p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CPF:  321.949.158-85    </w:t>
                  </w:r>
                </w:p>
              </w:tc>
              <w:tc>
                <w:tcPr/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Nome:      </w:t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CPF:      </w:t>
                  </w:r>
                </w:p>
              </w:tc>
            </w:tr>
            <w:tr>
              <w:trPr>
                <w:cantSplit w:val="0"/>
                <w:trHeight w:val="8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Cargo: Diretor Financeiro     </w:t>
                  </w:r>
                </w:p>
              </w:tc>
              <w:tc>
                <w:tcPr/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Cargo:      </w:t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line="360" w:lineRule="auto"/>
        <w:ind w:right="-46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84" w:right="-177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INTERVENIENTE ANUENTE: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AMIL ASSISTÊNCIA MÉDICA INTERNACIONAL S.A.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675"/>
        <w:gridCol w:w="679"/>
        <w:tblGridChange w:id="0">
          <w:tblGrid>
            <w:gridCol w:w="8675"/>
            <w:gridCol w:w="679"/>
          </w:tblGrid>
        </w:tblGridChange>
      </w:tblGrid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459.0" w:type="dxa"/>
              <w:jc w:val="left"/>
              <w:tblLayout w:type="fixed"/>
              <w:tblLook w:val="0400"/>
            </w:tblPr>
            <w:tblGrid>
              <w:gridCol w:w="4172"/>
              <w:gridCol w:w="4287"/>
              <w:tblGridChange w:id="0">
                <w:tblGrid>
                  <w:gridCol w:w="4172"/>
                  <w:gridCol w:w="4287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7F">
                  <w:pPr>
                    <w:ind w:left="284" w:right="-177" w:firstLine="0"/>
                    <w:jc w:val="both"/>
                    <w:rPr>
                      <w:rFonts w:ascii="Verdana" w:cs="Verdana" w:eastAsia="Verdana" w:hAnsi="Verdan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80">
                  <w:pPr>
                    <w:ind w:left="284" w:right="-177" w:firstLine="0"/>
                    <w:jc w:val="both"/>
                    <w:rPr>
                      <w:rFonts w:ascii="Verdana" w:cs="Verdana" w:eastAsia="Verdana" w:hAnsi="Verdana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188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097"/>
              <w:gridCol w:w="4091"/>
              <w:tblGridChange w:id="0">
                <w:tblGrid>
                  <w:gridCol w:w="4097"/>
                  <w:gridCol w:w="4091"/>
                </w:tblGrid>
              </w:tblGridChange>
            </w:tblGrid>
            <w:tr>
              <w:trPr>
                <w:cantSplit w:val="0"/>
                <w:trHeight w:val="6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Nome:      </w:t>
                  </w:r>
                </w:p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CPF:      </w:t>
                  </w:r>
                </w:p>
              </w:tc>
              <w:tc>
                <w:tcPr/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Nome:      </w:t>
                  </w:r>
                </w:p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CPF:      </w:t>
                  </w:r>
                </w:p>
              </w:tc>
            </w:tr>
            <w:tr>
              <w:trPr>
                <w:cantSplit w:val="0"/>
                <w:trHeight w:val="8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Cargo:      </w:t>
                  </w:r>
                </w:p>
              </w:tc>
              <w:tc>
                <w:tcPr/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284" w:right="-177" w:firstLine="0"/>
                    <w:jc w:val="left"/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Cargo:      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4" w:right="-177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360" w:lineRule="auto"/>
        <w:ind w:right="-46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284" w:right="-177" w:firstLine="0"/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Testemunhas:</w:t>
      </w:r>
    </w:p>
    <w:tbl>
      <w:tblPr>
        <w:tblStyle w:val="Table10"/>
        <w:tblW w:w="9091.0" w:type="dxa"/>
        <w:jc w:val="left"/>
        <w:tblInd w:w="-142.0" w:type="dxa"/>
        <w:tblLayout w:type="fixed"/>
        <w:tblLook w:val="0400"/>
      </w:tblPr>
      <w:tblGrid>
        <w:gridCol w:w="4484"/>
        <w:gridCol w:w="4607"/>
        <w:tblGridChange w:id="0">
          <w:tblGrid>
            <w:gridCol w:w="4484"/>
            <w:gridCol w:w="4607"/>
          </w:tblGrid>
        </w:tblGridChange>
      </w:tblGrid>
      <w:tr>
        <w:trPr>
          <w:cantSplit w:val="1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ind w:left="284" w:right="-177" w:firstLine="0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________________________________</w:t>
            </w:r>
          </w:p>
        </w:tc>
        <w:tc>
          <w:tcPr/>
          <w:p w:rsidR="00000000" w:rsidDel="00000000" w:rsidP="00000000" w:rsidRDefault="00000000" w:rsidRPr="00000000" w14:paraId="0000008D">
            <w:pPr>
              <w:ind w:right="-177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___________________________________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464.0" w:type="dxa"/>
        <w:jc w:val="left"/>
        <w:tblInd w:w="-142.0" w:type="dxa"/>
        <w:tblLayout w:type="fixed"/>
        <w:tblLook w:val="0400"/>
      </w:tblPr>
      <w:tblGrid>
        <w:gridCol w:w="4235"/>
        <w:gridCol w:w="4229"/>
        <w:tblGridChange w:id="0">
          <w:tblGrid>
            <w:gridCol w:w="4235"/>
            <w:gridCol w:w="4229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4" w:right="-177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Nome: Hellany Souza     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4" w:right="-177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Nome:       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4" w:right="-177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CPF:  425.410.258-58    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4" w:right="-177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CPF:    </w:t>
            </w:r>
          </w:p>
        </w:tc>
      </w:tr>
    </w:tbl>
    <w:p w:rsidR="00000000" w:rsidDel="00000000" w:rsidP="00000000" w:rsidRDefault="00000000" w:rsidRPr="00000000" w14:paraId="00000093">
      <w:pPr>
        <w:tabs>
          <w:tab w:val="left" w:leader="none" w:pos="0"/>
        </w:tabs>
        <w:spacing w:line="360" w:lineRule="auto"/>
        <w:ind w:left="284" w:right="-46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</w:tabs>
        <w:spacing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bottom w:color="000000" w:space="0" w:sz="4" w:val="single"/>
        </w:pBdr>
        <w:tabs>
          <w:tab w:val="left" w:leader="none" w:pos="0"/>
        </w:tabs>
        <w:ind w:right="39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Página de assinaturas pertencente ao TERMO DE VINCULAÇÃO firmado entre o(a) CORRETOR(A)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 ASSESSORIA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NOVA AFFINITY CORRETORA DE SEGUROS LTDA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e a AMIL ASSISTÊNCIA MÉDICA INTERNACIONAL S.A.,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como interveniente anuente.</w:t>
      </w:r>
    </w:p>
    <w:p w:rsidR="00000000" w:rsidDel="00000000" w:rsidP="00000000" w:rsidRDefault="00000000" w:rsidRPr="00000000" w14:paraId="00000096">
      <w:pPr>
        <w:ind w:left="-851" w:firstLine="425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851"/>
        </w:tabs>
        <w:spacing w:before="7" w:line="360" w:lineRule="auto"/>
        <w:ind w:right="-567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after="160" w:line="259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851"/>
        </w:tabs>
        <w:spacing w:before="7" w:line="360" w:lineRule="auto"/>
        <w:ind w:right="-567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851"/>
        </w:tabs>
        <w:spacing w:before="7" w:line="360" w:lineRule="auto"/>
        <w:ind w:right="-567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ANEXO I – REGRAS DE REMUNERAÇÃO</w:t>
      </w:r>
    </w:p>
    <w:p w:rsidR="00000000" w:rsidDel="00000000" w:rsidP="00000000" w:rsidRDefault="00000000" w:rsidRPr="00000000" w14:paraId="0000009B">
      <w:pPr>
        <w:tabs>
          <w:tab w:val="left" w:leader="none" w:pos="851"/>
        </w:tabs>
        <w:spacing w:before="7" w:line="360" w:lineRule="auto"/>
        <w:ind w:right="-567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Comissões –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CATEGORIA REPASSE 250/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Comissão pela venda de Planos Individuais – Familiares (Planos odontológicos)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Beneficiários titulares /dependentes nas modalidades Individual, Grupal, Familiar I e Familiar II: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100% (cem por cento) do valor do primeiro pagamento por ocasião da assinatura do contrato;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25 % (vinte e cinco por cento) do valor da 2ª (segunda) lâmina do carnê, paga pelo titular do plano, em Banco, ou nas Agências da(s) CONTRATANTE(S);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25 % (vinte e cinco por cento) do valor da 3ª (terceira) lâmina do carnê, paga pelo titular do plano, em Banco, ou nas Agências da(s) CONTRATANTE(S);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25% (vinte e cinco por cento) do valor da 4ª (quarta) lâmina do carnê, paga pelo titular do plano, em Banco, ou nas Agências da(s) CONTRATANTE(S);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Comissão pela venda de Planos Coletivos: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 Entidade cliente que incluir de 02 (dois) até 99 (vinte e nove) beneficiários no contrato: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100% (cem por cento) do valor do primeiro pagamento, por ocasião da assinatura do contrato;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100% (cem por cento) do valor da 2ª (segunda) fatura paga pela Empresa contratante;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50% (cinquenta por cento) do valor da 3ª (terceira) fatura paga pela Empresa contratante;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2% (dois por cento) do valor a partir da 4º (quarta) fatura até a vigência do contrato;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851"/>
        </w:tabs>
        <w:spacing w:before="7" w:line="360" w:lineRule="auto"/>
        <w:ind w:right="-569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993" w:top="709" w:left="993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-634999</wp:posOffset>
              </wp:positionH>
              <wp:positionV relativeFrom="paragraph">
                <wp:posOffset>10210800</wp:posOffset>
              </wp:positionV>
              <wp:extent cx="7569835" cy="282575"/>
              <wp:effectExtent b="0" l="0" r="0" t="0"/>
              <wp:wrapNone/>
              <wp:docPr descr="{&quot;HashCode&quot;:-754110187,&quot;Height&quot;:841.0,&quot;Width&quot;:595.0,&quot;Placement&quot;:&quot;Footer&quot;,&quot;Index&quot;:&quot;Primary&quot;,&quot;Section&quot;:1,&quot;Top&quot;:0.0,&quot;Left&quot;:0.0}" id="2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845" y="3643475"/>
                        <a:ext cx="75603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Informações Internas</w:t>
                          </w:r>
                        </w:p>
                      </w:txbxContent>
                    </wps:txbx>
                    <wps:bodyPr anchorCtr="0" anchor="b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-634999</wp:posOffset>
              </wp:positionH>
              <wp:positionV relativeFrom="paragraph">
                <wp:posOffset>10210800</wp:posOffset>
              </wp:positionV>
              <wp:extent cx="7569835" cy="282575"/>
              <wp:effectExtent b="0" l="0" r="0" t="0"/>
              <wp:wrapNone/>
              <wp:docPr descr="{&quot;HashCode&quot;:-754110187,&quot;Height&quot;:841.0,&quot;Width&quot;:595.0,&quot;Placement&quot;:&quot;Footer&quot;,&quot;Index&quot;:&quot;Primary&quot;,&quot;Section&quot;:1,&quot;Top&quot;:0.0,&quot;Left&quot;:0.0}" id="25" name="image5.png"/>
              <a:graphic>
                <a:graphicData uri="http://schemas.openxmlformats.org/drawingml/2006/picture">
                  <pic:pic>
                    <pic:nvPicPr>
                      <pic:cNvPr descr="{&quot;HashCode&quot;:-754110187,&quot;Height&quot;:841.0,&quot;Width&quot;:595.0,&quot;Placement&quot;:&quot;Footer&quot;,&quot;Index&quot;:&quot;Primary&quot;,&quot;Section&quot;:1,&quot;Top&quot;:0.0,&quot;Left&quot;:0.0}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66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654" w:hanging="359.99999999999994"/>
      </w:pPr>
      <w:rPr/>
    </w:lvl>
    <w:lvl w:ilvl="2">
      <w:start w:val="1"/>
      <w:numFmt w:val="lowerRoman"/>
      <w:lvlText w:val="%3."/>
      <w:lvlJc w:val="right"/>
      <w:pPr>
        <w:ind w:left="1374" w:hanging="180"/>
      </w:pPr>
      <w:rPr/>
    </w:lvl>
    <w:lvl w:ilvl="3">
      <w:start w:val="1"/>
      <w:numFmt w:val="decimal"/>
      <w:lvlText w:val="%4."/>
      <w:lvlJc w:val="left"/>
      <w:pPr>
        <w:ind w:left="2094" w:hanging="360"/>
      </w:pPr>
      <w:rPr/>
    </w:lvl>
    <w:lvl w:ilvl="4">
      <w:start w:val="1"/>
      <w:numFmt w:val="lowerLetter"/>
      <w:lvlText w:val="%5."/>
      <w:lvlJc w:val="left"/>
      <w:pPr>
        <w:ind w:left="2814" w:hanging="360"/>
      </w:pPr>
      <w:rPr/>
    </w:lvl>
    <w:lvl w:ilvl="5">
      <w:start w:val="1"/>
      <w:numFmt w:val="lowerRoman"/>
      <w:lvlText w:val="%6."/>
      <w:lvlJc w:val="right"/>
      <w:pPr>
        <w:ind w:left="3534" w:hanging="180"/>
      </w:pPr>
      <w:rPr/>
    </w:lvl>
    <w:lvl w:ilvl="6">
      <w:start w:val="1"/>
      <w:numFmt w:val="decimal"/>
      <w:lvlText w:val="%7."/>
      <w:lvlJc w:val="left"/>
      <w:pPr>
        <w:ind w:left="4254" w:hanging="360"/>
      </w:pPr>
      <w:rPr/>
    </w:lvl>
    <w:lvl w:ilvl="7">
      <w:start w:val="1"/>
      <w:numFmt w:val="lowerLetter"/>
      <w:lvlText w:val="%8."/>
      <w:lvlJc w:val="left"/>
      <w:pPr>
        <w:ind w:left="4974" w:hanging="360"/>
      </w:pPr>
      <w:rPr/>
    </w:lvl>
    <w:lvl w:ilvl="8">
      <w:start w:val="1"/>
      <w:numFmt w:val="lowerRoman"/>
      <w:lvlText w:val="%9."/>
      <w:lvlJc w:val="right"/>
      <w:pPr>
        <w:ind w:left="5694" w:hanging="18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390" w:hanging="390"/>
      </w:pPr>
      <w:rPr/>
    </w:lvl>
    <w:lvl w:ilvl="1">
      <w:start w:val="1"/>
      <w:numFmt w:val="decimal"/>
      <w:lvlText w:val="%1.%2."/>
      <w:lvlJc w:val="left"/>
      <w:pPr>
        <w:ind w:left="654" w:hanging="720"/>
      </w:pPr>
      <w:rPr>
        <w:b w:val="1"/>
      </w:rPr>
    </w:lvl>
    <w:lvl w:ilvl="2">
      <w:start w:val="1"/>
      <w:numFmt w:val="decimal"/>
      <w:lvlText w:val="%1.%2.%3."/>
      <w:lvlJc w:val="left"/>
      <w:pPr>
        <w:ind w:left="588" w:hanging="720"/>
      </w:pPr>
      <w:rPr/>
    </w:lvl>
    <w:lvl w:ilvl="3">
      <w:start w:val="1"/>
      <w:numFmt w:val="decimal"/>
      <w:lvlText w:val="%1.%2.%3.%4."/>
      <w:lvlJc w:val="left"/>
      <w:pPr>
        <w:ind w:left="882" w:hanging="1080"/>
      </w:pPr>
      <w:rPr/>
    </w:lvl>
    <w:lvl w:ilvl="4">
      <w:start w:val="1"/>
      <w:numFmt w:val="decimal"/>
      <w:lvlText w:val="%1.%2.%3.%4.%5."/>
      <w:lvlJc w:val="left"/>
      <w:pPr>
        <w:ind w:left="1176" w:hanging="1440"/>
      </w:pPr>
      <w:rPr/>
    </w:lvl>
    <w:lvl w:ilvl="5">
      <w:start w:val="1"/>
      <w:numFmt w:val="decimal"/>
      <w:lvlText w:val="%1.%2.%3.%4.%5.%6."/>
      <w:lvlJc w:val="left"/>
      <w:pPr>
        <w:ind w:left="1110" w:hanging="1440"/>
      </w:pPr>
      <w:rPr/>
    </w:lvl>
    <w:lvl w:ilvl="6">
      <w:start w:val="1"/>
      <w:numFmt w:val="decimal"/>
      <w:lvlText w:val="%1.%2.%3.%4.%5.%6.%7."/>
      <w:lvlJc w:val="left"/>
      <w:pPr>
        <w:ind w:left="1404" w:hanging="1800"/>
      </w:pPr>
      <w:rPr/>
    </w:lvl>
    <w:lvl w:ilvl="7">
      <w:start w:val="1"/>
      <w:numFmt w:val="decimal"/>
      <w:lvlText w:val="%1.%2.%3.%4.%5.%6.%7.%8."/>
      <w:lvlJc w:val="left"/>
      <w:pPr>
        <w:ind w:left="1698" w:hanging="2160"/>
      </w:pPr>
      <w:rPr/>
    </w:lvl>
    <w:lvl w:ilvl="8">
      <w:start w:val="1"/>
      <w:numFmt w:val="decimal"/>
      <w:lvlText w:val="%1.%2.%3.%4.%5.%6.%7.%8.%9."/>
      <w:lvlJc w:val="left"/>
      <w:pPr>
        <w:ind w:left="1632" w:hanging="21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89" w:lineRule="auto"/>
      <w:ind w:left="138"/>
    </w:pPr>
    <w:rPr>
      <w:sz w:val="36"/>
      <w:szCs w:val="36"/>
    </w:rPr>
  </w:style>
  <w:style w:type="paragraph" w:styleId="Normal" w:default="1">
    <w:name w:val="Normal"/>
    <w:qFormat w:val="1"/>
    <w:rsid w:val="00AE2CEC"/>
    <w:pPr>
      <w:widowControl w:val="0"/>
      <w:autoSpaceDE w:val="0"/>
      <w:autoSpaceDN w:val="0"/>
      <w:spacing w:after="0" w:line="240" w:lineRule="auto"/>
    </w:pPr>
    <w:rPr>
      <w:rFonts w:ascii="Calibri" w:cs="Calibri" w:eastAsia="Calibri" w:hAnsi="Calibri"/>
      <w:lang w:val="pt-PT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rsid w:val="00AE2CE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link w:val="CorpodetextoChar"/>
    <w:uiPriority w:val="1"/>
    <w:qFormat w:val="1"/>
    <w:rsid w:val="00AE2CEC"/>
  </w:style>
  <w:style w:type="character" w:styleId="CorpodetextoChar" w:customStyle="1">
    <w:name w:val="Corpo de texto Char"/>
    <w:basedOn w:val="Fontepargpadro"/>
    <w:link w:val="Corpodetexto"/>
    <w:uiPriority w:val="1"/>
    <w:rsid w:val="00AE2CEC"/>
    <w:rPr>
      <w:rFonts w:ascii="Calibri" w:cs="Calibri" w:eastAsia="Calibri" w:hAnsi="Calibri"/>
      <w:lang w:val="pt-PT"/>
    </w:rPr>
  </w:style>
  <w:style w:type="paragraph" w:styleId="Ttulo">
    <w:name w:val="Title"/>
    <w:basedOn w:val="Normal"/>
    <w:link w:val="TtuloChar"/>
    <w:uiPriority w:val="10"/>
    <w:qFormat w:val="1"/>
    <w:rsid w:val="00AE2CEC"/>
    <w:pPr>
      <w:spacing w:before="189"/>
      <w:ind w:left="138"/>
    </w:pPr>
    <w:rPr>
      <w:sz w:val="36"/>
      <w:szCs w:val="36"/>
    </w:rPr>
  </w:style>
  <w:style w:type="character" w:styleId="TtuloChar" w:customStyle="1">
    <w:name w:val="Título Char"/>
    <w:basedOn w:val="Fontepargpadro"/>
    <w:link w:val="Ttulo"/>
    <w:uiPriority w:val="10"/>
    <w:rsid w:val="00AE2CEC"/>
    <w:rPr>
      <w:rFonts w:ascii="Calibri" w:cs="Calibri" w:eastAsia="Calibri" w:hAnsi="Calibri"/>
      <w:sz w:val="36"/>
      <w:szCs w:val="36"/>
      <w:lang w:val="pt-PT"/>
    </w:rPr>
  </w:style>
  <w:style w:type="paragraph" w:styleId="TableParagraph" w:customStyle="1">
    <w:name w:val="Table Paragraph"/>
    <w:basedOn w:val="Normal"/>
    <w:uiPriority w:val="1"/>
    <w:qFormat w:val="1"/>
    <w:rsid w:val="00AE2CEC"/>
    <w:pPr>
      <w:ind w:left="107"/>
    </w:pPr>
  </w:style>
  <w:style w:type="paragraph" w:styleId="PargrafodaLista">
    <w:name w:val="List Paragraph"/>
    <w:basedOn w:val="Normal"/>
    <w:link w:val="PargrafodaListaChar"/>
    <w:uiPriority w:val="34"/>
    <w:qFormat w:val="1"/>
    <w:rsid w:val="00AE2CEC"/>
    <w:pPr>
      <w:widowControl w:val="1"/>
      <w:autoSpaceDE w:val="1"/>
      <w:autoSpaceDN w:val="1"/>
      <w:spacing w:after="200" w:line="276" w:lineRule="auto"/>
      <w:ind w:left="720"/>
      <w:contextualSpacing w:val="1"/>
    </w:pPr>
    <w:rPr>
      <w:rFonts w:asciiTheme="minorHAnsi" w:cstheme="minorBidi" w:eastAsiaTheme="minorEastAsia" w:hAnsiTheme="minorHAnsi"/>
      <w:lang w:eastAsia="pt-BR" w:val="pt-BR"/>
    </w:rPr>
  </w:style>
  <w:style w:type="character" w:styleId="PargrafodaListaChar" w:customStyle="1">
    <w:name w:val="Parágrafo da Lista Char"/>
    <w:basedOn w:val="Fontepargpadro"/>
    <w:link w:val="PargrafodaLista"/>
    <w:uiPriority w:val="34"/>
    <w:locked w:val="1"/>
    <w:rsid w:val="00AE2CEC"/>
    <w:rPr>
      <w:rFonts w:eastAsiaTheme="minorEastAsia"/>
      <w:lang w:eastAsia="pt-BR"/>
    </w:rPr>
  </w:style>
  <w:style w:type="table" w:styleId="Tabelacomgrade">
    <w:name w:val="Table Grid"/>
    <w:basedOn w:val="Tabelanormal"/>
    <w:uiPriority w:val="59"/>
    <w:rsid w:val="0049380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Fontepargpadro"/>
    <w:uiPriority w:val="99"/>
    <w:unhideWhenUsed w:val="1"/>
    <w:rsid w:val="00D666DF"/>
    <w:rPr>
      <w:color w:val="0563c1" w:themeColor="hyperlink"/>
      <w:u w:val="single"/>
    </w:rPr>
  </w:style>
  <w:style w:type="character" w:styleId="normaltextrun" w:customStyle="1">
    <w:name w:val="normaltextrun"/>
    <w:basedOn w:val="Fontepargpadro"/>
    <w:rsid w:val="001A2AFB"/>
  </w:style>
  <w:style w:type="character" w:styleId="TextodoEspaoReservado">
    <w:name w:val="Placeholder Text"/>
    <w:basedOn w:val="Fontepargpadro"/>
    <w:uiPriority w:val="99"/>
    <w:semiHidden w:val="1"/>
    <w:rsid w:val="001A2AFB"/>
    <w:rPr>
      <w:color w:val="808080"/>
    </w:rPr>
  </w:style>
  <w:style w:type="paragraph" w:styleId="Cabealho">
    <w:name w:val="header"/>
    <w:basedOn w:val="Normal"/>
    <w:link w:val="CabealhoChar"/>
    <w:uiPriority w:val="99"/>
    <w:unhideWhenUsed w:val="1"/>
    <w:rsid w:val="001A2AF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1A2AFB"/>
    <w:rPr>
      <w:rFonts w:ascii="Calibri" w:cs="Calibri" w:eastAsia="Calibri" w:hAnsi="Calibri"/>
      <w:lang w:val="pt-PT"/>
    </w:rPr>
  </w:style>
  <w:style w:type="paragraph" w:styleId="Rodap">
    <w:name w:val="footer"/>
    <w:basedOn w:val="Normal"/>
    <w:link w:val="RodapChar"/>
    <w:uiPriority w:val="99"/>
    <w:unhideWhenUsed w:val="1"/>
    <w:rsid w:val="001A2AF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1A2AFB"/>
    <w:rPr>
      <w:rFonts w:ascii="Calibri" w:cs="Calibri" w:eastAsia="Calibri" w:hAnsi="Calibri"/>
      <w:lang w:val="pt-PT"/>
    </w:rPr>
  </w:style>
  <w:style w:type="paragraph" w:styleId="Default" w:customStyle="1">
    <w:name w:val="Default"/>
    <w:rsid w:val="002F4912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yperlink" Target="https://institucional.amil.com.br/etica-complian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yOgh3dZLjk/jX2VZz1RpQhEEg==">CgMxLjA4AHIhMUpsRFItZnFiNEZjcGdoR0Z1U29NSTJKSzQ0YlYxeXB0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2024-05-23T11:31:00Z</dcterms:created>
  <dc:creator>Gabriela De Fatima Gomes Dos Reis Lima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0x010100A3388635C46D5C45BAD59D8E29624A1D</vt:lpwstr>
  </property>
  <property fmtid="{D5CDD505-2E9C-101B-9397-08002B2CF9AE}" pid="3" name="MSIP_Label_2d8b0667-0416-4939-b829-9a083fc335bd_Enabled">
    <vt:lpwstr>true</vt:lpwstr>
  </property>
  <property fmtid="{D5CDD505-2E9C-101B-9397-08002B2CF9AE}" pid="4" name="MSIP_Label_2d8b0667-0416-4939-b829-9a083fc335bd_SetDate">
    <vt:lpwstr>2024-03-26T17:30:49Z</vt:lpwstr>
  </property>
  <property fmtid="{D5CDD505-2E9C-101B-9397-08002B2CF9AE}" pid="5" name="MSIP_Label_2d8b0667-0416-4939-b829-9a083fc335bd_Method">
    <vt:lpwstr>Standard</vt:lpwstr>
  </property>
  <property fmtid="{D5CDD505-2E9C-101B-9397-08002B2CF9AE}" pid="6" name="MSIP_Label_2d8b0667-0416-4939-b829-9a083fc335bd_Name">
    <vt:lpwstr>Informações Internas</vt:lpwstr>
  </property>
  <property fmtid="{D5CDD505-2E9C-101B-9397-08002B2CF9AE}" pid="7" name="MSIP_Label_2d8b0667-0416-4939-b829-9a083fc335bd_SiteId">
    <vt:lpwstr>e79034b6-c14f-4d3e-a08f-d8d7d4643271</vt:lpwstr>
  </property>
  <property fmtid="{D5CDD505-2E9C-101B-9397-08002B2CF9AE}" pid="8" name="MSIP_Label_2d8b0667-0416-4939-b829-9a083fc335bd_ActionId">
    <vt:lpwstr>99441c01-de3b-43e2-8623-ecf14b1a6283</vt:lpwstr>
  </property>
  <property fmtid="{D5CDD505-2E9C-101B-9397-08002B2CF9AE}" pid="9" name="MSIP_Label_2d8b0667-0416-4939-b829-9a083fc335bd_ContentBits">
    <vt:lpwstr>2</vt:lpwstr>
  </property>
</Properties>
</file>