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FF4500"/>
          <w:sz w:val="96"/>
        </w:rPr>
        <w:t>HELLBURN</w:t>
      </w:r>
    </w:p>
    <w:p>
      <w:pPr>
        <w:jc w:val="center"/>
      </w:pPr>
      <w:r>
        <w:rPr>
          <w:color w:val="FFA500"/>
          <w:sz w:val="28"/>
        </w:rPr>
        <w:t>KOMPETITIVES BURN-TO-EARN PROTOKOLL</w:t>
      </w:r>
    </w:p>
    <w:p>
      <w:pPr>
        <w:jc w:val="center"/>
      </w:pPr>
      <w:r>
        <w:rPr>
          <w:color w:val="646464"/>
          <w:sz w:val="20"/>
        </w:rPr>
        <w:t>Built on TitanX | Burns DragonX | Real ETH Yield</w:t>
      </w:r>
    </w:p>
    <w:p/>
    <w:p/>
    <w:p>
      <w:pPr>
        <w:jc w:val="center"/>
      </w:pPr>
      <w:r>
        <w:rPr>
          <w:b/>
          <w:sz w:val="32"/>
        </w:rPr>
        <w:t>WHITEPAPER v2.0</w:t>
      </w:r>
    </w:p>
    <w:p>
      <w:pPr>
        <w:jc w:val="center"/>
      </w:pPr>
      <w:r>
        <w:rPr>
          <w:color w:val="787878"/>
          <w:sz w:val="22"/>
        </w:rPr>
        <w:t>February 2026</w:t>
      </w:r>
    </w:p>
    <w:p>
      <w:r>
        <w:br w:type="page"/>
      </w:r>
    </w:p>
    <w:p>
      <w:pPr>
        <w:pStyle w:val="Heading2"/>
      </w:pPr>
      <w:r>
        <w:t>Haftungsausschluss</w:t>
      </w:r>
    </w:p>
    <w:p>
      <w:r>
        <w:t>Dieses Dokument dient ausschließlich Informationszwecken und stellt keine Finanz-, Anlage- oder Rechtsberatung dar. Kryptowährungs- und DeFi-Investments bergen erhebliche Risiken, einschließlich des möglichen Totalverlusts des eingesetzten Kapitals. Smart Contracts können trotz Tests und Audits Schwachstellen enthalten. Vergangene Performance ähnlicher Protokolle garantiert keine zukünftigen Ergebnisse. Alle Prognosen in diesem Dokument sind hypothetische Szenarien basierend auf Annahmen, die möglicherweise nicht eintreten. Informiere dich immer eigenständig (DYOR) vor einer Teilnahme.</w:t>
      </w:r>
    </w:p>
    <w:p>
      <w:r>
        <w:br w:type="page"/>
      </w:r>
    </w:p>
    <w:p>
      <w:pPr>
        <w:pStyle w:val="Heading1"/>
      </w:pPr>
      <w:r>
        <w:t>Inhaltsverzeichnis</w:t>
      </w:r>
    </w:p>
    <w:p>
      <w:pPr>
        <w:spacing w:after="40"/>
      </w:pPr>
      <w:r>
        <w:t>1. Zusammenfassung</w:t>
      </w:r>
    </w:p>
    <w:p>
      <w:pPr>
        <w:spacing w:after="40"/>
      </w:pPr>
      <w:r>
        <w:t>2. Das Problem — Warum bestehende Protokolle scheitern</w:t>
      </w:r>
    </w:p>
    <w:p>
      <w:pPr>
        <w:spacing w:after="40"/>
      </w:pPr>
      <w:r>
        <w:t>3. Die Lösung — HellBurns drei Innovationen</w:t>
      </w:r>
    </w:p>
    <w:p>
      <w:pPr>
        <w:spacing w:after="40"/>
      </w:pPr>
      <w:r>
        <w:t>4. Das Deflations-Flywheel — Wie alles zusammenhängt</w:t>
      </w:r>
    </w:p>
    <w:p>
      <w:pPr>
        <w:spacing w:after="40"/>
      </w:pPr>
      <w:r>
        <w:t>5. Genesis-Phase — Dein Einstiegspunkt (Praxisbeispiel)</w:t>
      </w:r>
    </w:p>
    <w:p>
      <w:pPr>
        <w:spacing w:after="40"/>
      </w:pPr>
      <w:r>
        <w:t>6. Burn Epochs — Wettbewerb um ETH (Praxisbeispiel)</w:t>
      </w:r>
    </w:p>
    <w:p>
      <w:pPr>
        <w:spacing w:after="40"/>
      </w:pPr>
      <w:r>
        <w:t>7. Staking &amp; Real Yield (Praxisbeispiel)</w:t>
      </w:r>
    </w:p>
    <w:p>
      <w:pPr>
        <w:spacing w:after="40"/>
      </w:pPr>
      <w:r>
        <w:t>8. Tokenomics im Detail</w:t>
      </w:r>
    </w:p>
    <w:p>
      <w:pPr>
        <w:spacing w:after="40"/>
      </w:pPr>
      <w:r>
        <w:t>9. Day-888-Strategie — Das Katalysator-Event</w:t>
      </w:r>
    </w:p>
    <w:p>
      <w:pPr>
        <w:spacing w:after="40"/>
      </w:pPr>
      <w:r>
        <w:t>10. Anti-Dump-Mechanismen</w:t>
      </w:r>
    </w:p>
    <w:p>
      <w:pPr>
        <w:spacing w:after="40"/>
      </w:pPr>
      <w:r>
        <w:t>11. 12-Monats-Prognosen (Best / Base / Worst Case)</w:t>
      </w:r>
    </w:p>
    <w:p>
      <w:pPr>
        <w:spacing w:after="40"/>
      </w:pPr>
      <w:r>
        <w:t>12. Roadmap</w:t>
      </w:r>
    </w:p>
    <w:p>
      <w:pPr>
        <w:spacing w:after="40"/>
      </w:pPr>
      <w:r>
        <w:t>13. Risiken &amp; Haftungsausschluss</w:t>
      </w:r>
    </w:p>
    <w:p>
      <w:r>
        <w:br w:type="page"/>
      </w:r>
    </w:p>
    <w:p>
      <w:pPr>
        <w:pStyle w:val="Heading1"/>
      </w:pPr>
      <w:r>
        <w:t>1. Zusammenfassung</w:t>
      </w:r>
    </w:p>
    <w:p>
      <w:r>
        <w:t>HellBurn ist das erste Competitive Burn-to-Earn Protocol im TitanX-Ökosystem. Es verbindet gamifiziertes, kompetitives Burning mit realem ETH-Yield und erzeugt perpetuellen Deflationsdruck auf TitanX und DragonX.</w:t>
      </w:r>
    </w:p>
    <w:p>
      <w:r>
        <w:t>Während bestehende TitanX-Protokolle (DragonX, Helios, Hydra, B88) auf einmaliges Minting mit passivem Staking setzen, führt HellBurn ein neues Konzept ein: Burn Epochs — kompetitive 8-Tage-Zyklen, in denen Teilnehmer TitanX und DragonX verbrennen, um ETH-Rewards zu erhalten. Ein Streak-System belohnt konsistente Teilnahme mit bis zu 3x Multiplier.</w:t>
      </w:r>
    </w:p>
    <w:tbl>
      <w:tblPr>
        <w:tblStyle w:val="TableGrid"/>
        <w:tblW w:type="auto" w:w="0"/>
        <w:jc w:val="center"/>
        <w:tblLook w:firstColumn="1" w:firstRow="1" w:lastColumn="0" w:lastRow="0" w:noHBand="0" w:noVBand="1" w:val="04A0"/>
      </w:tblPr>
      <w:tblGrid>
        <w:gridCol w:w="4320"/>
        <w:gridCol w:w="4320"/>
      </w:tblGrid>
      <w:tr>
        <w:tc>
          <w:tcPr>
            <w:tcW w:type="dxa" w:w="4320"/>
            <w:shd w:fill="1a1a2e" w:color="auto" w:val="clear"/>
          </w:tcPr>
          <w:p>
            <w:pPr>
              <w:jc w:val="center"/>
            </w:pPr>
            <w:r>
              <w:rPr>
                <w:b/>
                <w:color w:val="FFFFFF"/>
                <w:sz w:val="18"/>
              </w:rPr>
              <w:t>Parameter</w:t>
            </w:r>
          </w:p>
        </w:tc>
        <w:tc>
          <w:tcPr>
            <w:tcW w:type="dxa" w:w="4320"/>
            <w:shd w:fill="1a1a2e" w:color="auto" w:val="clear"/>
          </w:tcPr>
          <w:p>
            <w:pPr>
              <w:jc w:val="center"/>
            </w:pPr>
            <w:r>
              <w:rPr>
                <w:b/>
                <w:color w:val="FFFFFF"/>
                <w:sz w:val="18"/>
              </w:rPr>
              <w:t>Wert</w:t>
            </w:r>
          </w:p>
        </w:tc>
      </w:tr>
      <w:tr>
        <w:tc>
          <w:tcPr>
            <w:tcW w:type="dxa" w:w="4320"/>
            <w:shd w:fill="f5f5f5" w:color="auto" w:val="clear"/>
          </w:tcPr>
          <w:p>
            <w:pPr>
              <w:jc w:val="center"/>
            </w:pPr>
            <w:r>
              <w:rPr>
                <w:sz w:val="18"/>
              </w:rPr>
              <w:t>Token</w:t>
            </w:r>
          </w:p>
        </w:tc>
        <w:tc>
          <w:tcPr>
            <w:tcW w:type="dxa" w:w="4320"/>
            <w:shd w:fill="f5f5f5" w:color="auto" w:val="clear"/>
          </w:tcPr>
          <w:p>
            <w:pPr>
              <w:jc w:val="center"/>
            </w:pPr>
            <w:r>
              <w:rPr>
                <w:sz w:val="18"/>
              </w:rPr>
              <w:t>HBURN (ERC-20, Ethereum)</w:t>
            </w:r>
          </w:p>
        </w:tc>
      </w:tr>
      <w:tr>
        <w:tc>
          <w:tcPr>
            <w:tcW w:type="dxa" w:w="4320"/>
          </w:tcPr>
          <w:p>
            <w:pPr>
              <w:jc w:val="center"/>
            </w:pPr>
            <w:r>
              <w:rPr>
                <w:sz w:val="18"/>
              </w:rPr>
              <w:t>Kernmechanik</w:t>
            </w:r>
          </w:p>
        </w:tc>
        <w:tc>
          <w:tcPr>
            <w:tcW w:type="dxa" w:w="4320"/>
          </w:tcPr>
          <w:p>
            <w:pPr>
              <w:jc w:val="center"/>
            </w:pPr>
            <w:r>
              <w:rPr>
                <w:sz w:val="18"/>
              </w:rPr>
              <w:t>Kompetitive Burn Epochs + Payout Capture</w:t>
            </w:r>
          </w:p>
        </w:tc>
      </w:tr>
      <w:tr>
        <w:tc>
          <w:tcPr>
            <w:tcW w:type="dxa" w:w="4320"/>
            <w:shd w:fill="f5f5f5" w:color="auto" w:val="clear"/>
          </w:tcPr>
          <w:p>
            <w:pPr>
              <w:jc w:val="center"/>
            </w:pPr>
            <w:r>
              <w:rPr>
                <w:sz w:val="18"/>
              </w:rPr>
              <w:t>Burn-Ziele</w:t>
            </w:r>
          </w:p>
        </w:tc>
        <w:tc>
          <w:tcPr>
            <w:tcW w:type="dxa" w:w="4320"/>
            <w:shd w:fill="f5f5f5" w:color="auto" w:val="clear"/>
          </w:tcPr>
          <w:p>
            <w:pPr>
              <w:jc w:val="center"/>
            </w:pPr>
            <w:r>
              <w:rPr>
                <w:sz w:val="18"/>
              </w:rPr>
              <w:t>TitanX + DragonX (Dual Burn)</w:t>
            </w:r>
          </w:p>
        </w:tc>
      </w:tr>
      <w:tr>
        <w:tc>
          <w:tcPr>
            <w:tcW w:type="dxa" w:w="4320"/>
          </w:tcPr>
          <w:p>
            <w:pPr>
              <w:jc w:val="center"/>
            </w:pPr>
            <w:r>
              <w:rPr>
                <w:sz w:val="18"/>
              </w:rPr>
              <w:t>Yield</w:t>
            </w:r>
          </w:p>
        </w:tc>
        <w:tc>
          <w:tcPr>
            <w:tcW w:type="dxa" w:w="4320"/>
          </w:tcPr>
          <w:p>
            <w:pPr>
              <w:jc w:val="center"/>
            </w:pPr>
            <w:r>
              <w:rPr>
                <w:sz w:val="18"/>
              </w:rPr>
              <w:t>Realer ETH-Ertrag aus TitanX-Staking-Payouts</w:t>
            </w:r>
          </w:p>
        </w:tc>
      </w:tr>
      <w:tr>
        <w:tc>
          <w:tcPr>
            <w:tcW w:type="dxa" w:w="4320"/>
            <w:shd w:fill="f5f5f5" w:color="auto" w:val="clear"/>
          </w:tcPr>
          <w:p>
            <w:pPr>
              <w:jc w:val="center"/>
            </w:pPr>
            <w:r>
              <w:rPr>
                <w:sz w:val="18"/>
              </w:rPr>
              <w:t>Supply</w:t>
            </w:r>
          </w:p>
        </w:tc>
        <w:tc>
          <w:tcPr>
            <w:tcW w:type="dxa" w:w="4320"/>
            <w:shd w:fill="f5f5f5" w:color="auto" w:val="clear"/>
          </w:tcPr>
          <w:p>
            <w:pPr>
              <w:jc w:val="center"/>
            </w:pPr>
            <w:r>
              <w:rPr>
                <w:sz w:val="18"/>
              </w:rPr>
              <w:t>Fixiert — nur während 28-Tage-Genesis mintbar, dann permanent deaktiviert</w:t>
            </w:r>
          </w:p>
        </w:tc>
      </w:tr>
      <w:tr>
        <w:tc>
          <w:tcPr>
            <w:tcW w:type="dxa" w:w="4320"/>
          </w:tcPr>
          <w:p>
            <w:pPr>
              <w:jc w:val="center"/>
            </w:pPr>
            <w:r>
              <w:rPr>
                <w:sz w:val="18"/>
              </w:rPr>
              <w:t>Admin Keys</w:t>
            </w:r>
          </w:p>
        </w:tc>
        <w:tc>
          <w:tcPr>
            <w:tcW w:type="dxa" w:w="4320"/>
          </w:tcPr>
          <w:p>
            <w:pPr>
              <w:jc w:val="center"/>
            </w:pPr>
            <w:r>
              <w:rPr>
                <w:sz w:val="18"/>
              </w:rPr>
              <w:t>Keine — vollständig dezentralisiert</w:t>
            </w:r>
          </w:p>
        </w:tc>
      </w:tr>
      <w:tr>
        <w:tc>
          <w:tcPr>
            <w:tcW w:type="dxa" w:w="4320"/>
            <w:shd w:fill="f5f5f5" w:color="auto" w:val="clear"/>
          </w:tcPr>
          <w:p>
            <w:pPr>
              <w:jc w:val="center"/>
            </w:pPr>
            <w:r>
              <w:rPr>
                <w:sz w:val="18"/>
              </w:rPr>
              <w:t>Launch</w:t>
            </w:r>
          </w:p>
        </w:tc>
        <w:tc>
          <w:tcPr>
            <w:tcW w:type="dxa" w:w="4320"/>
            <w:shd w:fill="f5f5f5" w:color="auto" w:val="clear"/>
          </w:tcPr>
          <w:p>
            <w:pPr>
              <w:jc w:val="center"/>
            </w:pPr>
            <w:r>
              <w:rPr>
                <w:sz w:val="18"/>
              </w:rPr>
              <w:t>Vor TitanX Day 888 (~April 2026)</w:t>
            </w:r>
          </w:p>
        </w:tc>
      </w:tr>
    </w:tbl>
    <w:p>
      <w:pPr>
        <w:pStyle w:val="Heading1"/>
      </w:pPr>
      <w:r>
        <w:t>2. Das Problem — Warum bestehende Protokolle scheitern</w:t>
      </w:r>
    </w:p>
    <w:p>
      <w:pPr>
        <w:pStyle w:val="Heading2"/>
      </w:pPr>
      <w:r>
        <w:t>2.1 Einmaliger Deflationsdruck</w:t>
      </w:r>
    </w:p>
    <w:p>
      <w:r>
        <w:t>Jedes TitanX-Projekt folgt demselben Muster: Eine Minting-Phase, in der TitanX geburnt wird, und danach — nichts mehr. Der Burn-Druck endet mit dem Minting. Deflation ist ein Einmal-Event.</w:t>
      </w:r>
    </w:p>
    <w:p>
      <w:r>
        <w:rPr>
          <w:b/>
        </w:rPr>
        <w:t xml:space="preserve">Beispiel: </w:t>
      </w:r>
      <w:r>
        <w:t>Protokoll X hatte eine 14-tägige Minting-Phase, die 500B TitanX verbrannte. Beeindruckend — aber ab Tag 15 sank die Burn-Aktivität auf Null. Kein weiterer Deflationsdruck für die gesamte restliche Lebensdauer des Projekts.</w:t>
      </w:r>
    </w:p>
    <w:p>
      <w:pPr>
        <w:pStyle w:val="Heading2"/>
      </w:pPr>
      <w:r>
        <w:t>2.2 Passives Staking ohne Engagement</w:t>
      </w:r>
    </w:p>
    <w:p>
      <w:r>
        <w:t>Nach dem Minting staken User ihre Token und warten passiv. Es gibt keinen Anreiz, aktiv teilzunehmen. Das führt zu sinkendem Engagement und dem klassischen "Minten → Staken → Vergessen → Dumpen"-Zyklus.</w:t>
      </w:r>
    </w:p>
    <w:p>
      <w:pPr>
        <w:pStyle w:val="Heading2"/>
      </w:pPr>
      <w:r>
        <w:t>2.3 Fehlende Gamification</w:t>
      </w:r>
    </w:p>
    <w:p>
      <w:r>
        <w:t>DeFi-Protokolle konkurrieren in einem übersättigten Markt. Ohne kompetitive Elemente fehlt der Grund, täglich zurückzukehren. Die erfolgreichsten DeFi-Protokolle (Curve Wars, Convex, GMX, Pendle) haben bewiesen, dass kompetitive Mechaniken die stärksten Retention-Treiber sind.</w:t>
      </w:r>
    </w:p>
    <w:p>
      <w:pPr>
        <w:pStyle w:val="Heading1"/>
      </w:pPr>
      <w:r>
        <w:t>3. Die Lösung — HellBurns drei Innovationen</w:t>
      </w:r>
    </w:p>
    <w:p>
      <w:pPr>
        <w:pStyle w:val="Heading2"/>
      </w:pPr>
      <w:r>
        <w:t>3.1 Burn Epochs: Perpetueller Deflationsdruck</w:t>
      </w:r>
    </w:p>
    <w:p>
      <w:r>
        <w:t>Alle 8 Tage (synchron mit dem TitanX-Payout-Zyklus) startet eine neue Burn Epoch. User verbrennen TitanX und/oder DragonX in den Epoch-Pool. Am Ende werden ETH-Rewards proportional zum gewichteten Burn-Anteil verteilt.</w:t>
      </w:r>
    </w:p>
    <w:p>
      <w:r>
        <w:rPr>
          <w:b/>
        </w:rPr>
        <w:t xml:space="preserve">Der entscheidende Punkt: </w:t>
      </w:r>
      <w:r>
        <w:t>Burning hört nie auf. Solange ETH-Rewards fließen, gibt es immer einen Anreiz zu burnen. Die Deflation ist permanent, nicht zeitlich begrenzt.</w:t>
      </w:r>
    </w:p>
    <w:p>
      <w:pPr>
        <w:pStyle w:val="Heading2"/>
      </w:pPr>
      <w:r>
        <w:t>3.2 Streak-System: Game Theory als Retention</w:t>
      </w:r>
    </w:p>
    <w:p>
      <w:r>
        <w:t>Konsekutive Epoch-Teilnahme baut einen Streak auf. Jede weitere Epoch erhöht den Multiplier um +0.2x, bis max. 3.0x nach 11 Epochs (~88 Tage). Eine verpasste Epoch setzt den Streak komplett auf 1.0x zurück.</w:t>
      </w:r>
    </w:p>
    <w:p>
      <w:pPr>
        <w:jc w:val="center"/>
      </w:pPr>
      <w:r>
        <w:drawing>
          <wp:inline xmlns:a="http://schemas.openxmlformats.org/drawingml/2006/main" xmlns:pic="http://schemas.openxmlformats.org/drawingml/2006/picture">
            <wp:extent cx="5029200" cy="2797211"/>
            <wp:docPr id="1" name="Picture 1"/>
            <wp:cNvGraphicFramePr>
              <a:graphicFrameLocks noChangeAspect="1"/>
            </wp:cNvGraphicFramePr>
            <a:graphic>
              <a:graphicData uri="http://schemas.openxmlformats.org/drawingml/2006/picture">
                <pic:pic>
                  <pic:nvPicPr>
                    <pic:cNvPr id="0" name="streak_multiplier.png"/>
                    <pic:cNvPicPr/>
                  </pic:nvPicPr>
                  <pic:blipFill>
                    <a:blip r:embed="rId9"/>
                    <a:stretch>
                      <a:fillRect/>
                    </a:stretch>
                  </pic:blipFill>
                  <pic:spPr>
                    <a:xfrm>
                      <a:off x="0" y="0"/>
                      <a:ext cx="5029200" cy="2797211"/>
                    </a:xfrm>
                    <a:prstGeom prst="rect"/>
                  </pic:spPr>
                </pic:pic>
              </a:graphicData>
            </a:graphic>
          </wp:inline>
        </w:drawing>
      </w:r>
    </w:p>
    <w:p>
      <w:r>
        <w:rPr>
          <w:b/>
        </w:rPr>
        <w:t xml:space="preserve">Warum das funktioniert: </w:t>
      </w:r>
      <w:r>
        <w:t>Ein User mit 2.4x Streak (8 konsekutive Epochs) bräuchte 8 weitere Epochs zum Wiederaufbau. Die Angst vor dem Streak-Verlust hält Teilnehmer aktiv — genau das treibt den perpetuellen Burn.</w:t>
      </w:r>
    </w:p>
    <w:p>
      <w:pPr>
        <w:pStyle w:val="Heading2"/>
      </w:pPr>
      <w:r>
        <w:t>3.3 Burn-to-Boost Staking ("Fuel")</w:t>
      </w:r>
    </w:p>
    <w:p>
      <w:r>
        <w:t>Staker können ihre Shares aktiv erhöhen, indem sie TitanX/DragonX als "Fuel" verbrennen. DragonX gibt 2x Fuel. Maximum: +50% Shares. Dreifacher Deflationsdruck: Minting + Epochs + Fuel.</w:t>
      </w:r>
    </w:p>
    <w:p>
      <w:pPr>
        <w:pStyle w:val="Heading1"/>
      </w:pPr>
      <w:r>
        <w:t>4. Das Deflations-Flywheel</w:t>
      </w:r>
    </w:p>
    <w:p>
      <w:pPr>
        <w:jc w:val="center"/>
      </w:pPr>
      <w:r>
        <w:drawing>
          <wp:inline xmlns:a="http://schemas.openxmlformats.org/drawingml/2006/main" xmlns:pic="http://schemas.openxmlformats.org/drawingml/2006/picture">
            <wp:extent cx="4114800" cy="4273181"/>
            <wp:docPr id="2" name="Picture 2"/>
            <wp:cNvGraphicFramePr>
              <a:graphicFrameLocks noChangeAspect="1"/>
            </wp:cNvGraphicFramePr>
            <a:graphic>
              <a:graphicData uri="http://schemas.openxmlformats.org/drawingml/2006/picture">
                <pic:pic>
                  <pic:nvPicPr>
                    <pic:cNvPr id="0" name="flywheel.png"/>
                    <pic:cNvPicPr/>
                  </pic:nvPicPr>
                  <pic:blipFill>
                    <a:blip r:embed="rId10"/>
                    <a:stretch>
                      <a:fillRect/>
                    </a:stretch>
                  </pic:blipFill>
                  <pic:spPr>
                    <a:xfrm>
                      <a:off x="0" y="0"/>
                      <a:ext cx="4114800" cy="4273181"/>
                    </a:xfrm>
                    <a:prstGeom prst="rect"/>
                  </pic:spPr>
                </pic:pic>
              </a:graphicData>
            </a:graphic>
          </wp:inline>
        </w:drawing>
      </w:r>
    </w:p>
    <w:p>
      <w:r>
        <w:t>Der selbstverstärkende Kreislauf: Schritt 1: User verbrennen TitanX/DragonX. Schritt 2: 35% permanent geburnt, 35% DragonX-Vault, 22% Treasury Max-Stake, 8% Genesis. Schritt 3: Gestaktes TitanX generiert ETH bei jedem Payout-Zyklus. Schritt 4: 80% ETH an Epoch-Burner, 20% an HBURN-Staker. Schritt 5: Mehr Burns → Mehr Stakes → Mehr ETH → Mehr Rewards → Mehr Burns.</w:t>
      </w:r>
    </w:p>
    <w:p>
      <w:pPr>
        <w:jc w:val="center"/>
      </w:pPr>
      <w:r>
        <w:drawing>
          <wp:inline xmlns:a="http://schemas.openxmlformats.org/drawingml/2006/main" xmlns:pic="http://schemas.openxmlformats.org/drawingml/2006/picture">
            <wp:extent cx="4114800" cy="3895078"/>
            <wp:docPr id="3" name="Picture 3"/>
            <wp:cNvGraphicFramePr>
              <a:graphicFrameLocks noChangeAspect="1"/>
            </wp:cNvGraphicFramePr>
            <a:graphic>
              <a:graphicData uri="http://schemas.openxmlformats.org/drawingml/2006/picture">
                <pic:pic>
                  <pic:nvPicPr>
                    <pic:cNvPr id="0" name="distribution_pie.png"/>
                    <pic:cNvPicPr/>
                  </pic:nvPicPr>
                  <pic:blipFill>
                    <a:blip r:embed="rId11"/>
                    <a:stretch>
                      <a:fillRect/>
                    </a:stretch>
                  </pic:blipFill>
                  <pic:spPr>
                    <a:xfrm>
                      <a:off x="0" y="0"/>
                      <a:ext cx="4114800" cy="3895078"/>
                    </a:xfrm>
                    <a:prstGeom prst="rect"/>
                  </pic:spPr>
                </pic:pic>
              </a:graphicData>
            </a:graphic>
          </wp:inline>
        </w:drawing>
      </w:r>
    </w:p>
    <w:p>
      <w:pPr>
        <w:pStyle w:val="Heading1"/>
      </w:pPr>
      <w:r>
        <w:t>5. Genesis-Phase — Dein Einstiegspunkt</w:t>
      </w:r>
    </w:p>
    <w:p>
      <w:r>
        <w:t>Die Genesis Burn Phase (28 Tage) ist die einzige Möglichkeit, HBURN zu minten:</w:t>
      </w:r>
    </w:p>
    <w:p>
      <w:pPr>
        <w:jc w:val="center"/>
      </w:pPr>
      <w:r>
        <w:drawing>
          <wp:inline xmlns:a="http://schemas.openxmlformats.org/drawingml/2006/main" xmlns:pic="http://schemas.openxmlformats.org/drawingml/2006/picture">
            <wp:extent cx="4572000" cy="2899154"/>
            <wp:docPr id="4" name="Picture 4"/>
            <wp:cNvGraphicFramePr>
              <a:graphicFrameLocks noChangeAspect="1"/>
            </wp:cNvGraphicFramePr>
            <a:graphic>
              <a:graphicData uri="http://schemas.openxmlformats.org/drawingml/2006/picture">
                <pic:pic>
                  <pic:nvPicPr>
                    <pic:cNvPr id="0" name="genesis_ratio.png"/>
                    <pic:cNvPicPr/>
                  </pic:nvPicPr>
                  <pic:blipFill>
                    <a:blip r:embed="rId12"/>
                    <a:stretch>
                      <a:fillRect/>
                    </a:stretch>
                  </pic:blipFill>
                  <pic:spPr>
                    <a:xfrm>
                      <a:off x="0" y="0"/>
                      <a:ext cx="4572000" cy="2899154"/>
                    </a:xfrm>
                    <a:prstGeom prst="rect"/>
                  </pic:spPr>
                </pic:pic>
              </a:graphicData>
            </a:graphic>
          </wp:inline>
        </w:drawing>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a1a2e" w:color="auto" w:val="clear"/>
          </w:tcPr>
          <w:p>
            <w:pPr>
              <w:jc w:val="center"/>
            </w:pPr>
            <w:r>
              <w:rPr>
                <w:b/>
                <w:color w:val="FFFFFF"/>
                <w:sz w:val="18"/>
              </w:rPr>
              <w:t>Woche</w:t>
            </w:r>
          </w:p>
        </w:tc>
        <w:tc>
          <w:tcPr>
            <w:tcW w:type="dxa" w:w="1728"/>
            <w:shd w:fill="1a1a2e" w:color="auto" w:val="clear"/>
          </w:tcPr>
          <w:p>
            <w:pPr>
              <w:jc w:val="center"/>
            </w:pPr>
            <w:r>
              <w:rPr>
                <w:b/>
                <w:color w:val="FFFFFF"/>
                <w:sz w:val="18"/>
              </w:rPr>
              <w:t>Basis-Ratio</w:t>
            </w:r>
          </w:p>
        </w:tc>
        <w:tc>
          <w:tcPr>
            <w:tcW w:type="dxa" w:w="1728"/>
            <w:shd w:fill="1a1a2e" w:color="auto" w:val="clear"/>
          </w:tcPr>
          <w:p>
            <w:pPr>
              <w:jc w:val="center"/>
            </w:pPr>
            <w:r>
              <w:rPr>
                <w:b/>
                <w:color w:val="FFFFFF"/>
                <w:sz w:val="18"/>
              </w:rPr>
              <w:t>Early Bonus</w:t>
            </w:r>
          </w:p>
        </w:tc>
        <w:tc>
          <w:tcPr>
            <w:tcW w:type="dxa" w:w="1728"/>
            <w:shd w:fill="1a1a2e" w:color="auto" w:val="clear"/>
          </w:tcPr>
          <w:p>
            <w:pPr>
              <w:jc w:val="center"/>
            </w:pPr>
            <w:r>
              <w:rPr>
                <w:b/>
                <w:color w:val="FFFFFF"/>
                <w:sz w:val="18"/>
              </w:rPr>
              <w:t>Effektive Rate</w:t>
            </w:r>
          </w:p>
        </w:tc>
        <w:tc>
          <w:tcPr>
            <w:tcW w:type="dxa" w:w="1728"/>
            <w:shd w:fill="1a1a2e" w:color="auto" w:val="clear"/>
          </w:tcPr>
          <w:p>
            <w:pPr>
              <w:jc w:val="center"/>
            </w:pPr>
            <w:r>
              <w:rPr>
                <w:b/>
                <w:color w:val="FFFFFF"/>
                <w:sz w:val="18"/>
              </w:rPr>
              <w:t>HBURN pro 1B TitanX</w:t>
            </w:r>
          </w:p>
        </w:tc>
      </w:tr>
      <w:tr>
        <w:tc>
          <w:tcPr>
            <w:tcW w:type="dxa" w:w="1728"/>
            <w:shd w:fill="f5f5f5" w:color="auto" w:val="clear"/>
          </w:tcPr>
          <w:p>
            <w:pPr>
              <w:jc w:val="center"/>
            </w:pPr>
            <w:r>
              <w:rPr>
                <w:sz w:val="18"/>
              </w:rPr>
              <w:t>Woche 1 (Tag 1-7)</w:t>
            </w:r>
          </w:p>
        </w:tc>
        <w:tc>
          <w:tcPr>
            <w:tcW w:type="dxa" w:w="1728"/>
            <w:shd w:fill="f5f5f5" w:color="auto" w:val="clear"/>
          </w:tcPr>
          <w:p>
            <w:pPr>
              <w:jc w:val="center"/>
            </w:pPr>
            <w:r>
              <w:rPr>
                <w:sz w:val="18"/>
              </w:rPr>
              <w:t>1:1.00</w:t>
            </w:r>
          </w:p>
        </w:tc>
        <w:tc>
          <w:tcPr>
            <w:tcW w:type="dxa" w:w="1728"/>
            <w:shd w:fill="f5f5f5" w:color="auto" w:val="clear"/>
          </w:tcPr>
          <w:p>
            <w:pPr>
              <w:jc w:val="center"/>
            </w:pPr>
            <w:r>
              <w:rPr>
                <w:sz w:val="18"/>
              </w:rPr>
              <w:t>+15%</w:t>
            </w:r>
          </w:p>
        </w:tc>
        <w:tc>
          <w:tcPr>
            <w:tcW w:type="dxa" w:w="1728"/>
            <w:shd w:fill="f5f5f5" w:color="auto" w:val="clear"/>
          </w:tcPr>
          <w:p>
            <w:pPr>
              <w:jc w:val="center"/>
            </w:pPr>
            <w:r>
              <w:rPr>
                <w:sz w:val="18"/>
              </w:rPr>
              <w:t>1:1.15</w:t>
            </w:r>
          </w:p>
        </w:tc>
        <w:tc>
          <w:tcPr>
            <w:tcW w:type="dxa" w:w="1728"/>
            <w:shd w:fill="f5f5f5" w:color="auto" w:val="clear"/>
          </w:tcPr>
          <w:p>
            <w:pPr>
              <w:jc w:val="center"/>
            </w:pPr>
            <w:r>
              <w:rPr>
                <w:sz w:val="18"/>
              </w:rPr>
              <w:t>1.150.000.000 HBURN</w:t>
            </w:r>
          </w:p>
        </w:tc>
      </w:tr>
      <w:tr>
        <w:tc>
          <w:tcPr>
            <w:tcW w:type="dxa" w:w="1728"/>
          </w:tcPr>
          <w:p>
            <w:pPr>
              <w:jc w:val="center"/>
            </w:pPr>
            <w:r>
              <w:rPr>
                <w:sz w:val="18"/>
              </w:rPr>
              <w:t>Woche 2 (Tag 8-14)</w:t>
            </w:r>
          </w:p>
        </w:tc>
        <w:tc>
          <w:tcPr>
            <w:tcW w:type="dxa" w:w="1728"/>
          </w:tcPr>
          <w:p>
            <w:pPr>
              <w:jc w:val="center"/>
            </w:pPr>
            <w:r>
              <w:rPr>
                <w:sz w:val="18"/>
              </w:rPr>
              <w:t>1:0.95</w:t>
            </w:r>
          </w:p>
        </w:tc>
        <w:tc>
          <w:tcPr>
            <w:tcW w:type="dxa" w:w="1728"/>
          </w:tcPr>
          <w:p>
            <w:pPr>
              <w:jc w:val="center"/>
            </w:pPr>
            <w:r>
              <w:rPr>
                <w:sz w:val="18"/>
              </w:rPr>
              <w:t>+10%</w:t>
            </w:r>
          </w:p>
        </w:tc>
        <w:tc>
          <w:tcPr>
            <w:tcW w:type="dxa" w:w="1728"/>
          </w:tcPr>
          <w:p>
            <w:pPr>
              <w:jc w:val="center"/>
            </w:pPr>
            <w:r>
              <w:rPr>
                <w:sz w:val="18"/>
              </w:rPr>
              <w:t>1:1.045</w:t>
            </w:r>
          </w:p>
        </w:tc>
        <w:tc>
          <w:tcPr>
            <w:tcW w:type="dxa" w:w="1728"/>
          </w:tcPr>
          <w:p>
            <w:pPr>
              <w:jc w:val="center"/>
            </w:pPr>
            <w:r>
              <w:rPr>
                <w:sz w:val="18"/>
              </w:rPr>
              <w:t>1.045.000.000 HBURN</w:t>
            </w:r>
          </w:p>
        </w:tc>
      </w:tr>
      <w:tr>
        <w:tc>
          <w:tcPr>
            <w:tcW w:type="dxa" w:w="1728"/>
            <w:shd w:fill="f5f5f5" w:color="auto" w:val="clear"/>
          </w:tcPr>
          <w:p>
            <w:pPr>
              <w:jc w:val="center"/>
            </w:pPr>
            <w:r>
              <w:rPr>
                <w:sz w:val="18"/>
              </w:rPr>
              <w:t>Woche 3 (Tag 15-21)</w:t>
            </w:r>
          </w:p>
        </w:tc>
        <w:tc>
          <w:tcPr>
            <w:tcW w:type="dxa" w:w="1728"/>
            <w:shd w:fill="f5f5f5" w:color="auto" w:val="clear"/>
          </w:tcPr>
          <w:p>
            <w:pPr>
              <w:jc w:val="center"/>
            </w:pPr>
            <w:r>
              <w:rPr>
                <w:sz w:val="18"/>
              </w:rPr>
              <w:t>1:0.90</w:t>
            </w:r>
          </w:p>
        </w:tc>
        <w:tc>
          <w:tcPr>
            <w:tcW w:type="dxa" w:w="1728"/>
            <w:shd w:fill="f5f5f5" w:color="auto" w:val="clear"/>
          </w:tcPr>
          <w:p>
            <w:pPr>
              <w:jc w:val="center"/>
            </w:pPr>
            <w:r>
              <w:rPr>
                <w:sz w:val="18"/>
              </w:rPr>
              <w:t>+5%</w:t>
            </w:r>
          </w:p>
        </w:tc>
        <w:tc>
          <w:tcPr>
            <w:tcW w:type="dxa" w:w="1728"/>
            <w:shd w:fill="f5f5f5" w:color="auto" w:val="clear"/>
          </w:tcPr>
          <w:p>
            <w:pPr>
              <w:jc w:val="center"/>
            </w:pPr>
            <w:r>
              <w:rPr>
                <w:sz w:val="18"/>
              </w:rPr>
              <w:t>1:0.945</w:t>
            </w:r>
          </w:p>
        </w:tc>
        <w:tc>
          <w:tcPr>
            <w:tcW w:type="dxa" w:w="1728"/>
            <w:shd w:fill="f5f5f5" w:color="auto" w:val="clear"/>
          </w:tcPr>
          <w:p>
            <w:pPr>
              <w:jc w:val="center"/>
            </w:pPr>
            <w:r>
              <w:rPr>
                <w:sz w:val="18"/>
              </w:rPr>
              <w:t>945.000.000 HBURN</w:t>
            </w:r>
          </w:p>
        </w:tc>
      </w:tr>
      <w:tr>
        <w:tc>
          <w:tcPr>
            <w:tcW w:type="dxa" w:w="1728"/>
          </w:tcPr>
          <w:p>
            <w:pPr>
              <w:jc w:val="center"/>
            </w:pPr>
            <w:r>
              <w:rPr>
                <w:sz w:val="18"/>
              </w:rPr>
              <w:t>Woche 4 (Tag 22-28)</w:t>
            </w:r>
          </w:p>
        </w:tc>
        <w:tc>
          <w:tcPr>
            <w:tcW w:type="dxa" w:w="1728"/>
          </w:tcPr>
          <w:p>
            <w:pPr>
              <w:jc w:val="center"/>
            </w:pPr>
            <w:r>
              <w:rPr>
                <w:sz w:val="18"/>
              </w:rPr>
              <w:t>1:0.85</w:t>
            </w:r>
          </w:p>
        </w:tc>
        <w:tc>
          <w:tcPr>
            <w:tcW w:type="dxa" w:w="1728"/>
          </w:tcPr>
          <w:p>
            <w:pPr>
              <w:jc w:val="center"/>
            </w:pPr>
            <w:r>
              <w:rPr>
                <w:sz w:val="18"/>
              </w:rPr>
              <w:t>Kein Bonus</w:t>
            </w:r>
          </w:p>
        </w:tc>
        <w:tc>
          <w:tcPr>
            <w:tcW w:type="dxa" w:w="1728"/>
          </w:tcPr>
          <w:p>
            <w:pPr>
              <w:jc w:val="center"/>
            </w:pPr>
            <w:r>
              <w:rPr>
                <w:sz w:val="18"/>
              </w:rPr>
              <w:t>1:0.85</w:t>
            </w:r>
          </w:p>
        </w:tc>
        <w:tc>
          <w:tcPr>
            <w:tcW w:type="dxa" w:w="1728"/>
          </w:tcPr>
          <w:p>
            <w:pPr>
              <w:jc w:val="center"/>
            </w:pPr>
            <w:r>
              <w:rPr>
                <w:sz w:val="18"/>
              </w:rPr>
              <w:t>850.000.000 HBURN</w:t>
            </w:r>
          </w:p>
        </w:tc>
      </w:tr>
    </w:tbl>
    <w:p>
      <w:pPr>
        <w:pStyle w:val="Heading2"/>
      </w:pPr>
      <w:r>
        <w:t>Praxisbeispiel: Alice burned 5B TitanX in Woche 1</w:t>
      </w:r>
    </w:p>
    <w:p>
      <w:r>
        <w:t>Alice nimmt am Tag 3 (Woche 1) mit 5.000.000.000 TitanX teil.</w:t>
      </w:r>
    </w:p>
    <w:p>
      <w:r>
        <w:rPr>
          <w:b/>
        </w:rPr>
        <w:t>Berechnung:</w:t>
      </w:r>
    </w:p>
    <w:p>
      <w:r>
        <w:t xml:space="preserve">  - Effektive Rate: 1,15 HBURN pro TitanX</w:t>
      </w:r>
    </w:p>
    <w:p>
      <w:r>
        <w:t xml:space="preserve">  - HBURN gesamt: 5.000.000.000 x 1,15 = 5.750.000.000 HBURN</w:t>
      </w:r>
    </w:p>
    <w:p>
      <w:r>
        <w:t xml:space="preserve">  - Sofort verfügbar (25%): 1.437.500.000 HBURN</w:t>
      </w:r>
    </w:p>
    <w:p>
      <w:r>
        <w:t xml:space="preserve">  - Vesting über 28 Tage (75%): 4.312.500.000 HBURN (~154.017.857/Tag)</w:t>
      </w:r>
    </w:p>
    <w:p/>
    <w:p>
      <w:r>
        <w:rPr>
          <w:b/>
        </w:rPr>
        <w:t xml:space="preserve">Vergleich: </w:t>
      </w:r>
      <w:r>
        <w:t>Hätte Alice bis Woche 4 gewartet, wären es nur 4.250.000.000 HBURN — 1.500.000.000 weniger (26% weniger Token). Frühes Mitmachen lohnt sich deutlich.</w:t>
      </w:r>
    </w:p>
    <w:p>
      <w:pPr>
        <w:pStyle w:val="Heading1"/>
      </w:pPr>
      <w:r>
        <w:t>6. Burn Epochs — Wettbewerb um ETH</w:t>
      </w:r>
    </w:p>
    <w:p>
      <w:r>
        <w:t>Nach Genesis beginnt die kompetitive Phase. Alle 8 Tage eine neue Epoch. User burnen TitanX (1x) oder DragonX (2x Gewichtung). ETH wird proportional verteilt.</w:t>
      </w:r>
    </w:p>
    <w:p>
      <w:pPr>
        <w:jc w:val="center"/>
      </w:pPr>
      <w:r>
        <w:drawing>
          <wp:inline xmlns:a="http://schemas.openxmlformats.org/drawingml/2006/main" xmlns:pic="http://schemas.openxmlformats.org/drawingml/2006/picture">
            <wp:extent cx="4572000" cy="1990741"/>
            <wp:docPr id="5" name="Picture 5"/>
            <wp:cNvGraphicFramePr>
              <a:graphicFrameLocks noChangeAspect="1"/>
            </wp:cNvGraphicFramePr>
            <a:graphic>
              <a:graphicData uri="http://schemas.openxmlformats.org/drawingml/2006/picture">
                <pic:pic>
                  <pic:nvPicPr>
                    <pic:cNvPr id="0" name="eth_distribution.png"/>
                    <pic:cNvPicPr/>
                  </pic:nvPicPr>
                  <pic:blipFill>
                    <a:blip r:embed="rId13"/>
                    <a:stretch>
                      <a:fillRect/>
                    </a:stretch>
                  </pic:blipFill>
                  <pic:spPr>
                    <a:xfrm>
                      <a:off x="0" y="0"/>
                      <a:ext cx="4572000" cy="1990741"/>
                    </a:xfrm>
                    <a:prstGeom prst="rect"/>
                  </pic:spPr>
                </pic:pic>
              </a:graphicData>
            </a:graphic>
          </wp:inline>
        </w:drawing>
      </w:r>
    </w:p>
    <w:p>
      <w:pPr>
        <w:pStyle w:val="Heading2"/>
      </w:pPr>
      <w:r>
        <w:t>Praxisbeispiel: Bob in Epoch 5</w:t>
      </w:r>
    </w:p>
    <w:p>
      <w:r>
        <w:t>Der Epoch-Pool enthält 10 ETH. Bob hat seit Epoch 1 teilgenommen (5er-Streak = 2.0x). Er burned 100.000 DragonX.</w:t>
      </w:r>
    </w:p>
    <w:p>
      <w:r>
        <w:rPr>
          <w:b/>
        </w:rPr>
        <w:t>Bobs gewichteter Burn:</w:t>
      </w:r>
    </w:p>
    <w:p>
      <w:r>
        <w:t xml:space="preserve">  - DragonX-Gewicht: 2x</w:t>
      </w:r>
    </w:p>
    <w:p>
      <w:r>
        <w:t xml:space="preserve">  - Streak-Multiplier: 2.0x</w:t>
      </w:r>
    </w:p>
    <w:p>
      <w:r>
        <w:t xml:space="preserve">  - Gewichteter Burn: 100.000 x 2 x 2,0 = 400.000 gewichtete Einheiten</w:t>
      </w:r>
    </w:p>
    <w:p/>
    <w:p>
      <w:r>
        <w:t>Bei 2.000.000 gesamten gewichteten Burns: Bobs Anteil = 400.000 / 2.000.000 = 20%. Er erhält 20% des 80% Burner-Pools = 1,6 ETH.</w:t>
      </w:r>
    </w:p>
    <w:p>
      <w:r>
        <w:rPr>
          <w:b/>
        </w:rPr>
        <w:t xml:space="preserve">Ohne Streak: </w:t>
      </w:r>
      <w:r>
        <w:t>Nur 200.000 gewichtet → halber Anteil → nur 0,8 ETH. Der Streak verdoppelt seine Rewards.</w:t>
      </w:r>
    </w:p>
    <w:p>
      <w:pPr>
        <w:pStyle w:val="Heading2"/>
      </w:pPr>
      <w:r>
        <w:t>Streak-Wachstum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1a2e" w:color="auto" w:val="clear"/>
          </w:tcPr>
          <w:p>
            <w:pPr>
              <w:jc w:val="center"/>
            </w:pPr>
            <w:r>
              <w:rPr>
                <w:b/>
                <w:color w:val="FFFFFF"/>
                <w:sz w:val="18"/>
              </w:rPr>
              <w:t>Konsekutive Epochs</w:t>
            </w:r>
          </w:p>
        </w:tc>
        <w:tc>
          <w:tcPr>
            <w:tcW w:type="dxa" w:w="2160"/>
            <w:shd w:fill="1a1a2e" w:color="auto" w:val="clear"/>
          </w:tcPr>
          <w:p>
            <w:pPr>
              <w:jc w:val="center"/>
            </w:pPr>
            <w:r>
              <w:rPr>
                <w:b/>
                <w:color w:val="FFFFFF"/>
                <w:sz w:val="18"/>
              </w:rPr>
              <w:t>Multiplier</w:t>
            </w:r>
          </w:p>
        </w:tc>
        <w:tc>
          <w:tcPr>
            <w:tcW w:type="dxa" w:w="2160"/>
            <w:shd w:fill="1a1a2e" w:color="auto" w:val="clear"/>
          </w:tcPr>
          <w:p>
            <w:pPr>
              <w:jc w:val="center"/>
            </w:pPr>
            <w:r>
              <w:rPr>
                <w:b/>
                <w:color w:val="FFFFFF"/>
                <w:sz w:val="18"/>
              </w:rPr>
              <w:t>Zeitraum</w:t>
            </w:r>
          </w:p>
        </w:tc>
        <w:tc>
          <w:tcPr>
            <w:tcW w:type="dxa" w:w="2160"/>
            <w:shd w:fill="1a1a2e" w:color="auto" w:val="clear"/>
          </w:tcPr>
          <w:p>
            <w:pPr>
              <w:jc w:val="center"/>
            </w:pPr>
            <w:r>
              <w:rPr>
                <w:b/>
                <w:color w:val="FFFFFF"/>
                <w:sz w:val="18"/>
              </w:rPr>
              <w:t>Vorteil vs. 1.0x</w:t>
            </w:r>
          </w:p>
        </w:tc>
      </w:tr>
      <w:tr>
        <w:tc>
          <w:tcPr>
            <w:tcW w:type="dxa" w:w="2160"/>
            <w:shd w:fill="f5f5f5" w:color="auto" w:val="clear"/>
          </w:tcPr>
          <w:p>
            <w:pPr>
              <w:jc w:val="center"/>
            </w:pPr>
            <w:r>
              <w:rPr>
                <w:sz w:val="18"/>
              </w:rPr>
              <w:t>1</w:t>
            </w:r>
          </w:p>
        </w:tc>
        <w:tc>
          <w:tcPr>
            <w:tcW w:type="dxa" w:w="2160"/>
            <w:shd w:fill="f5f5f5" w:color="auto" w:val="clear"/>
          </w:tcPr>
          <w:p>
            <w:pPr>
              <w:jc w:val="center"/>
            </w:pPr>
            <w:r>
              <w:rPr>
                <w:sz w:val="18"/>
              </w:rPr>
              <w:t>1.0x</w:t>
            </w:r>
          </w:p>
        </w:tc>
        <w:tc>
          <w:tcPr>
            <w:tcW w:type="dxa" w:w="2160"/>
            <w:shd w:fill="f5f5f5" w:color="auto" w:val="clear"/>
          </w:tcPr>
          <w:p>
            <w:pPr>
              <w:jc w:val="center"/>
            </w:pPr>
            <w:r>
              <w:rPr>
                <w:sz w:val="18"/>
              </w:rPr>
              <w:t>8 Tage</w:t>
            </w:r>
          </w:p>
        </w:tc>
        <w:tc>
          <w:tcPr>
            <w:tcW w:type="dxa" w:w="2160"/>
            <w:shd w:fill="f5f5f5" w:color="auto" w:val="clear"/>
          </w:tcPr>
          <w:p>
            <w:pPr>
              <w:jc w:val="center"/>
            </w:pPr>
            <w:r>
              <w:rPr>
                <w:sz w:val="18"/>
              </w:rPr>
              <w:t>Basis</w:t>
            </w:r>
          </w:p>
        </w:tc>
      </w:tr>
      <w:tr>
        <w:tc>
          <w:tcPr>
            <w:tcW w:type="dxa" w:w="2160"/>
          </w:tcPr>
          <w:p>
            <w:pPr>
              <w:jc w:val="center"/>
            </w:pPr>
            <w:r>
              <w:rPr>
                <w:sz w:val="18"/>
              </w:rPr>
              <w:t>3</w:t>
            </w:r>
          </w:p>
        </w:tc>
        <w:tc>
          <w:tcPr>
            <w:tcW w:type="dxa" w:w="2160"/>
          </w:tcPr>
          <w:p>
            <w:pPr>
              <w:jc w:val="center"/>
            </w:pPr>
            <w:r>
              <w:rPr>
                <w:sz w:val="18"/>
              </w:rPr>
              <w:t>1.4x</w:t>
            </w:r>
          </w:p>
        </w:tc>
        <w:tc>
          <w:tcPr>
            <w:tcW w:type="dxa" w:w="2160"/>
          </w:tcPr>
          <w:p>
            <w:pPr>
              <w:jc w:val="center"/>
            </w:pPr>
            <w:r>
              <w:rPr>
                <w:sz w:val="18"/>
              </w:rPr>
              <w:t>24 Tage</w:t>
            </w:r>
          </w:p>
        </w:tc>
        <w:tc>
          <w:tcPr>
            <w:tcW w:type="dxa" w:w="2160"/>
          </w:tcPr>
          <w:p>
            <w:pPr>
              <w:jc w:val="center"/>
            </w:pPr>
            <w:r>
              <w:rPr>
                <w:sz w:val="18"/>
              </w:rPr>
              <w:t>+40%</w:t>
            </w:r>
          </w:p>
        </w:tc>
      </w:tr>
      <w:tr>
        <w:tc>
          <w:tcPr>
            <w:tcW w:type="dxa" w:w="2160"/>
            <w:shd w:fill="f5f5f5" w:color="auto" w:val="clear"/>
          </w:tcPr>
          <w:p>
            <w:pPr>
              <w:jc w:val="center"/>
            </w:pPr>
            <w:r>
              <w:rPr>
                <w:sz w:val="18"/>
              </w:rPr>
              <w:t>5</w:t>
            </w:r>
          </w:p>
        </w:tc>
        <w:tc>
          <w:tcPr>
            <w:tcW w:type="dxa" w:w="2160"/>
            <w:shd w:fill="f5f5f5" w:color="auto" w:val="clear"/>
          </w:tcPr>
          <w:p>
            <w:pPr>
              <w:jc w:val="center"/>
            </w:pPr>
            <w:r>
              <w:rPr>
                <w:sz w:val="18"/>
              </w:rPr>
              <w:t>1.8x</w:t>
            </w:r>
          </w:p>
        </w:tc>
        <w:tc>
          <w:tcPr>
            <w:tcW w:type="dxa" w:w="2160"/>
            <w:shd w:fill="f5f5f5" w:color="auto" w:val="clear"/>
          </w:tcPr>
          <w:p>
            <w:pPr>
              <w:jc w:val="center"/>
            </w:pPr>
            <w:r>
              <w:rPr>
                <w:sz w:val="18"/>
              </w:rPr>
              <w:t>40 Tage</w:t>
            </w:r>
          </w:p>
        </w:tc>
        <w:tc>
          <w:tcPr>
            <w:tcW w:type="dxa" w:w="2160"/>
            <w:shd w:fill="f5f5f5" w:color="auto" w:val="clear"/>
          </w:tcPr>
          <w:p>
            <w:pPr>
              <w:jc w:val="center"/>
            </w:pPr>
            <w:r>
              <w:rPr>
                <w:sz w:val="18"/>
              </w:rPr>
              <w:t>+80%</w:t>
            </w:r>
          </w:p>
        </w:tc>
      </w:tr>
      <w:tr>
        <w:tc>
          <w:tcPr>
            <w:tcW w:type="dxa" w:w="2160"/>
          </w:tcPr>
          <w:p>
            <w:pPr>
              <w:jc w:val="center"/>
            </w:pPr>
            <w:r>
              <w:rPr>
                <w:sz w:val="18"/>
              </w:rPr>
              <w:t>8</w:t>
            </w:r>
          </w:p>
        </w:tc>
        <w:tc>
          <w:tcPr>
            <w:tcW w:type="dxa" w:w="2160"/>
          </w:tcPr>
          <w:p>
            <w:pPr>
              <w:jc w:val="center"/>
            </w:pPr>
            <w:r>
              <w:rPr>
                <w:sz w:val="18"/>
              </w:rPr>
              <w:t>2.4x</w:t>
            </w:r>
          </w:p>
        </w:tc>
        <w:tc>
          <w:tcPr>
            <w:tcW w:type="dxa" w:w="2160"/>
          </w:tcPr>
          <w:p>
            <w:pPr>
              <w:jc w:val="center"/>
            </w:pPr>
            <w:r>
              <w:rPr>
                <w:sz w:val="18"/>
              </w:rPr>
              <w:t>64 Tage</w:t>
            </w:r>
          </w:p>
        </w:tc>
        <w:tc>
          <w:tcPr>
            <w:tcW w:type="dxa" w:w="2160"/>
          </w:tcPr>
          <w:p>
            <w:pPr>
              <w:jc w:val="center"/>
            </w:pPr>
            <w:r>
              <w:rPr>
                <w:sz w:val="18"/>
              </w:rPr>
              <w:t>+140%</w:t>
            </w:r>
          </w:p>
        </w:tc>
      </w:tr>
      <w:tr>
        <w:tc>
          <w:tcPr>
            <w:tcW w:type="dxa" w:w="2160"/>
            <w:shd w:fill="f5f5f5" w:color="auto" w:val="clear"/>
          </w:tcPr>
          <w:p>
            <w:pPr>
              <w:jc w:val="center"/>
            </w:pPr>
            <w:r>
              <w:rPr>
                <w:sz w:val="18"/>
              </w:rPr>
              <w:t>11+</w:t>
            </w:r>
          </w:p>
        </w:tc>
        <w:tc>
          <w:tcPr>
            <w:tcW w:type="dxa" w:w="2160"/>
            <w:shd w:fill="f5f5f5" w:color="auto" w:val="clear"/>
          </w:tcPr>
          <w:p>
            <w:pPr>
              <w:jc w:val="center"/>
            </w:pPr>
            <w:r>
              <w:rPr>
                <w:sz w:val="18"/>
              </w:rPr>
              <w:t>3.0x (MAX)</w:t>
            </w:r>
          </w:p>
        </w:tc>
        <w:tc>
          <w:tcPr>
            <w:tcW w:type="dxa" w:w="2160"/>
            <w:shd w:fill="f5f5f5" w:color="auto" w:val="clear"/>
          </w:tcPr>
          <w:p>
            <w:pPr>
              <w:jc w:val="center"/>
            </w:pPr>
            <w:r>
              <w:rPr>
                <w:sz w:val="18"/>
              </w:rPr>
              <w:t>88+ Tage</w:t>
            </w:r>
          </w:p>
        </w:tc>
        <w:tc>
          <w:tcPr>
            <w:tcW w:type="dxa" w:w="2160"/>
            <w:shd w:fill="f5f5f5" w:color="auto" w:val="clear"/>
          </w:tcPr>
          <w:p>
            <w:pPr>
              <w:jc w:val="center"/>
            </w:pPr>
            <w:r>
              <w:rPr>
                <w:sz w:val="18"/>
              </w:rPr>
              <w:t>+200%</w:t>
            </w:r>
          </w:p>
        </w:tc>
      </w:tr>
    </w:tbl>
    <w:p>
      <w:pPr>
        <w:pStyle w:val="Heading1"/>
      </w:pPr>
      <w:r>
        <w:t>7. Staking &amp; Real Yield</w:t>
      </w:r>
    </w:p>
    <w:p>
      <w:r>
        <w:t>HBURN-Staking bietet realen ETH-Ertrag — kein inflationäres Token-Drucken, sondern echte ETH aus TitanX-Payouts.</w:t>
      </w:r>
    </w:p>
    <w:p>
      <w:r>
        <w:t>Shares = Menge x Time Bonus x Fuel Bonus x Loyalty Bonus</w:t>
      </w:r>
    </w:p>
    <w:p>
      <w:pPr>
        <w:jc w:val="center"/>
      </w:pPr>
      <w:r>
        <w:drawing>
          <wp:inline xmlns:a="http://schemas.openxmlformats.org/drawingml/2006/main" xmlns:pic="http://schemas.openxmlformats.org/drawingml/2006/picture">
            <wp:extent cx="4572000" cy="2536122"/>
            <wp:docPr id="6" name="Picture 6"/>
            <wp:cNvGraphicFramePr>
              <a:graphicFrameLocks noChangeAspect="1"/>
            </wp:cNvGraphicFramePr>
            <a:graphic>
              <a:graphicData uri="http://schemas.openxmlformats.org/drawingml/2006/picture">
                <pic:pic>
                  <pic:nvPicPr>
                    <pic:cNvPr id="0" name="staking_tiers.png"/>
                    <pic:cNvPicPr/>
                  </pic:nvPicPr>
                  <pic:blipFill>
                    <a:blip r:embed="rId14"/>
                    <a:stretch>
                      <a:fillRect/>
                    </a:stretch>
                  </pic:blipFill>
                  <pic:spPr>
                    <a:xfrm>
                      <a:off x="0" y="0"/>
                      <a:ext cx="4572000" cy="2536122"/>
                    </a:xfrm>
                    <a:prstGeom prst="rect"/>
                  </pic:spPr>
                </pic:pic>
              </a:graphicData>
            </a:graphic>
          </wp:inline>
        </w:drawing>
      </w:r>
    </w:p>
    <w:p>
      <w:pPr>
        <w:pStyle w:val="Heading2"/>
      </w:pPr>
      <w:r>
        <w:t>Praxisbeispiel: Carol staked auf Gold</w:t>
      </w:r>
    </w:p>
    <w:p>
      <w:r>
        <w:t>Carol hat 500.000 HBURN, staked 369 Tage (Gold), fügt 200.000 TitanX Fuel hinzu, und hat bereits 1 Restake (1.1x Loyalty).</w:t>
      </w:r>
    </w:p>
    <w:p>
      <w:r>
        <w:t xml:space="preserve">  - Menge: 500.000 HBURN</w:t>
      </w:r>
    </w:p>
    <w:p>
      <w:r>
        <w:t xml:space="preserve">  - Time Bonus: 1.8x (Gold, 369 Tage)</w:t>
      </w:r>
    </w:p>
    <w:p>
      <w:r>
        <w:t xml:space="preserve">  - Fuel Bonus: 1.25x</w:t>
      </w:r>
    </w:p>
    <w:p>
      <w:r>
        <w:t xml:space="preserve">  - Loyalty: 1.1x</w:t>
      </w:r>
    </w:p>
    <w:p>
      <w:r>
        <w:t xml:space="preserve">  - Gesamte Shares: 500.000 x 1,8 x 1,25 x 1,1 = 1.237.500</w:t>
      </w:r>
    </w:p>
    <w:p/>
    <w:p>
      <w:r>
        <w:rPr>
          <w:b/>
        </w:rPr>
        <w:t xml:space="preserve">Ohne Optimierung: </w:t>
      </w:r>
      <w:r>
        <w:t>Bronze (28d) ohne Fuel/Loyalty = nur 500.000 Shares. Carols Strategie gibt 2,475x mehr ETH-Rewards.</w:t>
      </w:r>
    </w:p>
    <w:p>
      <w:pPr>
        <w:pStyle w:val="Heading1"/>
      </w:pPr>
      <w:r>
        <w:t>8. Tokenomics im Detail</w:t>
      </w:r>
    </w:p>
    <w:tbl>
      <w:tblPr>
        <w:tblStyle w:val="TableGrid"/>
        <w:tblW w:type="auto" w:w="0"/>
        <w:jc w:val="center"/>
        <w:tblLook w:firstColumn="1" w:firstRow="1" w:lastColumn="0" w:lastRow="0" w:noHBand="0" w:noVBand="1" w:val="04A0"/>
      </w:tblPr>
      <w:tblGrid>
        <w:gridCol w:w="4320"/>
        <w:gridCol w:w="4320"/>
      </w:tblGrid>
      <w:tr>
        <w:tc>
          <w:tcPr>
            <w:tcW w:type="dxa" w:w="4320"/>
            <w:shd w:fill="1a1a2e" w:color="auto" w:val="clear"/>
          </w:tcPr>
          <w:p>
            <w:pPr>
              <w:jc w:val="center"/>
            </w:pPr>
            <w:r>
              <w:rPr>
                <w:b/>
                <w:color w:val="FFFFFF"/>
                <w:sz w:val="18"/>
              </w:rPr>
              <w:t>Parameter</w:t>
            </w:r>
          </w:p>
        </w:tc>
        <w:tc>
          <w:tcPr>
            <w:tcW w:type="dxa" w:w="4320"/>
            <w:shd w:fill="1a1a2e" w:color="auto" w:val="clear"/>
          </w:tcPr>
          <w:p>
            <w:pPr>
              <w:jc w:val="center"/>
            </w:pPr>
            <w:r>
              <w:rPr>
                <w:b/>
                <w:color w:val="FFFFFF"/>
                <w:sz w:val="18"/>
              </w:rPr>
              <w:t>Wert</w:t>
            </w:r>
          </w:p>
        </w:tc>
      </w:tr>
      <w:tr>
        <w:tc>
          <w:tcPr>
            <w:tcW w:type="dxa" w:w="4320"/>
            <w:shd w:fill="f5f5f5" w:color="auto" w:val="clear"/>
          </w:tcPr>
          <w:p>
            <w:pPr>
              <w:jc w:val="center"/>
            </w:pPr>
            <w:r>
              <w:rPr>
                <w:sz w:val="18"/>
              </w:rPr>
              <w:t>Name</w:t>
            </w:r>
          </w:p>
        </w:tc>
        <w:tc>
          <w:tcPr>
            <w:tcW w:type="dxa" w:w="4320"/>
            <w:shd w:fill="f5f5f5" w:color="auto" w:val="clear"/>
          </w:tcPr>
          <w:p>
            <w:pPr>
              <w:jc w:val="center"/>
            </w:pPr>
            <w:r>
              <w:rPr>
                <w:sz w:val="18"/>
              </w:rPr>
              <w:t>HellBurn</w:t>
            </w:r>
          </w:p>
        </w:tc>
      </w:tr>
      <w:tr>
        <w:tc>
          <w:tcPr>
            <w:tcW w:type="dxa" w:w="4320"/>
          </w:tcPr>
          <w:p>
            <w:pPr>
              <w:jc w:val="center"/>
            </w:pPr>
            <w:r>
              <w:rPr>
                <w:sz w:val="18"/>
              </w:rPr>
              <w:t>Ticker</w:t>
            </w:r>
          </w:p>
        </w:tc>
        <w:tc>
          <w:tcPr>
            <w:tcW w:type="dxa" w:w="4320"/>
          </w:tcPr>
          <w:p>
            <w:pPr>
              <w:jc w:val="center"/>
            </w:pPr>
            <w:r>
              <w:rPr>
                <w:sz w:val="18"/>
              </w:rPr>
              <w:t>HBURN</w:t>
            </w:r>
          </w:p>
        </w:tc>
      </w:tr>
      <w:tr>
        <w:tc>
          <w:tcPr>
            <w:tcW w:type="dxa" w:w="4320"/>
            <w:shd w:fill="f5f5f5" w:color="auto" w:val="clear"/>
          </w:tcPr>
          <w:p>
            <w:pPr>
              <w:jc w:val="center"/>
            </w:pPr>
            <w:r>
              <w:rPr>
                <w:sz w:val="18"/>
              </w:rPr>
              <w:t>Standard</w:t>
            </w:r>
          </w:p>
        </w:tc>
        <w:tc>
          <w:tcPr>
            <w:tcW w:type="dxa" w:w="4320"/>
            <w:shd w:fill="f5f5f5" w:color="auto" w:val="clear"/>
          </w:tcPr>
          <w:p>
            <w:pPr>
              <w:jc w:val="center"/>
            </w:pPr>
            <w:r>
              <w:rPr>
                <w:sz w:val="18"/>
              </w:rPr>
              <w:t>ERC-20 (Ethereum)</w:t>
            </w:r>
          </w:p>
        </w:tc>
      </w:tr>
      <w:tr>
        <w:tc>
          <w:tcPr>
            <w:tcW w:type="dxa" w:w="4320"/>
          </w:tcPr>
          <w:p>
            <w:pPr>
              <w:jc w:val="center"/>
            </w:pPr>
            <w:r>
              <w:rPr>
                <w:sz w:val="18"/>
              </w:rPr>
              <w:t>Supply</w:t>
            </w:r>
          </w:p>
        </w:tc>
        <w:tc>
          <w:tcPr>
            <w:tcW w:type="dxa" w:w="4320"/>
          </w:tcPr>
          <w:p>
            <w:pPr>
              <w:jc w:val="center"/>
            </w:pPr>
            <w:r>
              <w:rPr>
                <w:sz w:val="18"/>
              </w:rPr>
              <w:t>Durch Genesis bestimmt, dann permanent fixiert</w:t>
            </w:r>
          </w:p>
        </w:tc>
      </w:tr>
      <w:tr>
        <w:tc>
          <w:tcPr>
            <w:tcW w:type="dxa" w:w="4320"/>
            <w:shd w:fill="f5f5f5" w:color="auto" w:val="clear"/>
          </w:tcPr>
          <w:p>
            <w:pPr>
              <w:jc w:val="center"/>
            </w:pPr>
            <w:r>
              <w:rPr>
                <w:sz w:val="18"/>
              </w:rPr>
              <w:t>Inflation</w:t>
            </w:r>
          </w:p>
        </w:tc>
        <w:tc>
          <w:tcPr>
            <w:tcW w:type="dxa" w:w="4320"/>
            <w:shd w:fill="f5f5f5" w:color="auto" w:val="clear"/>
          </w:tcPr>
          <w:p>
            <w:pPr>
              <w:jc w:val="center"/>
            </w:pPr>
            <w:r>
              <w:rPr>
                <w:sz w:val="18"/>
              </w:rPr>
              <w:t>0% — kein weiteres Minting möglich</w:t>
            </w:r>
          </w:p>
        </w:tc>
      </w:tr>
      <w:tr>
        <w:tc>
          <w:tcPr>
            <w:tcW w:type="dxa" w:w="4320"/>
          </w:tcPr>
          <w:p>
            <w:pPr>
              <w:jc w:val="center"/>
            </w:pPr>
            <w:r>
              <w:rPr>
                <w:sz w:val="18"/>
              </w:rPr>
              <w:t>Admin Keys</w:t>
            </w:r>
          </w:p>
        </w:tc>
        <w:tc>
          <w:tcPr>
            <w:tcW w:type="dxa" w:w="4320"/>
          </w:tcPr>
          <w:p>
            <w:pPr>
              <w:jc w:val="center"/>
            </w:pPr>
            <w:r>
              <w:rPr>
                <w:sz w:val="18"/>
              </w:rPr>
              <w:t>Keine — vollständig dezentralisiert</w:t>
            </w:r>
          </w:p>
        </w:tc>
      </w:tr>
      <w:tr>
        <w:tc>
          <w:tcPr>
            <w:tcW w:type="dxa" w:w="4320"/>
            <w:shd w:fill="f5f5f5" w:color="auto" w:val="clear"/>
          </w:tcPr>
          <w:p>
            <w:pPr>
              <w:jc w:val="center"/>
            </w:pPr>
            <w:r>
              <w:rPr>
                <w:sz w:val="18"/>
              </w:rPr>
              <w:t>Deflation</w:t>
            </w:r>
          </w:p>
        </w:tc>
        <w:tc>
          <w:tcPr>
            <w:tcW w:type="dxa" w:w="4320"/>
            <w:shd w:fill="f5f5f5" w:color="auto" w:val="clear"/>
          </w:tcPr>
          <w:p>
            <w:pPr>
              <w:jc w:val="center"/>
            </w:pPr>
            <w:r>
              <w:rPr>
                <w:sz w:val="18"/>
              </w:rPr>
              <w:t>Buy &amp; Burn (20% ETH), Penalties, Fuel Burns</w:t>
            </w:r>
          </w:p>
        </w:tc>
      </w:tr>
    </w:tbl>
    <w:p>
      <w:pPr>
        <w:pStyle w:val="Heading1"/>
      </w:pPr>
      <w:r>
        <w:t>9. Day-888-Strategie</w:t>
      </w:r>
    </w:p>
    <w:p>
      <w:r>
        <w:t>TitanX Day 888: ~727 ETH (~$2,39M) im 888-Tage-Payout-Pool. HellBurn startet Genesis vor Day 888, staked sofort max, und fängt den proportionalen ETH-Anteil für Epoch 1 ein.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1a2e" w:color="auto" w:val="clear"/>
          </w:tcPr>
          <w:p>
            <w:pPr>
              <w:jc w:val="center"/>
            </w:pPr>
            <w:r>
              <w:rPr>
                <w:b/>
                <w:color w:val="FFFFFF"/>
                <w:sz w:val="18"/>
              </w:rPr>
              <w:t>Zeitraum</w:t>
            </w:r>
          </w:p>
        </w:tc>
        <w:tc>
          <w:tcPr>
            <w:tcW w:type="dxa" w:w="2880"/>
            <w:shd w:fill="1a1a2e" w:color="auto" w:val="clear"/>
          </w:tcPr>
          <w:p>
            <w:pPr>
              <w:jc w:val="center"/>
            </w:pPr>
            <w:r>
              <w:rPr>
                <w:b/>
                <w:color w:val="FFFFFF"/>
                <w:sz w:val="18"/>
              </w:rPr>
              <w:t>Event</w:t>
            </w:r>
          </w:p>
        </w:tc>
        <w:tc>
          <w:tcPr>
            <w:tcW w:type="dxa" w:w="2880"/>
            <w:shd w:fill="1a1a2e" w:color="auto" w:val="clear"/>
          </w:tcPr>
          <w:p>
            <w:pPr>
              <w:jc w:val="center"/>
            </w:pPr>
            <w:r>
              <w:rPr>
                <w:b/>
                <w:color w:val="FFFFFF"/>
                <w:sz w:val="18"/>
              </w:rPr>
              <w:t>Aktion</w:t>
            </w:r>
          </w:p>
        </w:tc>
      </w:tr>
      <w:tr>
        <w:tc>
          <w:tcPr>
            <w:tcW w:type="dxa" w:w="2880"/>
            <w:shd w:fill="f5f5f5" w:color="auto" w:val="clear"/>
          </w:tcPr>
          <w:p>
            <w:pPr>
              <w:jc w:val="center"/>
            </w:pPr>
            <w:r>
              <w:rPr>
                <w:sz w:val="18"/>
              </w:rPr>
              <w:t>~Tag 852</w:t>
            </w:r>
          </w:p>
        </w:tc>
        <w:tc>
          <w:tcPr>
            <w:tcW w:type="dxa" w:w="2880"/>
            <w:shd w:fill="f5f5f5" w:color="auto" w:val="clear"/>
          </w:tcPr>
          <w:p>
            <w:pPr>
              <w:jc w:val="center"/>
            </w:pPr>
            <w:r>
              <w:rPr>
                <w:sz w:val="18"/>
              </w:rPr>
              <w:t>Deployment</w:t>
            </w:r>
          </w:p>
        </w:tc>
        <w:tc>
          <w:tcPr>
            <w:tcW w:type="dxa" w:w="2880"/>
            <w:shd w:fill="f5f5f5" w:color="auto" w:val="clear"/>
          </w:tcPr>
          <w:p>
            <w:pPr>
              <w:jc w:val="center"/>
            </w:pPr>
            <w:r>
              <w:rPr>
                <w:sz w:val="18"/>
              </w:rPr>
              <w:t>Deploy, Audit, LP erstellen</w:t>
            </w:r>
          </w:p>
        </w:tc>
      </w:tr>
      <w:tr>
        <w:tc>
          <w:tcPr>
            <w:tcW w:type="dxa" w:w="2880"/>
          </w:tcPr>
          <w:p>
            <w:pPr>
              <w:jc w:val="center"/>
            </w:pPr>
            <w:r>
              <w:rPr>
                <w:sz w:val="18"/>
              </w:rPr>
              <w:t>~Tag 855</w:t>
            </w:r>
          </w:p>
        </w:tc>
        <w:tc>
          <w:tcPr>
            <w:tcW w:type="dxa" w:w="2880"/>
          </w:tcPr>
          <w:p>
            <w:pPr>
              <w:jc w:val="center"/>
            </w:pPr>
            <w:r>
              <w:rPr>
                <w:sz w:val="18"/>
              </w:rPr>
              <w:t>Genesis Start</w:t>
            </w:r>
          </w:p>
        </w:tc>
        <w:tc>
          <w:tcPr>
            <w:tcW w:type="dxa" w:w="2880"/>
          </w:tcPr>
          <w:p>
            <w:pPr>
              <w:jc w:val="center"/>
            </w:pPr>
            <w:r>
              <w:rPr>
                <w:sz w:val="18"/>
              </w:rPr>
              <w:t>28-Tage Minting, TitanX sofort gestaked</w:t>
            </w:r>
          </w:p>
        </w:tc>
      </w:tr>
      <w:tr>
        <w:tc>
          <w:tcPr>
            <w:tcW w:type="dxa" w:w="2880"/>
            <w:shd w:fill="f5f5f5" w:color="auto" w:val="clear"/>
          </w:tcPr>
          <w:p>
            <w:pPr>
              <w:jc w:val="center"/>
            </w:pPr>
            <w:r>
              <w:rPr>
                <w:sz w:val="18"/>
              </w:rPr>
              <w:t>Tag 888</w:t>
            </w:r>
          </w:p>
        </w:tc>
        <w:tc>
          <w:tcPr>
            <w:tcW w:type="dxa" w:w="2880"/>
            <w:shd w:fill="f5f5f5" w:color="auto" w:val="clear"/>
          </w:tcPr>
          <w:p>
            <w:pPr>
              <w:jc w:val="center"/>
            </w:pPr>
            <w:r>
              <w:rPr>
                <w:sz w:val="18"/>
              </w:rPr>
              <w:t>MEGA PAYOUT</w:t>
            </w:r>
          </w:p>
        </w:tc>
        <w:tc>
          <w:tcPr>
            <w:tcW w:type="dxa" w:w="2880"/>
            <w:shd w:fill="f5f5f5" w:color="auto" w:val="clear"/>
          </w:tcPr>
          <w:p>
            <w:pPr>
              <w:jc w:val="center"/>
            </w:pPr>
            <w:r>
              <w:rPr>
                <w:sz w:val="18"/>
              </w:rPr>
              <w:t>Treasury erhält Anteil aus 727 ETH Pool</w:t>
            </w:r>
          </w:p>
        </w:tc>
      </w:tr>
      <w:tr>
        <w:tc>
          <w:tcPr>
            <w:tcW w:type="dxa" w:w="2880"/>
          </w:tcPr>
          <w:p>
            <w:pPr>
              <w:jc w:val="center"/>
            </w:pPr>
            <w:r>
              <w:rPr>
                <w:sz w:val="18"/>
              </w:rPr>
              <w:t>~Tag 896</w:t>
            </w:r>
          </w:p>
        </w:tc>
        <w:tc>
          <w:tcPr>
            <w:tcW w:type="dxa" w:w="2880"/>
          </w:tcPr>
          <w:p>
            <w:pPr>
              <w:jc w:val="center"/>
            </w:pPr>
            <w:r>
              <w:rPr>
                <w:sz w:val="18"/>
              </w:rPr>
              <w:t>Epoch 1</w:t>
            </w:r>
          </w:p>
        </w:tc>
        <w:tc>
          <w:tcPr>
            <w:tcW w:type="dxa" w:w="2880"/>
          </w:tcPr>
          <w:p>
            <w:pPr>
              <w:jc w:val="center"/>
            </w:pPr>
            <w:r>
              <w:rPr>
                <w:sz w:val="18"/>
              </w:rPr>
              <w:t>Erste Burn Epoch mit massivem ETH-Pool</w:t>
            </w:r>
          </w:p>
        </w:tc>
      </w:tr>
    </w:tbl>
    <w:p>
      <w:pPr>
        <w:pStyle w:val="Heading1"/>
      </w:pPr>
      <w:r>
        <w:t>10. Anti-Dump-Mechanismen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1a2e" w:color="auto" w:val="clear"/>
          </w:tcPr>
          <w:p>
            <w:pPr>
              <w:jc w:val="center"/>
            </w:pPr>
            <w:r>
              <w:rPr>
                <w:b/>
                <w:color w:val="FFFFFF"/>
                <w:sz w:val="18"/>
              </w:rPr>
              <w:t>Schicht</w:t>
            </w:r>
          </w:p>
        </w:tc>
        <w:tc>
          <w:tcPr>
            <w:tcW w:type="dxa" w:w="2880"/>
            <w:shd w:fill="1a1a2e" w:color="auto" w:val="clear"/>
          </w:tcPr>
          <w:p>
            <w:pPr>
              <w:jc w:val="center"/>
            </w:pPr>
            <w:r>
              <w:rPr>
                <w:b/>
                <w:color w:val="FFFFFF"/>
                <w:sz w:val="18"/>
              </w:rPr>
              <w:t>Mechanismus</w:t>
            </w:r>
          </w:p>
        </w:tc>
        <w:tc>
          <w:tcPr>
            <w:tcW w:type="dxa" w:w="2880"/>
            <w:shd w:fill="1a1a2e" w:color="auto" w:val="clear"/>
          </w:tcPr>
          <w:p>
            <w:pPr>
              <w:jc w:val="center"/>
            </w:pPr>
            <w:r>
              <w:rPr>
                <w:b/>
                <w:color w:val="FFFFFF"/>
                <w:sz w:val="18"/>
              </w:rPr>
              <w:t>Effekt</w:t>
            </w:r>
          </w:p>
        </w:tc>
      </w:tr>
      <w:tr>
        <w:tc>
          <w:tcPr>
            <w:tcW w:type="dxa" w:w="2880"/>
            <w:shd w:fill="f5f5f5" w:color="auto" w:val="clear"/>
          </w:tcPr>
          <w:p>
            <w:pPr>
              <w:jc w:val="center"/>
            </w:pPr>
            <w:r>
              <w:rPr>
                <w:sz w:val="18"/>
              </w:rPr>
              <w:t>1. Vesting</w:t>
            </w:r>
          </w:p>
        </w:tc>
        <w:tc>
          <w:tcPr>
            <w:tcW w:type="dxa" w:w="2880"/>
            <w:shd w:fill="f5f5f5" w:color="auto" w:val="clear"/>
          </w:tcPr>
          <w:p>
            <w:pPr>
              <w:jc w:val="center"/>
            </w:pPr>
            <w:r>
              <w:rPr>
                <w:sz w:val="18"/>
              </w:rPr>
              <w:t>25% sofort, 75% über 28 Tage</w:t>
            </w:r>
          </w:p>
        </w:tc>
        <w:tc>
          <w:tcPr>
            <w:tcW w:type="dxa" w:w="2880"/>
            <w:shd w:fill="f5f5f5" w:color="auto" w:val="clear"/>
          </w:tcPr>
          <w:p>
            <w:pPr>
              <w:jc w:val="center"/>
            </w:pPr>
            <w:r>
              <w:rPr>
                <w:sz w:val="18"/>
              </w:rPr>
              <w:t>Kein Tag-1-Dump möglich</w:t>
            </w:r>
          </w:p>
        </w:tc>
      </w:tr>
      <w:tr>
        <w:tc>
          <w:tcPr>
            <w:tcW w:type="dxa" w:w="2880"/>
          </w:tcPr>
          <w:p>
            <w:pPr>
              <w:jc w:val="center"/>
            </w:pPr>
            <w:r>
              <w:rPr>
                <w:sz w:val="18"/>
              </w:rPr>
              <w:t>2. Penalties</w:t>
            </w:r>
          </w:p>
        </w:tc>
        <w:tc>
          <w:tcPr>
            <w:tcW w:type="dxa" w:w="2880"/>
          </w:tcPr>
          <w:p>
            <w:pPr>
              <w:jc w:val="center"/>
            </w:pPr>
            <w:r>
              <w:rPr>
                <w:sz w:val="18"/>
              </w:rPr>
              <w:t>Gesperrt bis 50% Maturity</w:t>
            </w:r>
          </w:p>
        </w:tc>
        <w:tc>
          <w:tcPr>
            <w:tcW w:type="dxa" w:w="2880"/>
          </w:tcPr>
          <w:p>
            <w:pPr>
              <w:jc w:val="center"/>
            </w:pPr>
            <w:r>
              <w:rPr>
                <w:sz w:val="18"/>
              </w:rPr>
              <w:t>Früher Ausstieg ist teuer (50% wird geburnt)</w:t>
            </w:r>
          </w:p>
        </w:tc>
      </w:tr>
      <w:tr>
        <w:tc>
          <w:tcPr>
            <w:tcW w:type="dxa" w:w="2880"/>
            <w:shd w:fill="f5f5f5" w:color="auto" w:val="clear"/>
          </w:tcPr>
          <w:p>
            <w:pPr>
              <w:jc w:val="center"/>
            </w:pPr>
            <w:r>
              <w:rPr>
                <w:sz w:val="18"/>
              </w:rPr>
              <w:t>3. Loyalty</w:t>
            </w:r>
          </w:p>
        </w:tc>
        <w:tc>
          <w:tcPr>
            <w:tcW w:type="dxa" w:w="2880"/>
            <w:shd w:fill="f5f5f5" w:color="auto" w:val="clear"/>
          </w:tcPr>
          <w:p>
            <w:pPr>
              <w:jc w:val="center"/>
            </w:pPr>
            <w:r>
              <w:rPr>
                <w:sz w:val="18"/>
              </w:rPr>
              <w:t>1.1x Restake-Bonus, Phoenix ab 3 Restakes</w:t>
            </w:r>
          </w:p>
        </w:tc>
        <w:tc>
          <w:tcPr>
            <w:tcW w:type="dxa" w:w="2880"/>
            <w:shd w:fill="f5f5f5" w:color="auto" w:val="clear"/>
          </w:tcPr>
          <w:p>
            <w:pPr>
              <w:jc w:val="center"/>
            </w:pPr>
            <w:r>
              <w:rPr>
                <w:sz w:val="18"/>
              </w:rPr>
              <w:t>Anreiz zum Halten &amp; Restaken</w:t>
            </w:r>
          </w:p>
        </w:tc>
      </w:tr>
      <w:tr>
        <w:tc>
          <w:tcPr>
            <w:tcW w:type="dxa" w:w="2880"/>
          </w:tcPr>
          <w:p>
            <w:pPr>
              <w:jc w:val="center"/>
            </w:pPr>
            <w:r>
              <w:rPr>
                <w:sz w:val="18"/>
              </w:rPr>
              <w:t>4. Buy &amp; Burn</w:t>
            </w:r>
          </w:p>
        </w:tc>
        <w:tc>
          <w:tcPr>
            <w:tcW w:type="dxa" w:w="2880"/>
          </w:tcPr>
          <w:p>
            <w:pPr>
              <w:jc w:val="center"/>
            </w:pPr>
            <w:r>
              <w:rPr>
                <w:sz w:val="18"/>
              </w:rPr>
              <w:t>20% aller Epoch-ETH kauft &amp; burnt HBURN</w:t>
            </w:r>
          </w:p>
        </w:tc>
        <w:tc>
          <w:tcPr>
            <w:tcW w:type="dxa" w:w="2880"/>
          </w:tcPr>
          <w:p>
            <w:pPr>
              <w:jc w:val="center"/>
            </w:pPr>
            <w:r>
              <w:rPr>
                <w:sz w:val="18"/>
              </w:rPr>
              <w:t>Konstanter Kaufdruck</w:t>
            </w:r>
          </w:p>
        </w:tc>
      </w:tr>
    </w:tbl>
    <w:p>
      <w:pPr>
        <w:pStyle w:val="Heading1"/>
      </w:pPr>
      <w:r>
        <w:t>11. 12-Monats-Prognosen</w:t>
      </w:r>
    </w:p>
    <w:p>
      <w:r>
        <w:rPr>
          <w:b/>
          <w:color w:val="FF0000"/>
        </w:rPr>
        <w:t xml:space="preserve">WICHTIG: </w:t>
      </w:r>
      <w:r>
        <w:t>Die folgenden Prognosen sind hypothetische Szenarien zur Veranschaulichung. Sie sind KEINE Finanzberatung oder Garantie. Tatsächliche Ergebnisse hängen von Marktbedingungen, Adoption und vielen unvorhersehbaren Faktoren ab.</w:t>
      </w:r>
    </w:p>
    <w:p>
      <w:pPr>
        <w:jc w:val="center"/>
      </w:pPr>
      <w:r>
        <w:drawing>
          <wp:inline xmlns:a="http://schemas.openxmlformats.org/drawingml/2006/main" xmlns:pic="http://schemas.openxmlformats.org/drawingml/2006/picture">
            <wp:extent cx="5029200" cy="2737639"/>
            <wp:docPr id="7" name="Picture 7"/>
            <wp:cNvGraphicFramePr>
              <a:graphicFrameLocks noChangeAspect="1"/>
            </wp:cNvGraphicFramePr>
            <a:graphic>
              <a:graphicData uri="http://schemas.openxmlformats.org/drawingml/2006/picture">
                <pic:pic>
                  <pic:nvPicPr>
                    <pic:cNvPr id="0" name="price_projection.png"/>
                    <pic:cNvPicPr/>
                  </pic:nvPicPr>
                  <pic:blipFill>
                    <a:blip r:embed="rId15"/>
                    <a:stretch>
                      <a:fillRect/>
                    </a:stretch>
                  </pic:blipFill>
                  <pic:spPr>
                    <a:xfrm>
                      <a:off x="0" y="0"/>
                      <a:ext cx="5029200" cy="2737639"/>
                    </a:xfrm>
                    <a:prstGeom prst="rect"/>
                  </pic:spPr>
                </pic:pic>
              </a:graphicData>
            </a:graphic>
          </wp:inline>
        </w:drawing>
      </w:r>
    </w:p>
    <w:p>
      <w:pPr>
        <w:pStyle w:val="Heading2"/>
      </w:pPr>
      <w:r>
        <w:t>Annahmen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1a2e" w:color="auto" w:val="clear"/>
          </w:tcPr>
          <w:p>
            <w:pPr>
              <w:jc w:val="center"/>
            </w:pPr>
            <w:r>
              <w:rPr>
                <w:b/>
                <w:color w:val="FFFFFF"/>
                <w:sz w:val="18"/>
              </w:rPr>
              <w:t>Faktor</w:t>
            </w:r>
          </w:p>
        </w:tc>
        <w:tc>
          <w:tcPr>
            <w:tcW w:type="dxa" w:w="2160"/>
            <w:shd w:fill="1a1a2e" w:color="auto" w:val="clear"/>
          </w:tcPr>
          <w:p>
            <w:pPr>
              <w:jc w:val="center"/>
            </w:pPr>
            <w:r>
              <w:rPr>
                <w:b/>
                <w:color w:val="FFFFFF"/>
                <w:sz w:val="18"/>
              </w:rPr>
              <w:t>Best Case</w:t>
            </w:r>
          </w:p>
        </w:tc>
        <w:tc>
          <w:tcPr>
            <w:tcW w:type="dxa" w:w="2160"/>
            <w:shd w:fill="1a1a2e" w:color="auto" w:val="clear"/>
          </w:tcPr>
          <w:p>
            <w:pPr>
              <w:jc w:val="center"/>
            </w:pPr>
            <w:r>
              <w:rPr>
                <w:b/>
                <w:color w:val="FFFFFF"/>
                <w:sz w:val="18"/>
              </w:rPr>
              <w:t>Base Case</w:t>
            </w:r>
          </w:p>
        </w:tc>
        <w:tc>
          <w:tcPr>
            <w:tcW w:type="dxa" w:w="2160"/>
            <w:shd w:fill="1a1a2e" w:color="auto" w:val="clear"/>
          </w:tcPr>
          <w:p>
            <w:pPr>
              <w:jc w:val="center"/>
            </w:pPr>
            <w:r>
              <w:rPr>
                <w:b/>
                <w:color w:val="FFFFFF"/>
                <w:sz w:val="18"/>
              </w:rPr>
              <w:t>Worst Case</w:t>
            </w:r>
          </w:p>
        </w:tc>
      </w:tr>
      <w:tr>
        <w:tc>
          <w:tcPr>
            <w:tcW w:type="dxa" w:w="2160"/>
            <w:shd w:fill="f5f5f5" w:color="auto" w:val="clear"/>
          </w:tcPr>
          <w:p>
            <w:pPr>
              <w:jc w:val="center"/>
            </w:pPr>
            <w:r>
              <w:rPr>
                <w:sz w:val="18"/>
              </w:rPr>
              <w:t>Genesis-Teilnahme</w:t>
            </w:r>
          </w:p>
        </w:tc>
        <w:tc>
          <w:tcPr>
            <w:tcW w:type="dxa" w:w="2160"/>
            <w:shd w:fill="f5f5f5" w:color="auto" w:val="clear"/>
          </w:tcPr>
          <w:p>
            <w:pPr>
              <w:jc w:val="center"/>
            </w:pPr>
            <w:r>
              <w:rPr>
                <w:sz w:val="18"/>
              </w:rPr>
              <w:t>200B+ TitanX</w:t>
            </w:r>
          </w:p>
        </w:tc>
        <w:tc>
          <w:tcPr>
            <w:tcW w:type="dxa" w:w="2160"/>
            <w:shd w:fill="f5f5f5" w:color="auto" w:val="clear"/>
          </w:tcPr>
          <w:p>
            <w:pPr>
              <w:jc w:val="center"/>
            </w:pPr>
            <w:r>
              <w:rPr>
                <w:sz w:val="18"/>
              </w:rPr>
              <w:t>50-100B TitanX</w:t>
            </w:r>
          </w:p>
        </w:tc>
        <w:tc>
          <w:tcPr>
            <w:tcW w:type="dxa" w:w="2160"/>
            <w:shd w:fill="f5f5f5" w:color="auto" w:val="clear"/>
          </w:tcPr>
          <w:p>
            <w:pPr>
              <w:jc w:val="center"/>
            </w:pPr>
            <w:r>
              <w:rPr>
                <w:sz w:val="18"/>
              </w:rPr>
              <w:t>&lt;20B TitanX</w:t>
            </w:r>
          </w:p>
        </w:tc>
      </w:tr>
      <w:tr>
        <w:tc>
          <w:tcPr>
            <w:tcW w:type="dxa" w:w="2160"/>
          </w:tcPr>
          <w:p>
            <w:pPr>
              <w:jc w:val="center"/>
            </w:pPr>
            <w:r>
              <w:rPr>
                <w:sz w:val="18"/>
              </w:rPr>
              <w:t>Epoch-Teilnahme</w:t>
            </w:r>
          </w:p>
        </w:tc>
        <w:tc>
          <w:tcPr>
            <w:tcW w:type="dxa" w:w="2160"/>
          </w:tcPr>
          <w:p>
            <w:pPr>
              <w:jc w:val="center"/>
            </w:pPr>
            <w:r>
              <w:rPr>
                <w:sz w:val="18"/>
              </w:rPr>
              <w:t>500+ Burner/Epoch</w:t>
            </w:r>
          </w:p>
        </w:tc>
        <w:tc>
          <w:tcPr>
            <w:tcW w:type="dxa" w:w="2160"/>
          </w:tcPr>
          <w:p>
            <w:pPr>
              <w:jc w:val="center"/>
            </w:pPr>
            <w:r>
              <w:rPr>
                <w:sz w:val="18"/>
              </w:rPr>
              <w:t>100-300 Burner</w:t>
            </w:r>
          </w:p>
        </w:tc>
        <w:tc>
          <w:tcPr>
            <w:tcW w:type="dxa" w:w="2160"/>
          </w:tcPr>
          <w:p>
            <w:pPr>
              <w:jc w:val="center"/>
            </w:pPr>
            <w:r>
              <w:rPr>
                <w:sz w:val="18"/>
              </w:rPr>
              <w:t>&lt;50 Burner</w:t>
            </w:r>
          </w:p>
        </w:tc>
      </w:tr>
      <w:tr>
        <w:tc>
          <w:tcPr>
            <w:tcW w:type="dxa" w:w="2160"/>
            <w:shd w:fill="f5f5f5" w:color="auto" w:val="clear"/>
          </w:tcPr>
          <w:p>
            <w:pPr>
              <w:jc w:val="center"/>
            </w:pPr>
            <w:r>
              <w:rPr>
                <w:sz w:val="18"/>
              </w:rPr>
              <w:t>Marktlage</w:t>
            </w:r>
          </w:p>
        </w:tc>
        <w:tc>
          <w:tcPr>
            <w:tcW w:type="dxa" w:w="2160"/>
            <w:shd w:fill="f5f5f5" w:color="auto" w:val="clear"/>
          </w:tcPr>
          <w:p>
            <w:pPr>
              <w:jc w:val="center"/>
            </w:pPr>
            <w:r>
              <w:rPr>
                <w:sz w:val="18"/>
              </w:rPr>
              <w:t>Bullenmarkt, ETH &gt;$5K</w:t>
            </w:r>
          </w:p>
        </w:tc>
        <w:tc>
          <w:tcPr>
            <w:tcW w:type="dxa" w:w="2160"/>
            <w:shd w:fill="f5f5f5" w:color="auto" w:val="clear"/>
          </w:tcPr>
          <w:p>
            <w:pPr>
              <w:jc w:val="center"/>
            </w:pPr>
            <w:r>
              <w:rPr>
                <w:sz w:val="18"/>
              </w:rPr>
              <w:t>Seitwärts, ETH $2-4K</w:t>
            </w:r>
          </w:p>
        </w:tc>
        <w:tc>
          <w:tcPr>
            <w:tcW w:type="dxa" w:w="2160"/>
            <w:shd w:fill="f5f5f5" w:color="auto" w:val="clear"/>
          </w:tcPr>
          <w:p>
            <w:pPr>
              <w:jc w:val="center"/>
            </w:pPr>
            <w:r>
              <w:rPr>
                <w:sz w:val="18"/>
              </w:rPr>
              <w:t>Bärenmarkt, ETH &lt;$2K</w:t>
            </w:r>
          </w:p>
        </w:tc>
      </w:tr>
      <w:tr>
        <w:tc>
          <w:tcPr>
            <w:tcW w:type="dxa" w:w="2160"/>
          </w:tcPr>
          <w:p>
            <w:pPr>
              <w:jc w:val="center"/>
            </w:pPr>
            <w:r>
              <w:rPr>
                <w:sz w:val="18"/>
              </w:rPr>
              <w:t>Day 888 Impact</w:t>
            </w:r>
          </w:p>
        </w:tc>
        <w:tc>
          <w:tcPr>
            <w:tcW w:type="dxa" w:w="2160"/>
          </w:tcPr>
          <w:p>
            <w:pPr>
              <w:jc w:val="center"/>
            </w:pPr>
            <w:r>
              <w:rPr>
                <w:sz w:val="18"/>
              </w:rPr>
              <w:t>Viral, großer Katalysator</w:t>
            </w:r>
          </w:p>
        </w:tc>
        <w:tc>
          <w:tcPr>
            <w:tcW w:type="dxa" w:w="2160"/>
          </w:tcPr>
          <w:p>
            <w:pPr>
              <w:jc w:val="center"/>
            </w:pPr>
            <w:r>
              <w:rPr>
                <w:sz w:val="18"/>
              </w:rPr>
              <w:t>Moderate Aufmerksamkeit</w:t>
            </w:r>
          </w:p>
        </w:tc>
        <w:tc>
          <w:tcPr>
            <w:tcW w:type="dxa" w:w="2160"/>
          </w:tcPr>
          <w:p>
            <w:pPr>
              <w:jc w:val="center"/>
            </w:pPr>
            <w:r>
              <w:rPr>
                <w:sz w:val="18"/>
              </w:rPr>
              <w:t>Vom Markt überlagert</w:t>
            </w:r>
          </w:p>
        </w:tc>
      </w:tr>
      <w:tr>
        <w:tc>
          <w:tcPr>
            <w:tcW w:type="dxa" w:w="2160"/>
            <w:shd w:fill="f5f5f5" w:color="auto" w:val="clear"/>
          </w:tcPr>
          <w:p>
            <w:pPr>
              <w:jc w:val="center"/>
            </w:pPr>
            <w:r>
              <w:rPr>
                <w:sz w:val="18"/>
              </w:rPr>
              <w:t>Streak-Adoption</w:t>
            </w:r>
          </w:p>
        </w:tc>
        <w:tc>
          <w:tcPr>
            <w:tcW w:type="dxa" w:w="2160"/>
            <w:shd w:fill="f5f5f5" w:color="auto" w:val="clear"/>
          </w:tcPr>
          <w:p>
            <w:pPr>
              <w:jc w:val="center"/>
            </w:pPr>
            <w:r>
              <w:rPr>
                <w:sz w:val="18"/>
              </w:rPr>
              <w:t>&gt;60% halten Streaks</w:t>
            </w:r>
          </w:p>
        </w:tc>
        <w:tc>
          <w:tcPr>
            <w:tcW w:type="dxa" w:w="2160"/>
            <w:shd w:fill="f5f5f5" w:color="auto" w:val="clear"/>
          </w:tcPr>
          <w:p>
            <w:pPr>
              <w:jc w:val="center"/>
            </w:pPr>
            <w:r>
              <w:rPr>
                <w:sz w:val="18"/>
              </w:rPr>
              <w:t>30-50% halten</w:t>
            </w:r>
          </w:p>
        </w:tc>
        <w:tc>
          <w:tcPr>
            <w:tcW w:type="dxa" w:w="2160"/>
            <w:shd w:fill="f5f5f5" w:color="auto" w:val="clear"/>
          </w:tcPr>
          <w:p>
            <w:pPr>
              <w:jc w:val="center"/>
            </w:pPr>
            <w:r>
              <w:rPr>
                <w:sz w:val="18"/>
              </w:rPr>
              <w:t>&lt;20% halten</w:t>
            </w:r>
          </w:p>
        </w:tc>
      </w:tr>
    </w:tbl>
    <w:p>
      <w:pPr>
        <w:pStyle w:val="Heading2"/>
      </w:pPr>
      <w:r>
        <w:t>Monatliche Prognose-Tabelle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a1a2e" w:color="auto" w:val="clear"/>
          </w:tcPr>
          <w:p>
            <w:pPr>
              <w:jc w:val="center"/>
            </w:pPr>
            <w:r>
              <w:rPr>
                <w:b/>
                <w:color w:val="FFFFFF"/>
                <w:sz w:val="18"/>
              </w:rPr>
              <w:t>Monat</w:t>
            </w:r>
          </w:p>
        </w:tc>
        <w:tc>
          <w:tcPr>
            <w:tcW w:type="dxa" w:w="1728"/>
            <w:shd w:fill="1a1a2e" w:color="auto" w:val="clear"/>
          </w:tcPr>
          <w:p>
            <w:pPr>
              <w:jc w:val="center"/>
            </w:pPr>
            <w:r>
              <w:rPr>
                <w:b/>
                <w:color w:val="FFFFFF"/>
                <w:sz w:val="18"/>
              </w:rPr>
              <w:t>Best Case</w:t>
            </w:r>
          </w:p>
        </w:tc>
        <w:tc>
          <w:tcPr>
            <w:tcW w:type="dxa" w:w="1728"/>
            <w:shd w:fill="1a1a2e" w:color="auto" w:val="clear"/>
          </w:tcPr>
          <w:p>
            <w:pPr>
              <w:jc w:val="center"/>
            </w:pPr>
            <w:r>
              <w:rPr>
                <w:b/>
                <w:color w:val="FFFFFF"/>
                <w:sz w:val="18"/>
              </w:rPr>
              <w:t>Base Case</w:t>
            </w:r>
          </w:p>
        </w:tc>
        <w:tc>
          <w:tcPr>
            <w:tcW w:type="dxa" w:w="1728"/>
            <w:shd w:fill="1a1a2e" w:color="auto" w:val="clear"/>
          </w:tcPr>
          <w:p>
            <w:pPr>
              <w:jc w:val="center"/>
            </w:pPr>
            <w:r>
              <w:rPr>
                <w:b/>
                <w:color w:val="FFFFFF"/>
                <w:sz w:val="18"/>
              </w:rPr>
              <w:t>Worst Case</w:t>
            </w:r>
          </w:p>
        </w:tc>
        <w:tc>
          <w:tcPr>
            <w:tcW w:type="dxa" w:w="1728"/>
            <w:shd w:fill="1a1a2e" w:color="auto" w:val="clear"/>
          </w:tcPr>
          <w:p>
            <w:pPr>
              <w:jc w:val="center"/>
            </w:pPr>
            <w:r>
              <w:rPr>
                <w:b/>
                <w:color w:val="FFFFFF"/>
                <w:sz w:val="18"/>
              </w:rPr>
              <w:t>Event</w:t>
            </w:r>
          </w:p>
        </w:tc>
      </w:tr>
      <w:tr>
        <w:tc>
          <w:tcPr>
            <w:tcW w:type="dxa" w:w="1728"/>
            <w:shd w:fill="f5f5f5" w:color="auto" w:val="clear"/>
          </w:tcPr>
          <w:p>
            <w:pPr>
              <w:jc w:val="center"/>
            </w:pPr>
            <w:r>
              <w:rPr>
                <w:sz w:val="18"/>
              </w:rPr>
              <w:t>Start</w:t>
            </w:r>
          </w:p>
        </w:tc>
        <w:tc>
          <w:tcPr>
            <w:tcW w:type="dxa" w:w="1728"/>
            <w:shd w:fill="f5f5f5" w:color="auto" w:val="clear"/>
          </w:tcPr>
          <w:p>
            <w:pPr>
              <w:jc w:val="center"/>
            </w:pPr>
            <w:r>
              <w:rPr>
                <w:sz w:val="18"/>
              </w:rPr>
              <w:t>$1,00</w:t>
            </w:r>
          </w:p>
        </w:tc>
        <w:tc>
          <w:tcPr>
            <w:tcW w:type="dxa" w:w="1728"/>
            <w:shd w:fill="f5f5f5" w:color="auto" w:val="clear"/>
          </w:tcPr>
          <w:p>
            <w:pPr>
              <w:jc w:val="center"/>
            </w:pPr>
            <w:r>
              <w:rPr>
                <w:sz w:val="18"/>
              </w:rPr>
              <w:t>$1,00</w:t>
            </w:r>
          </w:p>
        </w:tc>
        <w:tc>
          <w:tcPr>
            <w:tcW w:type="dxa" w:w="1728"/>
            <w:shd w:fill="f5f5f5" w:color="auto" w:val="clear"/>
          </w:tcPr>
          <w:p>
            <w:pPr>
              <w:jc w:val="center"/>
            </w:pPr>
            <w:r>
              <w:rPr>
                <w:sz w:val="18"/>
              </w:rPr>
              <w:t>$1,00</w:t>
            </w:r>
          </w:p>
        </w:tc>
        <w:tc>
          <w:tcPr>
            <w:tcW w:type="dxa" w:w="1728"/>
            <w:shd w:fill="f5f5f5" w:color="auto" w:val="clear"/>
          </w:tcPr>
          <w:p>
            <w:pPr>
              <w:jc w:val="center"/>
            </w:pPr>
            <w:r>
              <w:rPr>
                <w:sz w:val="18"/>
              </w:rPr>
              <w:t>Genesis öffnet</w:t>
            </w:r>
          </w:p>
        </w:tc>
      </w:tr>
      <w:tr>
        <w:tc>
          <w:tcPr>
            <w:tcW w:type="dxa" w:w="1728"/>
          </w:tcPr>
          <w:p>
            <w:pPr>
              <w:jc w:val="center"/>
            </w:pPr>
            <w:r>
              <w:rPr>
                <w:sz w:val="18"/>
              </w:rPr>
              <w:t>Monat 1</w:t>
            </w:r>
          </w:p>
        </w:tc>
        <w:tc>
          <w:tcPr>
            <w:tcW w:type="dxa" w:w="1728"/>
          </w:tcPr>
          <w:p>
            <w:pPr>
              <w:jc w:val="center"/>
            </w:pPr>
            <w:r>
              <w:rPr>
                <w:sz w:val="18"/>
              </w:rPr>
              <w:t>$2,50</w:t>
            </w:r>
          </w:p>
        </w:tc>
        <w:tc>
          <w:tcPr>
            <w:tcW w:type="dxa" w:w="1728"/>
          </w:tcPr>
          <w:p>
            <w:pPr>
              <w:jc w:val="center"/>
            </w:pPr>
            <w:r>
              <w:rPr>
                <w:sz w:val="18"/>
              </w:rPr>
              <w:t>$1,50</w:t>
            </w:r>
          </w:p>
        </w:tc>
        <w:tc>
          <w:tcPr>
            <w:tcW w:type="dxa" w:w="1728"/>
          </w:tcPr>
          <w:p>
            <w:pPr>
              <w:jc w:val="center"/>
            </w:pPr>
            <w:r>
              <w:rPr>
                <w:sz w:val="18"/>
              </w:rPr>
              <w:t>$0,80</w:t>
            </w:r>
          </w:p>
        </w:tc>
        <w:tc>
          <w:tcPr>
            <w:tcW w:type="dxa" w:w="1728"/>
          </w:tcPr>
          <w:p>
            <w:pPr>
              <w:jc w:val="center"/>
            </w:pPr>
            <w:r>
              <w:rPr>
                <w:sz w:val="18"/>
              </w:rPr>
              <w:t>Genesis endet, Day 888 naht</w:t>
            </w:r>
          </w:p>
        </w:tc>
      </w:tr>
      <w:tr>
        <w:tc>
          <w:tcPr>
            <w:tcW w:type="dxa" w:w="1728"/>
            <w:shd w:fill="f5f5f5" w:color="auto" w:val="clear"/>
          </w:tcPr>
          <w:p>
            <w:pPr>
              <w:jc w:val="center"/>
            </w:pPr>
            <w:r>
              <w:rPr>
                <w:sz w:val="18"/>
              </w:rPr>
              <w:t>Monat 2</w:t>
            </w:r>
          </w:p>
        </w:tc>
        <w:tc>
          <w:tcPr>
            <w:tcW w:type="dxa" w:w="1728"/>
            <w:shd w:fill="f5f5f5" w:color="auto" w:val="clear"/>
          </w:tcPr>
          <w:p>
            <w:pPr>
              <w:jc w:val="center"/>
            </w:pPr>
            <w:r>
              <w:rPr>
                <w:sz w:val="18"/>
              </w:rPr>
              <w:t>$4,00</w:t>
            </w:r>
          </w:p>
        </w:tc>
        <w:tc>
          <w:tcPr>
            <w:tcW w:type="dxa" w:w="1728"/>
            <w:shd w:fill="f5f5f5" w:color="auto" w:val="clear"/>
          </w:tcPr>
          <w:p>
            <w:pPr>
              <w:jc w:val="center"/>
            </w:pPr>
            <w:r>
              <w:rPr>
                <w:sz w:val="18"/>
              </w:rPr>
              <w:t>$2,00</w:t>
            </w:r>
          </w:p>
        </w:tc>
        <w:tc>
          <w:tcPr>
            <w:tcW w:type="dxa" w:w="1728"/>
            <w:shd w:fill="f5f5f5" w:color="auto" w:val="clear"/>
          </w:tcPr>
          <w:p>
            <w:pPr>
              <w:jc w:val="center"/>
            </w:pPr>
            <w:r>
              <w:rPr>
                <w:sz w:val="18"/>
              </w:rPr>
              <w:t>$0,60</w:t>
            </w:r>
          </w:p>
        </w:tc>
        <w:tc>
          <w:tcPr>
            <w:tcW w:type="dxa" w:w="1728"/>
            <w:shd w:fill="f5f5f5" w:color="auto" w:val="clear"/>
          </w:tcPr>
          <w:p>
            <w:pPr>
              <w:jc w:val="center"/>
            </w:pPr>
            <w:r>
              <w:rPr>
                <w:sz w:val="18"/>
              </w:rPr>
              <w:t>Day 888 Payout, Epoch 1-3</w:t>
            </w:r>
          </w:p>
        </w:tc>
      </w:tr>
      <w:tr>
        <w:tc>
          <w:tcPr>
            <w:tcW w:type="dxa" w:w="1728"/>
          </w:tcPr>
          <w:p>
            <w:pPr>
              <w:jc w:val="center"/>
            </w:pPr>
            <w:r>
              <w:rPr>
                <w:sz w:val="18"/>
              </w:rPr>
              <w:t>Monat 3</w:t>
            </w:r>
          </w:p>
        </w:tc>
        <w:tc>
          <w:tcPr>
            <w:tcW w:type="dxa" w:w="1728"/>
          </w:tcPr>
          <w:p>
            <w:pPr>
              <w:jc w:val="center"/>
            </w:pPr>
            <w:r>
              <w:rPr>
                <w:sz w:val="18"/>
              </w:rPr>
              <w:t>$6,00</w:t>
            </w:r>
          </w:p>
        </w:tc>
        <w:tc>
          <w:tcPr>
            <w:tcW w:type="dxa" w:w="1728"/>
          </w:tcPr>
          <w:p>
            <w:pPr>
              <w:jc w:val="center"/>
            </w:pPr>
            <w:r>
              <w:rPr>
                <w:sz w:val="18"/>
              </w:rPr>
              <w:t>$2,80</w:t>
            </w:r>
          </w:p>
        </w:tc>
        <w:tc>
          <w:tcPr>
            <w:tcW w:type="dxa" w:w="1728"/>
          </w:tcPr>
          <w:p>
            <w:pPr>
              <w:jc w:val="center"/>
            </w:pPr>
            <w:r>
              <w:rPr>
                <w:sz w:val="18"/>
              </w:rPr>
              <w:t>$0,50</w:t>
            </w:r>
          </w:p>
        </w:tc>
        <w:tc>
          <w:tcPr>
            <w:tcW w:type="dxa" w:w="1728"/>
          </w:tcPr>
          <w:p>
            <w:pPr>
              <w:jc w:val="center"/>
            </w:pPr>
            <w:r>
              <w:rPr>
                <w:sz w:val="18"/>
              </w:rPr>
              <w:t>Erste Max-Streaks (3.0x)</w:t>
            </w:r>
          </w:p>
        </w:tc>
      </w:tr>
      <w:tr>
        <w:tc>
          <w:tcPr>
            <w:tcW w:type="dxa" w:w="1728"/>
            <w:shd w:fill="f5f5f5" w:color="auto" w:val="clear"/>
          </w:tcPr>
          <w:p>
            <w:pPr>
              <w:jc w:val="center"/>
            </w:pPr>
            <w:r>
              <w:rPr>
                <w:sz w:val="18"/>
              </w:rPr>
              <w:t>Monat 6</w:t>
            </w:r>
          </w:p>
        </w:tc>
        <w:tc>
          <w:tcPr>
            <w:tcW w:type="dxa" w:w="1728"/>
            <w:shd w:fill="f5f5f5" w:color="auto" w:val="clear"/>
          </w:tcPr>
          <w:p>
            <w:pPr>
              <w:jc w:val="center"/>
            </w:pPr>
            <w:r>
              <w:rPr>
                <w:sz w:val="18"/>
              </w:rPr>
              <w:t>$15,00</w:t>
            </w:r>
          </w:p>
        </w:tc>
        <w:tc>
          <w:tcPr>
            <w:tcW w:type="dxa" w:w="1728"/>
            <w:shd w:fill="f5f5f5" w:color="auto" w:val="clear"/>
          </w:tcPr>
          <w:p>
            <w:pPr>
              <w:jc w:val="center"/>
            </w:pPr>
            <w:r>
              <w:rPr>
                <w:sz w:val="18"/>
              </w:rPr>
              <w:t>$5,50</w:t>
            </w:r>
          </w:p>
        </w:tc>
        <w:tc>
          <w:tcPr>
            <w:tcW w:type="dxa" w:w="1728"/>
            <w:shd w:fill="f5f5f5" w:color="auto" w:val="clear"/>
          </w:tcPr>
          <w:p>
            <w:pPr>
              <w:jc w:val="center"/>
            </w:pPr>
            <w:r>
              <w:rPr>
                <w:sz w:val="18"/>
              </w:rPr>
              <w:t>$0,35</w:t>
            </w:r>
          </w:p>
        </w:tc>
        <w:tc>
          <w:tcPr>
            <w:tcW w:type="dxa" w:w="1728"/>
            <w:shd w:fill="f5f5f5" w:color="auto" w:val="clear"/>
          </w:tcPr>
          <w:p>
            <w:pPr>
              <w:jc w:val="center"/>
            </w:pPr>
            <w:r>
              <w:rPr>
                <w:sz w:val="18"/>
              </w:rPr>
              <w:t>Supply-Reduktion sichtbar</w:t>
            </w:r>
          </w:p>
        </w:tc>
      </w:tr>
      <w:tr>
        <w:tc>
          <w:tcPr>
            <w:tcW w:type="dxa" w:w="1728"/>
          </w:tcPr>
          <w:p>
            <w:pPr>
              <w:jc w:val="center"/>
            </w:pPr>
            <w:r>
              <w:rPr>
                <w:sz w:val="18"/>
              </w:rPr>
              <w:t>Monat 9</w:t>
            </w:r>
          </w:p>
        </w:tc>
        <w:tc>
          <w:tcPr>
            <w:tcW w:type="dxa" w:w="1728"/>
          </w:tcPr>
          <w:p>
            <w:pPr>
              <w:jc w:val="center"/>
            </w:pPr>
            <w:r>
              <w:rPr>
                <w:sz w:val="18"/>
              </w:rPr>
              <w:t>$28,00</w:t>
            </w:r>
          </w:p>
        </w:tc>
        <w:tc>
          <w:tcPr>
            <w:tcW w:type="dxa" w:w="1728"/>
          </w:tcPr>
          <w:p>
            <w:pPr>
              <w:jc w:val="center"/>
            </w:pPr>
            <w:r>
              <w:rPr>
                <w:sz w:val="18"/>
              </w:rPr>
              <w:t>$8,50</w:t>
            </w:r>
          </w:p>
        </w:tc>
        <w:tc>
          <w:tcPr>
            <w:tcW w:type="dxa" w:w="1728"/>
          </w:tcPr>
          <w:p>
            <w:pPr>
              <w:jc w:val="center"/>
            </w:pPr>
            <w:r>
              <w:rPr>
                <w:sz w:val="18"/>
              </w:rPr>
              <w:t>$0,45</w:t>
            </w:r>
          </w:p>
        </w:tc>
        <w:tc>
          <w:tcPr>
            <w:tcW w:type="dxa" w:w="1728"/>
          </w:tcPr>
          <w:p>
            <w:pPr>
              <w:jc w:val="center"/>
            </w:pPr>
            <w:r>
              <w:rPr>
                <w:sz w:val="18"/>
              </w:rPr>
              <w:t>Phoenix-Staker entstehen</w:t>
            </w:r>
          </w:p>
        </w:tc>
      </w:tr>
      <w:tr>
        <w:tc>
          <w:tcPr>
            <w:tcW w:type="dxa" w:w="1728"/>
            <w:shd w:fill="f5f5f5" w:color="auto" w:val="clear"/>
          </w:tcPr>
          <w:p>
            <w:pPr>
              <w:jc w:val="center"/>
            </w:pPr>
            <w:r>
              <w:rPr>
                <w:sz w:val="18"/>
              </w:rPr>
              <w:t>Monat 12</w:t>
            </w:r>
          </w:p>
        </w:tc>
        <w:tc>
          <w:tcPr>
            <w:tcW w:type="dxa" w:w="1728"/>
            <w:shd w:fill="f5f5f5" w:color="auto" w:val="clear"/>
          </w:tcPr>
          <w:p>
            <w:pPr>
              <w:jc w:val="center"/>
            </w:pPr>
            <w:r>
              <w:rPr>
                <w:sz w:val="18"/>
              </w:rPr>
              <w:t>$50,00</w:t>
            </w:r>
          </w:p>
        </w:tc>
        <w:tc>
          <w:tcPr>
            <w:tcW w:type="dxa" w:w="1728"/>
            <w:shd w:fill="f5f5f5" w:color="auto" w:val="clear"/>
          </w:tcPr>
          <w:p>
            <w:pPr>
              <w:jc w:val="center"/>
            </w:pPr>
            <w:r>
              <w:rPr>
                <w:sz w:val="18"/>
              </w:rPr>
              <w:t>$12,00</w:t>
            </w:r>
          </w:p>
        </w:tc>
        <w:tc>
          <w:tcPr>
            <w:tcW w:type="dxa" w:w="1728"/>
            <w:shd w:fill="f5f5f5" w:color="auto" w:val="clear"/>
          </w:tcPr>
          <w:p>
            <w:pPr>
              <w:jc w:val="center"/>
            </w:pPr>
            <w:r>
              <w:rPr>
                <w:sz w:val="18"/>
              </w:rPr>
              <w:t>$0,60</w:t>
            </w:r>
          </w:p>
        </w:tc>
        <w:tc>
          <w:tcPr>
            <w:tcW w:type="dxa" w:w="1728"/>
            <w:shd w:fill="f5f5f5" w:color="auto" w:val="clear"/>
          </w:tcPr>
          <w:p>
            <w:pPr>
              <w:jc w:val="center"/>
            </w:pPr>
            <w:r>
              <w:rPr>
                <w:sz w:val="18"/>
              </w:rPr>
              <w:t>Reifes Protokoll</w:t>
            </w:r>
          </w:p>
        </w:tc>
      </w:tr>
    </w:tbl>
    <w:p>
      <w:r>
        <w:t>Hinweis: Werte normalisiert auf $1,00 bei Launch. Tatsächlicher Preis abhängig von Marktkapitalisierung.</w:t>
      </w:r>
    </w:p>
    <w:p>
      <w:pPr>
        <w:pStyle w:val="Heading2"/>
      </w:pPr>
      <w:r>
        <w:t>Best Case (50x in 12 Monaten)</w:t>
      </w:r>
    </w:p>
    <w:p>
      <w:r>
        <w:t>Bullenmarkt + starke TitanX-Community + viraler Day-888-Effekt. Genesis füllt sich schnell, erste Epoch-Rewards sind massiv, ziehen Nutzer von außerhalb an. Hohe Streak-Adoption reduziert Supply dramatisch. Buy &amp; Burn erzeugt konstanten Kaufdruck.</w:t>
      </w:r>
    </w:p>
    <w:p>
      <w:pPr>
        <w:pStyle w:val="Heading2"/>
      </w:pPr>
      <w:r>
        <w:t>Worst Case (0.6x nach 12 Monaten)</w:t>
      </w:r>
    </w:p>
    <w:p>
      <w:r>
        <w:t>Bärenmarkt, geringe Genesis-Teilnahme, kleine Treasury. Einige Early Adopter dumpen. Aber: Deflationsmechaniken (Buy &amp; Burn, Penalties) schaffen einen Floor. Der Supply schrumpft auch bei geringer Aktivität. Das Protokoll überlebt und braucht Zeit.</w:t>
      </w:r>
    </w:p>
    <w:p>
      <w:pPr>
        <w:pStyle w:val="Heading1"/>
      </w:pPr>
      <w:r>
        <w:t>12. Roadmap</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1a2e" w:color="auto" w:val="clear"/>
          </w:tcPr>
          <w:p>
            <w:pPr>
              <w:jc w:val="center"/>
            </w:pPr>
            <w:r>
              <w:rPr>
                <w:b/>
                <w:color w:val="FFFFFF"/>
                <w:sz w:val="18"/>
              </w:rPr>
              <w:t>Phase</w:t>
            </w:r>
          </w:p>
        </w:tc>
        <w:tc>
          <w:tcPr>
            <w:tcW w:type="dxa" w:w="2880"/>
            <w:shd w:fill="1a1a2e" w:color="auto" w:val="clear"/>
          </w:tcPr>
          <w:p>
            <w:pPr>
              <w:jc w:val="center"/>
            </w:pPr>
            <w:r>
              <w:rPr>
                <w:b/>
                <w:color w:val="FFFFFF"/>
                <w:sz w:val="18"/>
              </w:rPr>
              <w:t>Zeitraum</w:t>
            </w:r>
          </w:p>
        </w:tc>
        <w:tc>
          <w:tcPr>
            <w:tcW w:type="dxa" w:w="2880"/>
            <w:shd w:fill="1a1a2e" w:color="auto" w:val="clear"/>
          </w:tcPr>
          <w:p>
            <w:pPr>
              <w:jc w:val="center"/>
            </w:pPr>
            <w:r>
              <w:rPr>
                <w:b/>
                <w:color w:val="FFFFFF"/>
                <w:sz w:val="18"/>
              </w:rPr>
              <w:t>Meilensteine</w:t>
            </w:r>
          </w:p>
        </w:tc>
      </w:tr>
      <w:tr>
        <w:tc>
          <w:tcPr>
            <w:tcW w:type="dxa" w:w="2880"/>
            <w:shd w:fill="f5f5f5" w:color="auto" w:val="clear"/>
          </w:tcPr>
          <w:p>
            <w:pPr>
              <w:jc w:val="center"/>
            </w:pPr>
            <w:r>
              <w:rPr>
                <w:sz w:val="18"/>
              </w:rPr>
              <w:t>Phase 0</w:t>
            </w:r>
          </w:p>
        </w:tc>
        <w:tc>
          <w:tcPr>
            <w:tcW w:type="dxa" w:w="2880"/>
            <w:shd w:fill="f5f5f5" w:color="auto" w:val="clear"/>
          </w:tcPr>
          <w:p>
            <w:pPr>
              <w:jc w:val="center"/>
            </w:pPr>
            <w:r>
              <w:rPr>
                <w:sz w:val="18"/>
              </w:rPr>
              <w:t>März 2026</w:t>
            </w:r>
          </w:p>
        </w:tc>
        <w:tc>
          <w:tcPr>
            <w:tcW w:type="dxa" w:w="2880"/>
            <w:shd w:fill="f5f5f5" w:color="auto" w:val="clear"/>
          </w:tcPr>
          <w:p>
            <w:pPr>
              <w:jc w:val="center"/>
            </w:pPr>
            <w:r>
              <w:rPr>
                <w:sz w:val="18"/>
              </w:rPr>
              <w:t>Smart Contract Entwicklung, Testing, Community</w:t>
            </w:r>
          </w:p>
        </w:tc>
      </w:tr>
      <w:tr>
        <w:tc>
          <w:tcPr>
            <w:tcW w:type="dxa" w:w="2880"/>
          </w:tcPr>
          <w:p>
            <w:pPr>
              <w:jc w:val="center"/>
            </w:pPr>
            <w:r>
              <w:rPr>
                <w:sz w:val="18"/>
              </w:rPr>
              <w:t>Phase 1</w:t>
            </w:r>
          </w:p>
        </w:tc>
        <w:tc>
          <w:tcPr>
            <w:tcW w:type="dxa" w:w="2880"/>
          </w:tcPr>
          <w:p>
            <w:pPr>
              <w:jc w:val="center"/>
            </w:pPr>
            <w:r>
              <w:rPr>
                <w:sz w:val="18"/>
              </w:rPr>
              <w:t>Vor Day 888</w:t>
            </w:r>
          </w:p>
        </w:tc>
        <w:tc>
          <w:tcPr>
            <w:tcW w:type="dxa" w:w="2880"/>
          </w:tcPr>
          <w:p>
            <w:pPr>
              <w:jc w:val="center"/>
            </w:pPr>
            <w:r>
              <w:rPr>
                <w:sz w:val="18"/>
              </w:rPr>
              <w:t>Deployment, Audit, Genesis Launch</w:t>
            </w:r>
          </w:p>
        </w:tc>
      </w:tr>
      <w:tr>
        <w:tc>
          <w:tcPr>
            <w:tcW w:type="dxa" w:w="2880"/>
            <w:shd w:fill="f5f5f5" w:color="auto" w:val="clear"/>
          </w:tcPr>
          <w:p>
            <w:pPr>
              <w:jc w:val="center"/>
            </w:pPr>
            <w:r>
              <w:rPr>
                <w:sz w:val="18"/>
              </w:rPr>
              <w:t>Phase 2</w:t>
            </w:r>
          </w:p>
        </w:tc>
        <w:tc>
          <w:tcPr>
            <w:tcW w:type="dxa" w:w="2880"/>
            <w:shd w:fill="f5f5f5" w:color="auto" w:val="clear"/>
          </w:tcPr>
          <w:p>
            <w:pPr>
              <w:jc w:val="center"/>
            </w:pPr>
            <w:r>
              <w:rPr>
                <w:sz w:val="18"/>
              </w:rPr>
              <w:t>Day 888</w:t>
            </w:r>
          </w:p>
        </w:tc>
        <w:tc>
          <w:tcPr>
            <w:tcW w:type="dxa" w:w="2880"/>
            <w:shd w:fill="f5f5f5" w:color="auto" w:val="clear"/>
          </w:tcPr>
          <w:p>
            <w:pPr>
              <w:jc w:val="center"/>
            </w:pPr>
            <w:r>
              <w:rPr>
                <w:sz w:val="18"/>
              </w:rPr>
              <w:t>Payout Capture, Burn Cascade, Marketing</w:t>
            </w:r>
          </w:p>
        </w:tc>
      </w:tr>
      <w:tr>
        <w:tc>
          <w:tcPr>
            <w:tcW w:type="dxa" w:w="2880"/>
          </w:tcPr>
          <w:p>
            <w:pPr>
              <w:jc w:val="center"/>
            </w:pPr>
            <w:r>
              <w:rPr>
                <w:sz w:val="18"/>
              </w:rPr>
              <w:t>Phase 3</w:t>
            </w:r>
          </w:p>
        </w:tc>
        <w:tc>
          <w:tcPr>
            <w:tcW w:type="dxa" w:w="2880"/>
          </w:tcPr>
          <w:p>
            <w:pPr>
              <w:jc w:val="center"/>
            </w:pPr>
            <w:r>
              <w:rPr>
                <w:sz w:val="18"/>
              </w:rPr>
              <w:t>Day 888+</w:t>
            </w:r>
          </w:p>
        </w:tc>
        <w:tc>
          <w:tcPr>
            <w:tcW w:type="dxa" w:w="2880"/>
          </w:tcPr>
          <w:p>
            <w:pPr>
              <w:jc w:val="center"/>
            </w:pPr>
            <w:r>
              <w:rPr>
                <w:sz w:val="18"/>
              </w:rPr>
              <w:t>Epoch 1, UI Launch, Community Growth</w:t>
            </w:r>
          </w:p>
        </w:tc>
      </w:tr>
      <w:tr>
        <w:tc>
          <w:tcPr>
            <w:tcW w:type="dxa" w:w="2880"/>
            <w:shd w:fill="f5f5f5" w:color="auto" w:val="clear"/>
          </w:tcPr>
          <w:p>
            <w:pPr>
              <w:jc w:val="center"/>
            </w:pPr>
            <w:r>
              <w:rPr>
                <w:sz w:val="18"/>
              </w:rPr>
              <w:t>Phase 4</w:t>
            </w:r>
          </w:p>
        </w:tc>
        <w:tc>
          <w:tcPr>
            <w:tcW w:type="dxa" w:w="2880"/>
            <w:shd w:fill="f5f5f5" w:color="auto" w:val="clear"/>
          </w:tcPr>
          <w:p>
            <w:pPr>
              <w:jc w:val="center"/>
            </w:pPr>
            <w:r>
              <w:rPr>
                <w:sz w:val="18"/>
              </w:rPr>
              <w:t>Q3 2026</w:t>
            </w:r>
          </w:p>
        </w:tc>
        <w:tc>
          <w:tcPr>
            <w:tcW w:type="dxa" w:w="2880"/>
            <w:shd w:fill="f5f5f5" w:color="auto" w:val="clear"/>
          </w:tcPr>
          <w:p>
            <w:pPr>
              <w:jc w:val="center"/>
            </w:pPr>
            <w:r>
              <w:rPr>
                <w:sz w:val="18"/>
              </w:rPr>
              <w:t>Cross-Ecosystem, Partnerships, Governance</w:t>
            </w:r>
          </w:p>
        </w:tc>
      </w:tr>
      <w:tr>
        <w:tc>
          <w:tcPr>
            <w:tcW w:type="dxa" w:w="2880"/>
          </w:tcPr>
          <w:p>
            <w:pPr>
              <w:jc w:val="center"/>
            </w:pPr>
            <w:r>
              <w:rPr>
                <w:sz w:val="18"/>
              </w:rPr>
              <w:t>Phase 5</w:t>
            </w:r>
          </w:p>
        </w:tc>
        <w:tc>
          <w:tcPr>
            <w:tcW w:type="dxa" w:w="2880"/>
          </w:tcPr>
          <w:p>
            <w:pPr>
              <w:jc w:val="center"/>
            </w:pPr>
            <w:r>
              <w:rPr>
                <w:sz w:val="18"/>
              </w:rPr>
              <w:t>Q4 2026+</w:t>
            </w:r>
          </w:p>
        </w:tc>
        <w:tc>
          <w:tcPr>
            <w:tcW w:type="dxa" w:w="2880"/>
          </w:tcPr>
          <w:p>
            <w:pPr>
              <w:jc w:val="center"/>
            </w:pPr>
            <w:r>
              <w:rPr>
                <w:sz w:val="18"/>
              </w:rPr>
              <w:t>Multi-Chain, Advanced Gamification</w:t>
            </w:r>
          </w:p>
        </w:tc>
      </w:tr>
    </w:tbl>
    <w:p>
      <w:pPr>
        <w:pStyle w:val="Heading1"/>
      </w:pPr>
      <w:r>
        <w:t>13. Risiken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1a2e" w:color="auto" w:val="clear"/>
          </w:tcPr>
          <w:p>
            <w:pPr>
              <w:jc w:val="center"/>
            </w:pPr>
            <w:r>
              <w:rPr>
                <w:b/>
                <w:color w:val="FFFFFF"/>
                <w:sz w:val="18"/>
              </w:rPr>
              <w:t>Risiko</w:t>
            </w:r>
          </w:p>
        </w:tc>
        <w:tc>
          <w:tcPr>
            <w:tcW w:type="dxa" w:w="2880"/>
            <w:shd w:fill="1a1a2e" w:color="auto" w:val="clear"/>
          </w:tcPr>
          <w:p>
            <w:pPr>
              <w:jc w:val="center"/>
            </w:pPr>
            <w:r>
              <w:rPr>
                <w:b/>
                <w:color w:val="FFFFFF"/>
                <w:sz w:val="18"/>
              </w:rPr>
              <w:t>Beschreibung</w:t>
            </w:r>
          </w:p>
        </w:tc>
        <w:tc>
          <w:tcPr>
            <w:tcW w:type="dxa" w:w="2880"/>
            <w:shd w:fill="1a1a2e" w:color="auto" w:val="clear"/>
          </w:tcPr>
          <w:p>
            <w:pPr>
              <w:jc w:val="center"/>
            </w:pPr>
            <w:r>
              <w:rPr>
                <w:b/>
                <w:color w:val="FFFFFF"/>
                <w:sz w:val="18"/>
              </w:rPr>
              <w:t>Mitigation</w:t>
            </w:r>
          </w:p>
        </w:tc>
      </w:tr>
      <w:tr>
        <w:tc>
          <w:tcPr>
            <w:tcW w:type="dxa" w:w="2880"/>
            <w:shd w:fill="f5f5f5" w:color="auto" w:val="clear"/>
          </w:tcPr>
          <w:p>
            <w:pPr>
              <w:jc w:val="center"/>
            </w:pPr>
            <w:r>
              <w:rPr>
                <w:sz w:val="18"/>
              </w:rPr>
              <w:t>Smart Contract</w:t>
            </w:r>
          </w:p>
        </w:tc>
        <w:tc>
          <w:tcPr>
            <w:tcW w:type="dxa" w:w="2880"/>
            <w:shd w:fill="f5f5f5" w:color="auto" w:val="clear"/>
          </w:tcPr>
          <w:p>
            <w:pPr>
              <w:jc w:val="center"/>
            </w:pPr>
            <w:r>
              <w:rPr>
                <w:sz w:val="18"/>
              </w:rPr>
              <w:t>Trotz Tests können Bugs existieren</w:t>
            </w:r>
          </w:p>
        </w:tc>
        <w:tc>
          <w:tcPr>
            <w:tcW w:type="dxa" w:w="2880"/>
            <w:shd w:fill="f5f5f5" w:color="auto" w:val="clear"/>
          </w:tcPr>
          <w:p>
            <w:pPr>
              <w:jc w:val="center"/>
            </w:pPr>
            <w:r>
              <w:rPr>
                <w:sz w:val="18"/>
              </w:rPr>
              <w:t>91 Tests, Slither-Audit, Guardian-Pause</w:t>
            </w:r>
          </w:p>
        </w:tc>
      </w:tr>
      <w:tr>
        <w:tc>
          <w:tcPr>
            <w:tcW w:type="dxa" w:w="2880"/>
          </w:tcPr>
          <w:p>
            <w:pPr>
              <w:jc w:val="center"/>
            </w:pPr>
            <w:r>
              <w:rPr>
                <w:sz w:val="18"/>
              </w:rPr>
              <w:t>Marktrisiko</w:t>
            </w:r>
          </w:p>
        </w:tc>
        <w:tc>
          <w:tcPr>
            <w:tcW w:type="dxa" w:w="2880"/>
          </w:tcPr>
          <w:p>
            <w:pPr>
              <w:jc w:val="center"/>
            </w:pPr>
            <w:r>
              <w:rPr>
                <w:sz w:val="18"/>
              </w:rPr>
              <w:t>Krypto ist extrem volatil</w:t>
            </w:r>
          </w:p>
        </w:tc>
        <w:tc>
          <w:tcPr>
            <w:tcW w:type="dxa" w:w="2880"/>
          </w:tcPr>
          <w:p>
            <w:pPr>
              <w:jc w:val="center"/>
            </w:pPr>
            <w:r>
              <w:rPr>
                <w:sz w:val="18"/>
              </w:rPr>
              <w:t>Deflationsmechaniken als strukturelle Stütze</w:t>
            </w:r>
          </w:p>
        </w:tc>
      </w:tr>
      <w:tr>
        <w:tc>
          <w:tcPr>
            <w:tcW w:type="dxa" w:w="2880"/>
            <w:shd w:fill="f5f5f5" w:color="auto" w:val="clear"/>
          </w:tcPr>
          <w:p>
            <w:pPr>
              <w:jc w:val="center"/>
            </w:pPr>
            <w:r>
              <w:rPr>
                <w:sz w:val="18"/>
              </w:rPr>
              <w:t>Abhängigkeit</w:t>
            </w:r>
          </w:p>
        </w:tc>
        <w:tc>
          <w:tcPr>
            <w:tcW w:type="dxa" w:w="2880"/>
            <w:shd w:fill="f5f5f5" w:color="auto" w:val="clear"/>
          </w:tcPr>
          <w:p>
            <w:pPr>
              <w:jc w:val="center"/>
            </w:pPr>
            <w:r>
              <w:rPr>
                <w:sz w:val="18"/>
              </w:rPr>
              <w:t>HellBurn hängt von TitanX ab</w:t>
            </w:r>
          </w:p>
        </w:tc>
        <w:tc>
          <w:tcPr>
            <w:tcW w:type="dxa" w:w="2880"/>
            <w:shd w:fill="f5f5f5" w:color="auto" w:val="clear"/>
          </w:tcPr>
          <w:p>
            <w:pPr>
              <w:jc w:val="center"/>
            </w:pPr>
            <w:r>
              <w:rPr>
                <w:sz w:val="18"/>
              </w:rPr>
              <w:t>Diversifizierter Burn (TitanX + DragonX)</w:t>
            </w:r>
          </w:p>
        </w:tc>
      </w:tr>
      <w:tr>
        <w:tc>
          <w:tcPr>
            <w:tcW w:type="dxa" w:w="2880"/>
          </w:tcPr>
          <w:p>
            <w:pPr>
              <w:jc w:val="center"/>
            </w:pPr>
            <w:r>
              <w:rPr>
                <w:sz w:val="18"/>
              </w:rPr>
              <w:t>Liquidität</w:t>
            </w:r>
          </w:p>
        </w:tc>
        <w:tc>
          <w:tcPr>
            <w:tcW w:type="dxa" w:w="2880"/>
          </w:tcPr>
          <w:p>
            <w:pPr>
              <w:jc w:val="center"/>
            </w:pPr>
            <w:r>
              <w:rPr>
                <w:sz w:val="18"/>
              </w:rPr>
              <w:t>Geringe Liquidität verstärkt Preisbewegungen</w:t>
            </w:r>
          </w:p>
        </w:tc>
        <w:tc>
          <w:tcPr>
            <w:tcW w:type="dxa" w:w="2880"/>
          </w:tcPr>
          <w:p>
            <w:pPr>
              <w:jc w:val="center"/>
            </w:pPr>
            <w:r>
              <w:rPr>
                <w:sz w:val="18"/>
              </w:rPr>
              <w:t>Initiale LP, Buy &amp; Burn als Kaufdruck</w:t>
            </w:r>
          </w:p>
        </w:tc>
      </w:tr>
      <w:tr>
        <w:tc>
          <w:tcPr>
            <w:tcW w:type="dxa" w:w="2880"/>
            <w:shd w:fill="f5f5f5" w:color="auto" w:val="clear"/>
          </w:tcPr>
          <w:p>
            <w:pPr>
              <w:jc w:val="center"/>
            </w:pPr>
            <w:r>
              <w:rPr>
                <w:sz w:val="18"/>
              </w:rPr>
              <w:t>Regulierung</w:t>
            </w:r>
          </w:p>
        </w:tc>
        <w:tc>
          <w:tcPr>
            <w:tcW w:type="dxa" w:w="2880"/>
            <w:shd w:fill="f5f5f5" w:color="auto" w:val="clear"/>
          </w:tcPr>
          <w:p>
            <w:pPr>
              <w:jc w:val="center"/>
            </w:pPr>
            <w:r>
              <w:rPr>
                <w:sz w:val="18"/>
              </w:rPr>
              <w:t>DeFi-Regulierung entwickelt sich</w:t>
            </w:r>
          </w:p>
        </w:tc>
        <w:tc>
          <w:tcPr>
            <w:tcW w:type="dxa" w:w="2880"/>
            <w:shd w:fill="f5f5f5" w:color="auto" w:val="clear"/>
          </w:tcPr>
          <w:p>
            <w:pPr>
              <w:jc w:val="center"/>
            </w:pPr>
            <w:r>
              <w:rPr>
                <w:sz w:val="18"/>
              </w:rPr>
              <w:t>Keine Admin-Keys, dezentralisiert</w:t>
            </w:r>
          </w:p>
        </w:tc>
      </w:tr>
    </w:tbl>
    <w:p/>
    <w:p>
      <w:pPr>
        <w:jc w:val="center"/>
      </w:pPr>
      <w:r>
        <w:rPr>
          <w:b/>
          <w:color w:val="FF4500"/>
          <w:sz w:val="28"/>
        </w:rPr>
        <w:t>HELLBURN — Burn to Earn. Compete to Win.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8B2500"/>
      <w:sz w:val="4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B33000"/>
      <w:sz w:val="3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CC4400"/>
      <w:sz w:val="28"/>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333333"/>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