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FF4500"/>
          <w:sz w:val="96"/>
        </w:rPr>
        <w:t>HELLBURN</w:t>
      </w:r>
    </w:p>
    <w:p>
      <w:pPr>
        <w:jc w:val="center"/>
      </w:pPr>
      <w:r>
        <w:rPr>
          <w:color w:val="FFA500"/>
          <w:sz w:val="28"/>
        </w:rPr>
        <w:t>COMPETITIVE BURN-TO-EARN PROTOCOL</w:t>
      </w:r>
    </w:p>
    <w:p>
      <w:pPr>
        <w:jc w:val="center"/>
      </w:pPr>
      <w:r>
        <w:rPr>
          <w:color w:val="646464"/>
          <w:sz w:val="20"/>
        </w:rPr>
        <w:t>Built on TitanX | Burns DragonX | Real ETH Yield</w:t>
      </w:r>
    </w:p>
    <w:p/>
    <w:p/>
    <w:p>
      <w:pPr>
        <w:jc w:val="center"/>
      </w:pPr>
      <w:r>
        <w:rPr>
          <w:b/>
          <w:sz w:val="32"/>
        </w:rPr>
        <w:t>WHITEPAPER v2.0</w:t>
      </w:r>
    </w:p>
    <w:p>
      <w:pPr>
        <w:jc w:val="center"/>
      </w:pPr>
      <w:r>
        <w:rPr>
          <w:color w:val="787878"/>
          <w:sz w:val="22"/>
        </w:rPr>
        <w:t>February 2026</w:t>
      </w:r>
    </w:p>
    <w:p>
      <w:r>
        <w:br w:type="page"/>
      </w:r>
    </w:p>
    <w:p>
      <w:pPr>
        <w:pStyle w:val="Heading2"/>
      </w:pPr>
      <w:r>
        <w:t>Disclaimer</w:t>
      </w:r>
    </w:p>
    <w:p>
      <w:r>
        <w:t>This document is for informational purposes only and does not constitute financial, investment, or legal advice. Cryptocurrency and DeFi investments carry significant risk, including the potential loss of all invested capital. Smart contracts, despite testing and audits, may contain vulnerabilities. Past performance of similar protocols does not guarantee future results. All projections in this document are hypothetical scenarios based on assumptions that may not materialize. Always do your own research (DYOR) before participating.</w:t>
      </w:r>
    </w:p>
    <w:p>
      <w:r>
        <w:br w:type="page"/>
      </w:r>
    </w:p>
    <w:p>
      <w:pPr>
        <w:pStyle w:val="Heading1"/>
      </w:pPr>
      <w:r>
        <w:t>Table of Contents</w:t>
      </w:r>
    </w:p>
    <w:p>
      <w:pPr>
        <w:spacing w:after="40"/>
      </w:pPr>
      <w:r>
        <w:t>1. Executive Summary</w:t>
      </w:r>
    </w:p>
    <w:p>
      <w:pPr>
        <w:spacing w:after="40"/>
      </w:pPr>
      <w:r>
        <w:t>2. The Problem — Why Existing Protocols Fall Short</w:t>
      </w:r>
    </w:p>
    <w:p>
      <w:pPr>
        <w:spacing w:after="40"/>
      </w:pPr>
      <w:r>
        <w:t>3. The Solution — HellBurn's Three Innovations</w:t>
      </w:r>
    </w:p>
    <w:p>
      <w:pPr>
        <w:spacing w:after="40"/>
      </w:pPr>
      <w:r>
        <w:t>4. The Deflation Flywheel — How It All Connects</w:t>
      </w:r>
    </w:p>
    <w:p>
      <w:pPr>
        <w:spacing w:after="40"/>
      </w:pPr>
      <w:r>
        <w:t>5. Genesis Phase — Your Entry Point (Detailed Example)</w:t>
      </w:r>
    </w:p>
    <w:p>
      <w:pPr>
        <w:spacing w:after="40"/>
      </w:pPr>
      <w:r>
        <w:t>6. Burn Epochs — Competing for ETH (Detailed Example)</w:t>
      </w:r>
    </w:p>
    <w:p>
      <w:pPr>
        <w:spacing w:after="40"/>
      </w:pPr>
      <w:r>
        <w:t>7. Staking &amp; Real Yield (Detailed Example)</w:t>
      </w:r>
    </w:p>
    <w:p>
      <w:pPr>
        <w:spacing w:after="40"/>
      </w:pPr>
      <w:r>
        <w:t>8. Tokenomics Deep Dive</w:t>
      </w:r>
    </w:p>
    <w:p>
      <w:pPr>
        <w:spacing w:after="40"/>
      </w:pPr>
      <w:r>
        <w:t>9. Day 888 Strategy — The Catalyst Event</w:t>
      </w:r>
    </w:p>
    <w:p>
      <w:pPr>
        <w:spacing w:after="40"/>
      </w:pPr>
      <w:r>
        <w:t>10. Anti-Dump Mechanisms</w:t>
      </w:r>
    </w:p>
    <w:p>
      <w:pPr>
        <w:spacing w:after="40"/>
      </w:pPr>
      <w:r>
        <w:t>11. 12-Month Projections (Best / Base / Worst Case)</w:t>
      </w:r>
    </w:p>
    <w:p>
      <w:pPr>
        <w:spacing w:after="40"/>
      </w:pPr>
      <w:r>
        <w:t>12. Roadmap</w:t>
      </w:r>
    </w:p>
    <w:p>
      <w:pPr>
        <w:spacing w:after="40"/>
      </w:pPr>
      <w:r>
        <w:t>13. Risks &amp; Disclaimers</w:t>
      </w:r>
    </w:p>
    <w:p>
      <w:r>
        <w:br w:type="page"/>
      </w:r>
    </w:p>
    <w:p>
      <w:pPr>
        <w:pStyle w:val="Heading1"/>
      </w:pPr>
      <w:r>
        <w:t>1. Executive Summary</w:t>
      </w:r>
    </w:p>
    <w:p>
      <w:r>
        <w:t>HellBurn is the first Competitive Burn-to-Earn Protocol in the TitanX ecosystem. It combines gamified, competitive burning with real ETH yield and creates perpetual deflationary pressure on both TitanX and DragonX.</w:t>
      </w:r>
    </w:p>
    <w:p>
      <w:r>
        <w:t>While existing TitanX ecosystem protocols (DragonX, Helios, Hydra, B88) rely on a one-time minting phase followed by passive staking, HellBurn introduces a fundamentally new concept: Burn Epochs — competitive 8-day cycles where participants burn TitanX and DragonX to earn a proportional share of ETH rewards. A streak system rewards consistent participation with up to 3x multiplier and punishes inactivity with a full reset.</w:t>
      </w:r>
    </w:p>
    <w:p>
      <w:r>
        <w:t>The result: A self-reinforcing deflationary flywheel that does not end after the minting phase but runs in perpetuity. HellBurn strategically leverages the historic TitanX Day-888 payout (~727 ETH, ~$2.39M) as the ignition event.</w:t>
      </w:r>
    </w:p>
    <w:p>
      <w:r>
        <w:rPr>
          <w:b/>
        </w:rPr>
        <w:t>Key Facts at a Glance:</w:t>
      </w:r>
    </w:p>
    <w:tbl>
      <w:tblPr>
        <w:tblStyle w:val="TableGrid"/>
        <w:tblW w:type="auto" w:w="0"/>
        <w:jc w:val="center"/>
        <w:tblLook w:firstColumn="1" w:firstRow="1" w:lastColumn="0" w:lastRow="0" w:noHBand="0" w:noVBand="1" w:val="04A0"/>
      </w:tblPr>
      <w:tblGrid>
        <w:gridCol w:w="4320"/>
        <w:gridCol w:w="4320"/>
      </w:tblGrid>
      <w:tr>
        <w:tc>
          <w:tcPr>
            <w:tcW w:type="dxa" w:w="4320"/>
            <w:shd w:fill="1a1a2e" w:color="auto" w:val="clear"/>
          </w:tcPr>
          <w:p>
            <w:pPr>
              <w:jc w:val="center"/>
            </w:pPr>
            <w:r>
              <w:rPr>
                <w:b/>
                <w:color w:val="FFFFFF"/>
                <w:sz w:val="18"/>
              </w:rPr>
              <w:t>Parameter</w:t>
            </w:r>
          </w:p>
        </w:tc>
        <w:tc>
          <w:tcPr>
            <w:tcW w:type="dxa" w:w="4320"/>
            <w:shd w:fill="1a1a2e" w:color="auto" w:val="clear"/>
          </w:tcPr>
          <w:p>
            <w:pPr>
              <w:jc w:val="center"/>
            </w:pPr>
            <w:r>
              <w:rPr>
                <w:b/>
                <w:color w:val="FFFFFF"/>
                <w:sz w:val="18"/>
              </w:rPr>
              <w:t>Value</w:t>
            </w:r>
          </w:p>
        </w:tc>
      </w:tr>
      <w:tr>
        <w:tc>
          <w:tcPr>
            <w:tcW w:type="dxa" w:w="4320"/>
            <w:shd w:fill="f5f5f5" w:color="auto" w:val="clear"/>
          </w:tcPr>
          <w:p>
            <w:pPr>
              <w:jc w:val="center"/>
            </w:pPr>
            <w:r>
              <w:rPr>
                <w:sz w:val="18"/>
              </w:rPr>
              <w:t>Token</w:t>
            </w:r>
          </w:p>
        </w:tc>
        <w:tc>
          <w:tcPr>
            <w:tcW w:type="dxa" w:w="4320"/>
            <w:shd w:fill="f5f5f5" w:color="auto" w:val="clear"/>
          </w:tcPr>
          <w:p>
            <w:pPr>
              <w:jc w:val="center"/>
            </w:pPr>
            <w:r>
              <w:rPr>
                <w:sz w:val="18"/>
              </w:rPr>
              <w:t>HBURN (ERC-20, Ethereum)</w:t>
            </w:r>
          </w:p>
        </w:tc>
      </w:tr>
      <w:tr>
        <w:tc>
          <w:tcPr>
            <w:tcW w:type="dxa" w:w="4320"/>
          </w:tcPr>
          <w:p>
            <w:pPr>
              <w:jc w:val="center"/>
            </w:pPr>
            <w:r>
              <w:rPr>
                <w:sz w:val="18"/>
              </w:rPr>
              <w:t>Core Mechanic</w:t>
            </w:r>
          </w:p>
        </w:tc>
        <w:tc>
          <w:tcPr>
            <w:tcW w:type="dxa" w:w="4320"/>
          </w:tcPr>
          <w:p>
            <w:pPr>
              <w:jc w:val="center"/>
            </w:pPr>
            <w:r>
              <w:rPr>
                <w:sz w:val="18"/>
              </w:rPr>
              <w:t>Competitive Burn Epochs + Payout Capture</w:t>
            </w:r>
          </w:p>
        </w:tc>
      </w:tr>
      <w:tr>
        <w:tc>
          <w:tcPr>
            <w:tcW w:type="dxa" w:w="4320"/>
            <w:shd w:fill="f5f5f5" w:color="auto" w:val="clear"/>
          </w:tcPr>
          <w:p>
            <w:pPr>
              <w:jc w:val="center"/>
            </w:pPr>
            <w:r>
              <w:rPr>
                <w:sz w:val="18"/>
              </w:rPr>
              <w:t>Burn Targets</w:t>
            </w:r>
          </w:p>
        </w:tc>
        <w:tc>
          <w:tcPr>
            <w:tcW w:type="dxa" w:w="4320"/>
            <w:shd w:fill="f5f5f5" w:color="auto" w:val="clear"/>
          </w:tcPr>
          <w:p>
            <w:pPr>
              <w:jc w:val="center"/>
            </w:pPr>
            <w:r>
              <w:rPr>
                <w:sz w:val="18"/>
              </w:rPr>
              <w:t>TitanX + DragonX (dual burn)</w:t>
            </w:r>
          </w:p>
        </w:tc>
      </w:tr>
      <w:tr>
        <w:tc>
          <w:tcPr>
            <w:tcW w:type="dxa" w:w="4320"/>
          </w:tcPr>
          <w:p>
            <w:pPr>
              <w:jc w:val="center"/>
            </w:pPr>
            <w:r>
              <w:rPr>
                <w:sz w:val="18"/>
              </w:rPr>
              <w:t>Yield</w:t>
            </w:r>
          </w:p>
        </w:tc>
        <w:tc>
          <w:tcPr>
            <w:tcW w:type="dxa" w:w="4320"/>
          </w:tcPr>
          <w:p>
            <w:pPr>
              <w:jc w:val="center"/>
            </w:pPr>
            <w:r>
              <w:rPr>
                <w:sz w:val="18"/>
              </w:rPr>
              <w:t>Real ETH from TitanX staking payouts</w:t>
            </w:r>
          </w:p>
        </w:tc>
      </w:tr>
      <w:tr>
        <w:tc>
          <w:tcPr>
            <w:tcW w:type="dxa" w:w="4320"/>
            <w:shd w:fill="f5f5f5" w:color="auto" w:val="clear"/>
          </w:tcPr>
          <w:p>
            <w:pPr>
              <w:jc w:val="center"/>
            </w:pPr>
            <w:r>
              <w:rPr>
                <w:sz w:val="18"/>
              </w:rPr>
              <w:t>Supply</w:t>
            </w:r>
          </w:p>
        </w:tc>
        <w:tc>
          <w:tcPr>
            <w:tcW w:type="dxa" w:w="4320"/>
            <w:shd w:fill="f5f5f5" w:color="auto" w:val="clear"/>
          </w:tcPr>
          <w:p>
            <w:pPr>
              <w:jc w:val="center"/>
            </w:pPr>
            <w:r>
              <w:rPr>
                <w:sz w:val="18"/>
              </w:rPr>
              <w:t>Fixed — mint only during 28-day Genesis, then permanently disabled</w:t>
            </w:r>
          </w:p>
        </w:tc>
      </w:tr>
      <w:tr>
        <w:tc>
          <w:tcPr>
            <w:tcW w:type="dxa" w:w="4320"/>
          </w:tcPr>
          <w:p>
            <w:pPr>
              <w:jc w:val="center"/>
            </w:pPr>
            <w:r>
              <w:rPr>
                <w:sz w:val="18"/>
              </w:rPr>
              <w:t>Admin Keys</w:t>
            </w:r>
          </w:p>
        </w:tc>
        <w:tc>
          <w:tcPr>
            <w:tcW w:type="dxa" w:w="4320"/>
          </w:tcPr>
          <w:p>
            <w:pPr>
              <w:jc w:val="center"/>
            </w:pPr>
            <w:r>
              <w:rPr>
                <w:sz w:val="18"/>
              </w:rPr>
              <w:t>None — fully decentralized after deployment</w:t>
            </w:r>
          </w:p>
        </w:tc>
      </w:tr>
      <w:tr>
        <w:tc>
          <w:tcPr>
            <w:tcW w:type="dxa" w:w="4320"/>
            <w:shd w:fill="f5f5f5" w:color="auto" w:val="clear"/>
          </w:tcPr>
          <w:p>
            <w:pPr>
              <w:jc w:val="center"/>
            </w:pPr>
            <w:r>
              <w:rPr>
                <w:sz w:val="18"/>
              </w:rPr>
              <w:t>Launch Event</w:t>
            </w:r>
          </w:p>
        </w:tc>
        <w:tc>
          <w:tcPr>
            <w:tcW w:type="dxa" w:w="4320"/>
            <w:shd w:fill="f5f5f5" w:color="auto" w:val="clear"/>
          </w:tcPr>
          <w:p>
            <w:pPr>
              <w:jc w:val="center"/>
            </w:pPr>
            <w:r>
              <w:rPr>
                <w:sz w:val="18"/>
              </w:rPr>
              <w:t>Before TitanX Day 888 (~April 2026)</w:t>
            </w:r>
          </w:p>
        </w:tc>
      </w:tr>
    </w:tbl>
    <w:p>
      <w:pPr>
        <w:pStyle w:val="Heading1"/>
      </w:pPr>
      <w:r>
        <w:t>2. The Problem — Why Existing Protocols Fall Short</w:t>
      </w:r>
    </w:p>
    <w:p>
      <w:pPr>
        <w:pStyle w:val="Heading2"/>
      </w:pPr>
      <w:r>
        <w:t>2.1 One-Time Deflationary Pressure</w:t>
      </w:r>
    </w:p>
    <w:p>
      <w:r>
        <w:t>Every TitanX ecosystem project follows the same pattern: A minting phase where users deposit TitanX to receive new tokens, a portion gets burned, and then... nothing. The burn pressure stops completely after minting ends. Deflation is a one-time event, not a sustainable force.</w:t>
      </w:r>
    </w:p>
    <w:p>
      <w:r>
        <w:rPr>
          <w:b/>
        </w:rPr>
        <w:t xml:space="preserve">Example: </w:t>
      </w:r>
      <w:r>
        <w:t>Protocol X had a 14-day minting phase that burned 500B TitanX. Impressive — but on Day 15, burn activity dropped to zero. The protocol generated no further deflationary pressure for the remaining lifetime of the project.</w:t>
      </w:r>
    </w:p>
    <w:p>
      <w:pPr>
        <w:pStyle w:val="Heading2"/>
      </w:pPr>
      <w:r>
        <w:t>2.2 Passive Staking Without Engagement</w:t>
      </w:r>
    </w:p>
    <w:p>
      <w:r>
        <w:t>After minting, users stake their tokens and wait passively. There is no incentive to actively participate in the ecosystem. This leads to declining engagement, reduced community activity, and a classic "mint → stake → forget → dump when price drops" cycle.</w:t>
      </w:r>
    </w:p>
    <w:p>
      <w:pPr>
        <w:pStyle w:val="Heading2"/>
      </w:pPr>
      <w:r>
        <w:t>2.3 Missing Gamification</w:t>
      </w:r>
    </w:p>
    <w:p>
      <w:r>
        <w:t>DeFi protocols compete for attention in an oversaturated market. Without competitive and game-theoretic elements, there is no reason to return daily. The most successful DeFi protocols — Curve Wars, Convex, GMX, and Pendle — have proven that competitive mechanics are the strongest retention drivers in crypto.</w:t>
      </w:r>
    </w:p>
    <w:p>
      <w:pPr>
        <w:pStyle w:val="Heading1"/>
      </w:pPr>
      <w:r>
        <w:t>3. The Solution — HellBurn's Three Innovations</w:t>
      </w:r>
    </w:p>
    <w:p>
      <w:pPr>
        <w:pStyle w:val="Heading2"/>
      </w:pPr>
      <w:r>
        <w:t>3.1 Burn Epochs: Perpetual Deflationary Pressure</w:t>
      </w:r>
    </w:p>
    <w:p>
      <w:r>
        <w:t>Every 8 days (synchronized with TitanX's payout cycle), a new Burn Epoch begins. During each epoch, users can burn TitanX and/or DragonX into the Epoch Pool. At epoch end, accumulated ETH rewards are distributed proportionally to each participant's weighted burn.</w:t>
      </w:r>
    </w:p>
    <w:p>
      <w:r>
        <w:rPr>
          <w:b/>
        </w:rPr>
        <w:t xml:space="preserve">The key insight: </w:t>
      </w:r>
      <w:r>
        <w:t>Burning never stops. As long as ETH rewards flow (and they do, as long as the treasury has staked TitanX), there is always an incentive to burn. Deflation is not time-limited but permanent.</w:t>
      </w:r>
    </w:p>
    <w:p>
      <w:pPr>
        <w:pStyle w:val="Heading2"/>
      </w:pPr>
      <w:r>
        <w:t>3.2 Streak System: Game Theory as Retention</w:t>
      </w:r>
    </w:p>
    <w:p>
      <w:r>
        <w:t>Participating in consecutive epochs builds a streak. Each consecutive epoch increases the personal multiplier by +0.2x, up to a maximum of 3.0x after 11 consecutive epochs (~88 days). Missing a single epoch resets the entire streak to 1.0x.</w:t>
      </w:r>
    </w:p>
    <w:p>
      <w:pPr>
        <w:jc w:val="center"/>
      </w:pPr>
      <w:r>
        <w:drawing>
          <wp:inline xmlns:a="http://schemas.openxmlformats.org/drawingml/2006/main" xmlns:pic="http://schemas.openxmlformats.org/drawingml/2006/picture">
            <wp:extent cx="5029200" cy="2797211"/>
            <wp:docPr id="1" name="Picture 1"/>
            <wp:cNvGraphicFramePr>
              <a:graphicFrameLocks noChangeAspect="1"/>
            </wp:cNvGraphicFramePr>
            <a:graphic>
              <a:graphicData uri="http://schemas.openxmlformats.org/drawingml/2006/picture">
                <pic:pic>
                  <pic:nvPicPr>
                    <pic:cNvPr id="0" name="streak_multiplier.png"/>
                    <pic:cNvPicPr/>
                  </pic:nvPicPr>
                  <pic:blipFill>
                    <a:blip r:embed="rId9"/>
                    <a:stretch>
                      <a:fillRect/>
                    </a:stretch>
                  </pic:blipFill>
                  <pic:spPr>
                    <a:xfrm>
                      <a:off x="0" y="0"/>
                      <a:ext cx="5029200" cy="2797211"/>
                    </a:xfrm>
                    <a:prstGeom prst="rect"/>
                  </pic:spPr>
                </pic:pic>
              </a:graphicData>
            </a:graphic>
          </wp:inline>
        </w:drawing>
      </w:r>
    </w:p>
    <w:p>
      <w:r>
        <w:rPr>
          <w:b/>
        </w:rPr>
        <w:t xml:space="preserve">Why this works: </w:t>
      </w:r>
      <w:r>
        <w:t>The psychological lock-in effect is powerful. A user at 2.4x streak (8 consecutive epochs) would need 8 more epochs to rebuild if they miss one. The fear of losing the streak keeps participants active — exactly what drives perpetual burn pressure.</w:t>
      </w:r>
    </w:p>
    <w:p>
      <w:pPr>
        <w:pStyle w:val="Heading2"/>
      </w:pPr>
      <w:r>
        <w:t>3.3 Burn-to-Boost Staking ("Fuel")</w:t>
      </w:r>
    </w:p>
    <w:p>
      <w:r>
        <w:t>Stakers can actively increase their shares by burning additional TitanX or DragonX during an active stake ("Fuel" mechanic). DragonX gives 2x fuel compared to TitanX. Maximum fuel boost: +50% shares. This creates burn pressure not only at minting, not only at epochs, but also within the staking system — triple deflationary pressure.</w:t>
      </w:r>
    </w:p>
    <w:p>
      <w:pPr>
        <w:pStyle w:val="Heading1"/>
      </w:pPr>
      <w:r>
        <w:t>4. The Deflation Flywheel</w:t>
      </w:r>
    </w:p>
    <w:p>
      <w:pPr>
        <w:jc w:val="center"/>
      </w:pPr>
      <w:r>
        <w:drawing>
          <wp:inline xmlns:a="http://schemas.openxmlformats.org/drawingml/2006/main" xmlns:pic="http://schemas.openxmlformats.org/drawingml/2006/picture">
            <wp:extent cx="4114800" cy="4273181"/>
            <wp:docPr id="2" name="Picture 2"/>
            <wp:cNvGraphicFramePr>
              <a:graphicFrameLocks noChangeAspect="1"/>
            </wp:cNvGraphicFramePr>
            <a:graphic>
              <a:graphicData uri="http://schemas.openxmlformats.org/drawingml/2006/picture">
                <pic:pic>
                  <pic:nvPicPr>
                    <pic:cNvPr id="0" name="flywheel.png"/>
                    <pic:cNvPicPr/>
                  </pic:nvPicPr>
                  <pic:blipFill>
                    <a:blip r:embed="rId10"/>
                    <a:stretch>
                      <a:fillRect/>
                    </a:stretch>
                  </pic:blipFill>
                  <pic:spPr>
                    <a:xfrm>
                      <a:off x="0" y="0"/>
                      <a:ext cx="4114800" cy="4273181"/>
                    </a:xfrm>
                    <a:prstGeom prst="rect"/>
                  </pic:spPr>
                </pic:pic>
              </a:graphicData>
            </a:graphic>
          </wp:inline>
        </w:drawing>
      </w:r>
    </w:p>
    <w:p>
      <w:r>
        <w:t>The HellBurn Flywheel is a self-reinforcing cycle:</w:t>
      </w:r>
    </w:p>
    <w:p>
      <w:r>
        <w:t>Step 1: Users burn TitanX/DragonX (via Genesis, Epochs, or Fuel). Step 2: 35% is permanently burned, 35% goes to DragonX Vault, 22% is max-staked in treasury (3,500 days), 8% to Genesis fund. Step 3: Staked TitanX generates ETH at every payout cycle (8/28/90/369/888 days). Step 4: 80% of ETH flows to Epoch burners, 20% to HBURN stakers. Step 5: More burns create more stakes, which generate more ETH, which attract more burners.</w:t>
      </w:r>
    </w:p>
    <w:p>
      <w:pPr>
        <w:jc w:val="center"/>
      </w:pPr>
      <w:r>
        <w:drawing>
          <wp:inline xmlns:a="http://schemas.openxmlformats.org/drawingml/2006/main" xmlns:pic="http://schemas.openxmlformats.org/drawingml/2006/picture">
            <wp:extent cx="4114800" cy="3895078"/>
            <wp:docPr id="3" name="Picture 3"/>
            <wp:cNvGraphicFramePr>
              <a:graphicFrameLocks noChangeAspect="1"/>
            </wp:cNvGraphicFramePr>
            <a:graphic>
              <a:graphicData uri="http://schemas.openxmlformats.org/drawingml/2006/picture">
                <pic:pic>
                  <pic:nvPicPr>
                    <pic:cNvPr id="0" name="distribution_pie.png"/>
                    <pic:cNvPicPr/>
                  </pic:nvPicPr>
                  <pic:blipFill>
                    <a:blip r:embed="rId11"/>
                    <a:stretch>
                      <a:fillRect/>
                    </a:stretch>
                  </pic:blipFill>
                  <pic:spPr>
                    <a:xfrm>
                      <a:off x="0" y="0"/>
                      <a:ext cx="4114800" cy="3895078"/>
                    </a:xfrm>
                    <a:prstGeom prst="rect"/>
                  </pic:spPr>
                </pic:pic>
              </a:graphicData>
            </a:graphic>
          </wp:inline>
        </w:drawing>
      </w:r>
    </w:p>
    <w:p>
      <w:pPr>
        <w:pStyle w:val="Heading1"/>
      </w:pPr>
      <w:r>
        <w:t>5. Genesis Phase — Your Entry Point</w:t>
      </w:r>
    </w:p>
    <w:p>
      <w:r>
        <w:t>The Genesis Burn Phase (28 days) is the only opportunity to mint HBURN. Users burn TitanX and receive HBURN tokens at a decreasing ratio that rewards early participants:</w:t>
      </w:r>
    </w:p>
    <w:p>
      <w:pPr>
        <w:jc w:val="center"/>
      </w:pPr>
      <w:r>
        <w:drawing>
          <wp:inline xmlns:a="http://schemas.openxmlformats.org/drawingml/2006/main" xmlns:pic="http://schemas.openxmlformats.org/drawingml/2006/picture">
            <wp:extent cx="4572000" cy="2899154"/>
            <wp:docPr id="4" name="Picture 4"/>
            <wp:cNvGraphicFramePr>
              <a:graphicFrameLocks noChangeAspect="1"/>
            </wp:cNvGraphicFramePr>
            <a:graphic>
              <a:graphicData uri="http://schemas.openxmlformats.org/drawingml/2006/picture">
                <pic:pic>
                  <pic:nvPicPr>
                    <pic:cNvPr id="0" name="genesis_ratio.png"/>
                    <pic:cNvPicPr/>
                  </pic:nvPicPr>
                  <pic:blipFill>
                    <a:blip r:embed="rId12"/>
                    <a:stretch>
                      <a:fillRect/>
                    </a:stretch>
                  </pic:blipFill>
                  <pic:spPr>
                    <a:xfrm>
                      <a:off x="0" y="0"/>
                      <a:ext cx="4572000" cy="2899154"/>
                    </a:xfrm>
                    <a:prstGeom prst="rect"/>
                  </pic:spPr>
                </pic:pic>
              </a:graphicData>
            </a:graphic>
          </wp:inline>
        </w:drawing>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color="auto" w:val="clear"/>
          </w:tcPr>
          <w:p>
            <w:pPr>
              <w:jc w:val="center"/>
            </w:pPr>
            <w:r>
              <w:rPr>
                <w:b/>
                <w:color w:val="FFFFFF"/>
                <w:sz w:val="18"/>
              </w:rPr>
              <w:t>Week</w:t>
            </w:r>
          </w:p>
        </w:tc>
        <w:tc>
          <w:tcPr>
            <w:tcW w:type="dxa" w:w="1728"/>
            <w:shd w:fill="1a1a2e" w:color="auto" w:val="clear"/>
          </w:tcPr>
          <w:p>
            <w:pPr>
              <w:jc w:val="center"/>
            </w:pPr>
            <w:r>
              <w:rPr>
                <w:b/>
                <w:color w:val="FFFFFF"/>
                <w:sz w:val="18"/>
              </w:rPr>
              <w:t>Base Ratio</w:t>
            </w:r>
          </w:p>
        </w:tc>
        <w:tc>
          <w:tcPr>
            <w:tcW w:type="dxa" w:w="1728"/>
            <w:shd w:fill="1a1a2e" w:color="auto" w:val="clear"/>
          </w:tcPr>
          <w:p>
            <w:pPr>
              <w:jc w:val="center"/>
            </w:pPr>
            <w:r>
              <w:rPr>
                <w:b/>
                <w:color w:val="FFFFFF"/>
                <w:sz w:val="18"/>
              </w:rPr>
              <w:t>Early Bonus</w:t>
            </w:r>
          </w:p>
        </w:tc>
        <w:tc>
          <w:tcPr>
            <w:tcW w:type="dxa" w:w="1728"/>
            <w:shd w:fill="1a1a2e" w:color="auto" w:val="clear"/>
          </w:tcPr>
          <w:p>
            <w:pPr>
              <w:jc w:val="center"/>
            </w:pPr>
            <w:r>
              <w:rPr>
                <w:b/>
                <w:color w:val="FFFFFF"/>
                <w:sz w:val="18"/>
              </w:rPr>
              <w:t>Effective Rate</w:t>
            </w:r>
          </w:p>
        </w:tc>
        <w:tc>
          <w:tcPr>
            <w:tcW w:type="dxa" w:w="1728"/>
            <w:shd w:fill="1a1a2e" w:color="auto" w:val="clear"/>
          </w:tcPr>
          <w:p>
            <w:pPr>
              <w:jc w:val="center"/>
            </w:pPr>
            <w:r>
              <w:rPr>
                <w:b/>
                <w:color w:val="FFFFFF"/>
                <w:sz w:val="18"/>
              </w:rPr>
              <w:t>HBURN per 1B TitanX</w:t>
            </w:r>
          </w:p>
        </w:tc>
      </w:tr>
      <w:tr>
        <w:tc>
          <w:tcPr>
            <w:tcW w:type="dxa" w:w="1728"/>
            <w:shd w:fill="f5f5f5" w:color="auto" w:val="clear"/>
          </w:tcPr>
          <w:p>
            <w:pPr>
              <w:jc w:val="center"/>
            </w:pPr>
            <w:r>
              <w:rPr>
                <w:sz w:val="18"/>
              </w:rPr>
              <w:t>Week 1 (Day 1-7)</w:t>
            </w:r>
          </w:p>
        </w:tc>
        <w:tc>
          <w:tcPr>
            <w:tcW w:type="dxa" w:w="1728"/>
            <w:shd w:fill="f5f5f5" w:color="auto" w:val="clear"/>
          </w:tcPr>
          <w:p>
            <w:pPr>
              <w:jc w:val="center"/>
            </w:pPr>
            <w:r>
              <w:rPr>
                <w:sz w:val="18"/>
              </w:rPr>
              <w:t>1:1.00</w:t>
            </w:r>
          </w:p>
        </w:tc>
        <w:tc>
          <w:tcPr>
            <w:tcW w:type="dxa" w:w="1728"/>
            <w:shd w:fill="f5f5f5" w:color="auto" w:val="clear"/>
          </w:tcPr>
          <w:p>
            <w:pPr>
              <w:jc w:val="center"/>
            </w:pPr>
            <w:r>
              <w:rPr>
                <w:sz w:val="18"/>
              </w:rPr>
              <w:t>+15%</w:t>
            </w:r>
          </w:p>
        </w:tc>
        <w:tc>
          <w:tcPr>
            <w:tcW w:type="dxa" w:w="1728"/>
            <w:shd w:fill="f5f5f5" w:color="auto" w:val="clear"/>
          </w:tcPr>
          <w:p>
            <w:pPr>
              <w:jc w:val="center"/>
            </w:pPr>
            <w:r>
              <w:rPr>
                <w:sz w:val="18"/>
              </w:rPr>
              <w:t>1:1.15</w:t>
            </w:r>
          </w:p>
        </w:tc>
        <w:tc>
          <w:tcPr>
            <w:tcW w:type="dxa" w:w="1728"/>
            <w:shd w:fill="f5f5f5" w:color="auto" w:val="clear"/>
          </w:tcPr>
          <w:p>
            <w:pPr>
              <w:jc w:val="center"/>
            </w:pPr>
            <w:r>
              <w:rPr>
                <w:sz w:val="18"/>
              </w:rPr>
              <w:t>1,150,000,000 HBURN</w:t>
            </w:r>
          </w:p>
        </w:tc>
      </w:tr>
      <w:tr>
        <w:tc>
          <w:tcPr>
            <w:tcW w:type="dxa" w:w="1728"/>
          </w:tcPr>
          <w:p>
            <w:pPr>
              <w:jc w:val="center"/>
            </w:pPr>
            <w:r>
              <w:rPr>
                <w:sz w:val="18"/>
              </w:rPr>
              <w:t>Week 2 (Day 8-14)</w:t>
            </w:r>
          </w:p>
        </w:tc>
        <w:tc>
          <w:tcPr>
            <w:tcW w:type="dxa" w:w="1728"/>
          </w:tcPr>
          <w:p>
            <w:pPr>
              <w:jc w:val="center"/>
            </w:pPr>
            <w:r>
              <w:rPr>
                <w:sz w:val="18"/>
              </w:rPr>
              <w:t>1:0.95</w:t>
            </w:r>
          </w:p>
        </w:tc>
        <w:tc>
          <w:tcPr>
            <w:tcW w:type="dxa" w:w="1728"/>
          </w:tcPr>
          <w:p>
            <w:pPr>
              <w:jc w:val="center"/>
            </w:pPr>
            <w:r>
              <w:rPr>
                <w:sz w:val="18"/>
              </w:rPr>
              <w:t>+10%</w:t>
            </w:r>
          </w:p>
        </w:tc>
        <w:tc>
          <w:tcPr>
            <w:tcW w:type="dxa" w:w="1728"/>
          </w:tcPr>
          <w:p>
            <w:pPr>
              <w:jc w:val="center"/>
            </w:pPr>
            <w:r>
              <w:rPr>
                <w:sz w:val="18"/>
              </w:rPr>
              <w:t>1:1.045</w:t>
            </w:r>
          </w:p>
        </w:tc>
        <w:tc>
          <w:tcPr>
            <w:tcW w:type="dxa" w:w="1728"/>
          </w:tcPr>
          <w:p>
            <w:pPr>
              <w:jc w:val="center"/>
            </w:pPr>
            <w:r>
              <w:rPr>
                <w:sz w:val="18"/>
              </w:rPr>
              <w:t>1,045,000,000 HBURN</w:t>
            </w:r>
          </w:p>
        </w:tc>
      </w:tr>
      <w:tr>
        <w:tc>
          <w:tcPr>
            <w:tcW w:type="dxa" w:w="1728"/>
            <w:shd w:fill="f5f5f5" w:color="auto" w:val="clear"/>
          </w:tcPr>
          <w:p>
            <w:pPr>
              <w:jc w:val="center"/>
            </w:pPr>
            <w:r>
              <w:rPr>
                <w:sz w:val="18"/>
              </w:rPr>
              <w:t>Week 3 (Day 15-21)</w:t>
            </w:r>
          </w:p>
        </w:tc>
        <w:tc>
          <w:tcPr>
            <w:tcW w:type="dxa" w:w="1728"/>
            <w:shd w:fill="f5f5f5" w:color="auto" w:val="clear"/>
          </w:tcPr>
          <w:p>
            <w:pPr>
              <w:jc w:val="center"/>
            </w:pPr>
            <w:r>
              <w:rPr>
                <w:sz w:val="18"/>
              </w:rPr>
              <w:t>1:0.90</w:t>
            </w:r>
          </w:p>
        </w:tc>
        <w:tc>
          <w:tcPr>
            <w:tcW w:type="dxa" w:w="1728"/>
            <w:shd w:fill="f5f5f5" w:color="auto" w:val="clear"/>
          </w:tcPr>
          <w:p>
            <w:pPr>
              <w:jc w:val="center"/>
            </w:pPr>
            <w:r>
              <w:rPr>
                <w:sz w:val="18"/>
              </w:rPr>
              <w:t>+5%</w:t>
            </w:r>
          </w:p>
        </w:tc>
        <w:tc>
          <w:tcPr>
            <w:tcW w:type="dxa" w:w="1728"/>
            <w:shd w:fill="f5f5f5" w:color="auto" w:val="clear"/>
          </w:tcPr>
          <w:p>
            <w:pPr>
              <w:jc w:val="center"/>
            </w:pPr>
            <w:r>
              <w:rPr>
                <w:sz w:val="18"/>
              </w:rPr>
              <w:t>1:0.945</w:t>
            </w:r>
          </w:p>
        </w:tc>
        <w:tc>
          <w:tcPr>
            <w:tcW w:type="dxa" w:w="1728"/>
            <w:shd w:fill="f5f5f5" w:color="auto" w:val="clear"/>
          </w:tcPr>
          <w:p>
            <w:pPr>
              <w:jc w:val="center"/>
            </w:pPr>
            <w:r>
              <w:rPr>
                <w:sz w:val="18"/>
              </w:rPr>
              <w:t>945,000,000 HBURN</w:t>
            </w:r>
          </w:p>
        </w:tc>
      </w:tr>
      <w:tr>
        <w:tc>
          <w:tcPr>
            <w:tcW w:type="dxa" w:w="1728"/>
          </w:tcPr>
          <w:p>
            <w:pPr>
              <w:jc w:val="center"/>
            </w:pPr>
            <w:r>
              <w:rPr>
                <w:sz w:val="18"/>
              </w:rPr>
              <w:t>Week 4 (Day 22-28)</w:t>
            </w:r>
          </w:p>
        </w:tc>
        <w:tc>
          <w:tcPr>
            <w:tcW w:type="dxa" w:w="1728"/>
          </w:tcPr>
          <w:p>
            <w:pPr>
              <w:jc w:val="center"/>
            </w:pPr>
            <w:r>
              <w:rPr>
                <w:sz w:val="18"/>
              </w:rPr>
              <w:t>1:0.85</w:t>
            </w:r>
          </w:p>
        </w:tc>
        <w:tc>
          <w:tcPr>
            <w:tcW w:type="dxa" w:w="1728"/>
          </w:tcPr>
          <w:p>
            <w:pPr>
              <w:jc w:val="center"/>
            </w:pPr>
            <w:r>
              <w:rPr>
                <w:sz w:val="18"/>
              </w:rPr>
              <w:t>None</w:t>
            </w:r>
          </w:p>
        </w:tc>
        <w:tc>
          <w:tcPr>
            <w:tcW w:type="dxa" w:w="1728"/>
          </w:tcPr>
          <w:p>
            <w:pPr>
              <w:jc w:val="center"/>
            </w:pPr>
            <w:r>
              <w:rPr>
                <w:sz w:val="18"/>
              </w:rPr>
              <w:t>1:0.85</w:t>
            </w:r>
          </w:p>
        </w:tc>
        <w:tc>
          <w:tcPr>
            <w:tcW w:type="dxa" w:w="1728"/>
          </w:tcPr>
          <w:p>
            <w:pPr>
              <w:jc w:val="center"/>
            </w:pPr>
            <w:r>
              <w:rPr>
                <w:sz w:val="18"/>
              </w:rPr>
              <w:t>850,000,000 HBURN</w:t>
            </w:r>
          </w:p>
        </w:tc>
      </w:tr>
    </w:tbl>
    <w:p>
      <w:pPr>
        <w:pStyle w:val="Heading2"/>
      </w:pPr>
      <w:r>
        <w:t>Practical Example: Alice Burns 5B TitanX in Week 1</w:t>
      </w:r>
    </w:p>
    <w:p>
      <w:r>
        <w:t>Alice decides to participate in Genesis on Day 3 (Week 1) with 5,000,000,000 TitanX.</w:t>
      </w:r>
    </w:p>
    <w:p>
      <w:r>
        <w:rPr>
          <w:b/>
        </w:rPr>
        <w:t>Calculation:</w:t>
      </w:r>
    </w:p>
    <w:p>
      <w:r>
        <w:t xml:space="preserve">  - Effective rate: 1.15 HBURN per TitanX</w:t>
      </w:r>
    </w:p>
    <w:p>
      <w:r>
        <w:t xml:space="preserve">  - Total HBURN minted: 5,000,000,000 x 1.15 = 5,750,000,000 HBURN</w:t>
      </w:r>
    </w:p>
    <w:p>
      <w:r>
        <w:t xml:space="preserve">  - Instantly available (25%): 1,437,500,000 HBURN</w:t>
      </w:r>
    </w:p>
    <w:p>
      <w:r>
        <w:t xml:space="preserve">  - Vesting over 28 days (75%): 4,312,500,000 HBURN (~154,017,857 HBURN per day)</w:t>
      </w:r>
    </w:p>
    <w:p/>
    <w:p>
      <w:r>
        <w:t>Her 5B TitanX is distributed as follows: 1,750,000,000 permanently burned (35%), 1,750,000,000 to DragonX Vault (35%), 1,100,000,000 max-staked in treasury for 3,500 days (22%), 400,000,000 to Genesis fund (8%).</w:t>
      </w:r>
    </w:p>
    <w:p>
      <w:r>
        <w:rPr>
          <w:b/>
        </w:rPr>
        <w:t xml:space="preserve">Compare: </w:t>
      </w:r>
      <w:r>
        <w:t>If Alice had waited until Week 4, the same 5B TitanX would only yield 4,250,000,000 HBURN — that is 1,500,000,000 HBURN less (26% fewer tokens). Early participation is significantly rewarded.</w:t>
      </w:r>
    </w:p>
    <w:p>
      <w:pPr>
        <w:pStyle w:val="Heading1"/>
      </w:pPr>
      <w:r>
        <w:t>6. Burn Epochs — Competing for ETH</w:t>
      </w:r>
    </w:p>
    <w:p>
      <w:r>
        <w:t>After Genesis ends, the competitive phase begins. Every 8 days, a new epoch starts. Users burn TitanX (1x weight) or DragonX (2x weight) into the epoch pool. At epoch end, ETH rewards are distributed proportionally to weighted burns.</w:t>
      </w:r>
    </w:p>
    <w:p>
      <w:pPr>
        <w:jc w:val="center"/>
      </w:pPr>
      <w:r>
        <w:drawing>
          <wp:inline xmlns:a="http://schemas.openxmlformats.org/drawingml/2006/main" xmlns:pic="http://schemas.openxmlformats.org/drawingml/2006/picture">
            <wp:extent cx="4572000" cy="1990741"/>
            <wp:docPr id="5" name="Picture 5"/>
            <wp:cNvGraphicFramePr>
              <a:graphicFrameLocks noChangeAspect="1"/>
            </wp:cNvGraphicFramePr>
            <a:graphic>
              <a:graphicData uri="http://schemas.openxmlformats.org/drawingml/2006/picture">
                <pic:pic>
                  <pic:nvPicPr>
                    <pic:cNvPr id="0" name="eth_distribution.png"/>
                    <pic:cNvPicPr/>
                  </pic:nvPicPr>
                  <pic:blipFill>
                    <a:blip r:embed="rId13"/>
                    <a:stretch>
                      <a:fillRect/>
                    </a:stretch>
                  </pic:blipFill>
                  <pic:spPr>
                    <a:xfrm>
                      <a:off x="0" y="0"/>
                      <a:ext cx="4572000" cy="1990741"/>
                    </a:xfrm>
                    <a:prstGeom prst="rect"/>
                  </pic:spPr>
                </pic:pic>
              </a:graphicData>
            </a:graphic>
          </wp:inline>
        </w:drawing>
      </w:r>
    </w:p>
    <w:p>
      <w:pPr>
        <w:pStyle w:val="Heading2"/>
      </w:pPr>
      <w:r>
        <w:t>Practical Example: Bob Competes in Epoch 5</w:t>
      </w:r>
    </w:p>
    <w:p>
      <w:r>
        <w:t>The epoch pool contains 10 ETH. Bob has been participating since Epoch 1, building a 5-epoch streak (2.0x multiplier). He burns 100,000 DragonX.</w:t>
      </w:r>
    </w:p>
    <w:p>
      <w:r>
        <w:rPr>
          <w:b/>
        </w:rPr>
        <w:t>Bob's weighted burn:</w:t>
      </w:r>
    </w:p>
    <w:p>
      <w:r>
        <w:t xml:space="preserve">  - DragonX weight: 2x</w:t>
      </w:r>
    </w:p>
    <w:p>
      <w:r>
        <w:t xml:space="preserve">  - Streak multiplier: 2.0x</w:t>
      </w:r>
    </w:p>
    <w:p>
      <w:r>
        <w:t xml:space="preserve">  - Weighted burn: 100,000 x 2 x 2.0 = 400,000 weighted units</w:t>
      </w:r>
    </w:p>
    <w:p/>
    <w:p>
      <w:r>
        <w:t>If the total weighted burns in the epoch are 2,000,000, Bob's share is 400,000 / 2,000,000 = 20%. He receives 20% of the 80% burner pool = 1.6 ETH.</w:t>
      </w:r>
    </w:p>
    <w:p>
      <w:r>
        <w:rPr>
          <w:b/>
        </w:rPr>
        <w:t xml:space="preserve">Without streak: </w:t>
      </w:r>
      <w:r>
        <w:t>If Bob had no streak (1.0x), his weighted burn would be only 200,000 — half the share, only 0.8 ETH. The streak literally doubles his rewards in this scenario.</w:t>
      </w:r>
    </w:p>
    <w:p>
      <w:pPr>
        <w:pStyle w:val="Heading2"/>
      </w:pPr>
      <w:r>
        <w:t>Streak Growth Over Time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1a2e" w:color="auto" w:val="clear"/>
          </w:tcPr>
          <w:p>
            <w:pPr>
              <w:jc w:val="center"/>
            </w:pPr>
            <w:r>
              <w:rPr>
                <w:b/>
                <w:color w:val="FFFFFF"/>
                <w:sz w:val="18"/>
              </w:rPr>
              <w:t>Consecutive Epochs</w:t>
            </w:r>
          </w:p>
        </w:tc>
        <w:tc>
          <w:tcPr>
            <w:tcW w:type="dxa" w:w="2160"/>
            <w:shd w:fill="1a1a2e" w:color="auto" w:val="clear"/>
          </w:tcPr>
          <w:p>
            <w:pPr>
              <w:jc w:val="center"/>
            </w:pPr>
            <w:r>
              <w:rPr>
                <w:b/>
                <w:color w:val="FFFFFF"/>
                <w:sz w:val="18"/>
              </w:rPr>
              <w:t>Multiplier</w:t>
            </w:r>
          </w:p>
        </w:tc>
        <w:tc>
          <w:tcPr>
            <w:tcW w:type="dxa" w:w="2160"/>
            <w:shd w:fill="1a1a2e" w:color="auto" w:val="clear"/>
          </w:tcPr>
          <w:p>
            <w:pPr>
              <w:jc w:val="center"/>
            </w:pPr>
            <w:r>
              <w:rPr>
                <w:b/>
                <w:color w:val="FFFFFF"/>
                <w:sz w:val="18"/>
              </w:rPr>
              <w:t>Timeframe</w:t>
            </w:r>
          </w:p>
        </w:tc>
        <w:tc>
          <w:tcPr>
            <w:tcW w:type="dxa" w:w="2160"/>
            <w:shd w:fill="1a1a2e" w:color="auto" w:val="clear"/>
          </w:tcPr>
          <w:p>
            <w:pPr>
              <w:jc w:val="center"/>
            </w:pPr>
            <w:r>
              <w:rPr>
                <w:b/>
                <w:color w:val="FFFFFF"/>
                <w:sz w:val="18"/>
              </w:rPr>
              <w:t>Reward vs. 1.0x</w:t>
            </w:r>
          </w:p>
        </w:tc>
      </w:tr>
      <w:tr>
        <w:tc>
          <w:tcPr>
            <w:tcW w:type="dxa" w:w="2160"/>
            <w:shd w:fill="f5f5f5" w:color="auto" w:val="clear"/>
          </w:tcPr>
          <w:p>
            <w:pPr>
              <w:jc w:val="center"/>
            </w:pPr>
            <w:r>
              <w:rPr>
                <w:sz w:val="18"/>
              </w:rPr>
              <w:t>1</w:t>
            </w:r>
          </w:p>
        </w:tc>
        <w:tc>
          <w:tcPr>
            <w:tcW w:type="dxa" w:w="2160"/>
            <w:shd w:fill="f5f5f5" w:color="auto" w:val="clear"/>
          </w:tcPr>
          <w:p>
            <w:pPr>
              <w:jc w:val="center"/>
            </w:pPr>
            <w:r>
              <w:rPr>
                <w:sz w:val="18"/>
              </w:rPr>
              <w:t>1.0x</w:t>
            </w:r>
          </w:p>
        </w:tc>
        <w:tc>
          <w:tcPr>
            <w:tcW w:type="dxa" w:w="2160"/>
            <w:shd w:fill="f5f5f5" w:color="auto" w:val="clear"/>
          </w:tcPr>
          <w:p>
            <w:pPr>
              <w:jc w:val="center"/>
            </w:pPr>
            <w:r>
              <w:rPr>
                <w:sz w:val="18"/>
              </w:rPr>
              <w:t>8 days</w:t>
            </w:r>
          </w:p>
        </w:tc>
        <w:tc>
          <w:tcPr>
            <w:tcW w:type="dxa" w:w="2160"/>
            <w:shd w:fill="f5f5f5" w:color="auto" w:val="clear"/>
          </w:tcPr>
          <w:p>
            <w:pPr>
              <w:jc w:val="center"/>
            </w:pPr>
            <w:r>
              <w:rPr>
                <w:sz w:val="18"/>
              </w:rPr>
              <w:t>Baseline</w:t>
            </w:r>
          </w:p>
        </w:tc>
      </w:tr>
      <w:tr>
        <w:tc>
          <w:tcPr>
            <w:tcW w:type="dxa" w:w="2160"/>
          </w:tcPr>
          <w:p>
            <w:pPr>
              <w:jc w:val="center"/>
            </w:pPr>
            <w:r>
              <w:rPr>
                <w:sz w:val="18"/>
              </w:rPr>
              <w:t>3</w:t>
            </w:r>
          </w:p>
        </w:tc>
        <w:tc>
          <w:tcPr>
            <w:tcW w:type="dxa" w:w="2160"/>
          </w:tcPr>
          <w:p>
            <w:pPr>
              <w:jc w:val="center"/>
            </w:pPr>
            <w:r>
              <w:rPr>
                <w:sz w:val="18"/>
              </w:rPr>
              <w:t>1.4x</w:t>
            </w:r>
          </w:p>
        </w:tc>
        <w:tc>
          <w:tcPr>
            <w:tcW w:type="dxa" w:w="2160"/>
          </w:tcPr>
          <w:p>
            <w:pPr>
              <w:jc w:val="center"/>
            </w:pPr>
            <w:r>
              <w:rPr>
                <w:sz w:val="18"/>
              </w:rPr>
              <w:t>24 days</w:t>
            </w:r>
          </w:p>
        </w:tc>
        <w:tc>
          <w:tcPr>
            <w:tcW w:type="dxa" w:w="2160"/>
          </w:tcPr>
          <w:p>
            <w:pPr>
              <w:jc w:val="center"/>
            </w:pPr>
            <w:r>
              <w:rPr>
                <w:sz w:val="18"/>
              </w:rPr>
              <w:t>+40%</w:t>
            </w:r>
          </w:p>
        </w:tc>
      </w:tr>
      <w:tr>
        <w:tc>
          <w:tcPr>
            <w:tcW w:type="dxa" w:w="2160"/>
            <w:shd w:fill="f5f5f5" w:color="auto" w:val="clear"/>
          </w:tcPr>
          <w:p>
            <w:pPr>
              <w:jc w:val="center"/>
            </w:pPr>
            <w:r>
              <w:rPr>
                <w:sz w:val="18"/>
              </w:rPr>
              <w:t>5</w:t>
            </w:r>
          </w:p>
        </w:tc>
        <w:tc>
          <w:tcPr>
            <w:tcW w:type="dxa" w:w="2160"/>
            <w:shd w:fill="f5f5f5" w:color="auto" w:val="clear"/>
          </w:tcPr>
          <w:p>
            <w:pPr>
              <w:jc w:val="center"/>
            </w:pPr>
            <w:r>
              <w:rPr>
                <w:sz w:val="18"/>
              </w:rPr>
              <w:t>1.8x</w:t>
            </w:r>
          </w:p>
        </w:tc>
        <w:tc>
          <w:tcPr>
            <w:tcW w:type="dxa" w:w="2160"/>
            <w:shd w:fill="f5f5f5" w:color="auto" w:val="clear"/>
          </w:tcPr>
          <w:p>
            <w:pPr>
              <w:jc w:val="center"/>
            </w:pPr>
            <w:r>
              <w:rPr>
                <w:sz w:val="18"/>
              </w:rPr>
              <w:t>40 days</w:t>
            </w:r>
          </w:p>
        </w:tc>
        <w:tc>
          <w:tcPr>
            <w:tcW w:type="dxa" w:w="2160"/>
            <w:shd w:fill="f5f5f5" w:color="auto" w:val="clear"/>
          </w:tcPr>
          <w:p>
            <w:pPr>
              <w:jc w:val="center"/>
            </w:pPr>
            <w:r>
              <w:rPr>
                <w:sz w:val="18"/>
              </w:rPr>
              <w:t>+80%</w:t>
            </w:r>
          </w:p>
        </w:tc>
      </w:tr>
      <w:tr>
        <w:tc>
          <w:tcPr>
            <w:tcW w:type="dxa" w:w="2160"/>
          </w:tcPr>
          <w:p>
            <w:pPr>
              <w:jc w:val="center"/>
            </w:pPr>
            <w:r>
              <w:rPr>
                <w:sz w:val="18"/>
              </w:rPr>
              <w:t>8</w:t>
            </w:r>
          </w:p>
        </w:tc>
        <w:tc>
          <w:tcPr>
            <w:tcW w:type="dxa" w:w="2160"/>
          </w:tcPr>
          <w:p>
            <w:pPr>
              <w:jc w:val="center"/>
            </w:pPr>
            <w:r>
              <w:rPr>
                <w:sz w:val="18"/>
              </w:rPr>
              <w:t>2.4x</w:t>
            </w:r>
          </w:p>
        </w:tc>
        <w:tc>
          <w:tcPr>
            <w:tcW w:type="dxa" w:w="2160"/>
          </w:tcPr>
          <w:p>
            <w:pPr>
              <w:jc w:val="center"/>
            </w:pPr>
            <w:r>
              <w:rPr>
                <w:sz w:val="18"/>
              </w:rPr>
              <w:t>64 days</w:t>
            </w:r>
          </w:p>
        </w:tc>
        <w:tc>
          <w:tcPr>
            <w:tcW w:type="dxa" w:w="2160"/>
          </w:tcPr>
          <w:p>
            <w:pPr>
              <w:jc w:val="center"/>
            </w:pPr>
            <w:r>
              <w:rPr>
                <w:sz w:val="18"/>
              </w:rPr>
              <w:t>+140%</w:t>
            </w:r>
          </w:p>
        </w:tc>
      </w:tr>
      <w:tr>
        <w:tc>
          <w:tcPr>
            <w:tcW w:type="dxa" w:w="2160"/>
            <w:shd w:fill="f5f5f5" w:color="auto" w:val="clear"/>
          </w:tcPr>
          <w:p>
            <w:pPr>
              <w:jc w:val="center"/>
            </w:pPr>
            <w:r>
              <w:rPr>
                <w:sz w:val="18"/>
              </w:rPr>
              <w:t>11+</w:t>
            </w:r>
          </w:p>
        </w:tc>
        <w:tc>
          <w:tcPr>
            <w:tcW w:type="dxa" w:w="2160"/>
            <w:shd w:fill="f5f5f5" w:color="auto" w:val="clear"/>
          </w:tcPr>
          <w:p>
            <w:pPr>
              <w:jc w:val="center"/>
            </w:pPr>
            <w:r>
              <w:rPr>
                <w:sz w:val="18"/>
              </w:rPr>
              <w:t>3.0x (MAX)</w:t>
            </w:r>
          </w:p>
        </w:tc>
        <w:tc>
          <w:tcPr>
            <w:tcW w:type="dxa" w:w="2160"/>
            <w:shd w:fill="f5f5f5" w:color="auto" w:val="clear"/>
          </w:tcPr>
          <w:p>
            <w:pPr>
              <w:jc w:val="center"/>
            </w:pPr>
            <w:r>
              <w:rPr>
                <w:sz w:val="18"/>
              </w:rPr>
              <w:t>88+ days</w:t>
            </w:r>
          </w:p>
        </w:tc>
        <w:tc>
          <w:tcPr>
            <w:tcW w:type="dxa" w:w="2160"/>
            <w:shd w:fill="f5f5f5" w:color="auto" w:val="clear"/>
          </w:tcPr>
          <w:p>
            <w:pPr>
              <w:jc w:val="center"/>
            </w:pPr>
            <w:r>
              <w:rPr>
                <w:sz w:val="18"/>
              </w:rPr>
              <w:t>+200%</w:t>
            </w:r>
          </w:p>
        </w:tc>
      </w:tr>
    </w:tbl>
    <w:p>
      <w:pPr>
        <w:pStyle w:val="Heading1"/>
      </w:pPr>
      <w:r>
        <w:t>7. Staking &amp; Real Yield</w:t>
      </w:r>
    </w:p>
    <w:p>
      <w:r>
        <w:t>HBURN staking offers real ETH yield — not inflationary token rewards, but actual ETH from TitanX staking payouts and the 20% epoch allocation.</w:t>
      </w:r>
    </w:p>
    <w:p>
      <w:r>
        <w:t>Share Calculation: Shares = Amount x Time Bonus x Fuel Bonus x Loyalty Bonus</w:t>
      </w:r>
    </w:p>
    <w:p>
      <w:pPr>
        <w:jc w:val="center"/>
      </w:pPr>
      <w:r>
        <w:drawing>
          <wp:inline xmlns:a="http://schemas.openxmlformats.org/drawingml/2006/main" xmlns:pic="http://schemas.openxmlformats.org/drawingml/2006/picture">
            <wp:extent cx="4572000" cy="2536122"/>
            <wp:docPr id="6" name="Picture 6"/>
            <wp:cNvGraphicFramePr>
              <a:graphicFrameLocks noChangeAspect="1"/>
            </wp:cNvGraphicFramePr>
            <a:graphic>
              <a:graphicData uri="http://schemas.openxmlformats.org/drawingml/2006/picture">
                <pic:pic>
                  <pic:nvPicPr>
                    <pic:cNvPr id="0" name="staking_tiers.png"/>
                    <pic:cNvPicPr/>
                  </pic:nvPicPr>
                  <pic:blipFill>
                    <a:blip r:embed="rId14"/>
                    <a:stretch>
                      <a:fillRect/>
                    </a:stretch>
                  </pic:blipFill>
                  <pic:spPr>
                    <a:xfrm>
                      <a:off x="0" y="0"/>
                      <a:ext cx="4572000" cy="2536122"/>
                    </a:xfrm>
                    <a:prstGeom prst="rect"/>
                  </pic:spPr>
                </pic:pic>
              </a:graphicData>
            </a:graphic>
          </wp:inline>
        </w:drawing>
      </w:r>
    </w:p>
    <w:p>
      <w:pPr>
        <w:pStyle w:val="Heading2"/>
      </w:pPr>
      <w:r>
        <w:t>Practical Example: Carol Stakes for Gold Tier</w:t>
      </w:r>
    </w:p>
    <w:p>
      <w:r>
        <w:t>Carol has 500,000 HBURN and stakes for 369 days (Gold tier). She also adds fuel by burning 200,000 TitanX. She has completed 1 previous stake (loyalty bonus: 1.1x).</w:t>
      </w:r>
    </w:p>
    <w:p>
      <w:r>
        <w:rPr>
          <w:b/>
        </w:rPr>
        <w:t>Carol's shares:</w:t>
      </w:r>
    </w:p>
    <w:p>
      <w:r>
        <w:t xml:space="preserve">  - Amount: 500,000 HBURN</w:t>
      </w:r>
    </w:p>
    <w:p>
      <w:r>
        <w:t xml:space="preserve">  - Time bonus: 1.8x (Gold, 369 days)</w:t>
      </w:r>
    </w:p>
    <w:p>
      <w:r>
        <w:t xml:space="preserve">  - Fuel bonus: 1.25x (partial fuel from 200K TitanX)</w:t>
      </w:r>
    </w:p>
    <w:p>
      <w:r>
        <w:t xml:space="preserve">  - Loyalty bonus: 1.1x (1 completed restake)</w:t>
      </w:r>
    </w:p>
    <w:p>
      <w:r>
        <w:t xml:space="preserve">  - Total shares: 500,000 x 1.8 x 1.25 x 1.1 = 1,237,500</w:t>
      </w:r>
    </w:p>
    <w:p/>
    <w:p>
      <w:r>
        <w:rPr>
          <w:b/>
        </w:rPr>
        <w:t xml:space="preserve">Without optimization: </w:t>
      </w:r>
      <w:r>
        <w:t>A Bronze stake (28 days) without fuel or loyalty would yield only 500,000 x 1.0 x 1.0 x 1.0 = 500,000 shares. Carol's optimized strategy gives her 2.475x more ETH rewards from the same initial HBURN investment.</w:t>
      </w:r>
    </w:p>
    <w:p>
      <w:pPr>
        <w:pStyle w:val="Heading2"/>
      </w:pPr>
      <w:r>
        <w:t>Penalty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1a2e" w:color="auto" w:val="clear"/>
          </w:tcPr>
          <w:p>
            <w:pPr>
              <w:jc w:val="center"/>
            </w:pPr>
            <w:r>
              <w:rPr>
                <w:b/>
                <w:color w:val="FFFFFF"/>
                <w:sz w:val="18"/>
              </w:rPr>
              <w:t>Maturity</w:t>
            </w:r>
          </w:p>
        </w:tc>
        <w:tc>
          <w:tcPr>
            <w:tcW w:type="dxa" w:w="2160"/>
            <w:shd w:fill="1a1a2e" w:color="auto" w:val="clear"/>
          </w:tcPr>
          <w:p>
            <w:pPr>
              <w:jc w:val="center"/>
            </w:pPr>
            <w:r>
              <w:rPr>
                <w:b/>
                <w:color w:val="FFFFFF"/>
                <w:sz w:val="18"/>
              </w:rPr>
              <w:t>Status</w:t>
            </w:r>
          </w:p>
        </w:tc>
        <w:tc>
          <w:tcPr>
            <w:tcW w:type="dxa" w:w="2160"/>
            <w:shd w:fill="1a1a2e" w:color="auto" w:val="clear"/>
          </w:tcPr>
          <w:p>
            <w:pPr>
              <w:jc w:val="center"/>
            </w:pPr>
            <w:r>
              <w:rPr>
                <w:b/>
                <w:color w:val="FFFFFF"/>
                <w:sz w:val="18"/>
              </w:rPr>
              <w:t>Penalty</w:t>
            </w:r>
          </w:p>
        </w:tc>
        <w:tc>
          <w:tcPr>
            <w:tcW w:type="dxa" w:w="2160"/>
            <w:shd w:fill="1a1a2e" w:color="auto" w:val="clear"/>
          </w:tcPr>
          <w:p>
            <w:pPr>
              <w:jc w:val="center"/>
            </w:pPr>
            <w:r>
              <w:rPr>
                <w:b/>
                <w:color w:val="FFFFFF"/>
                <w:sz w:val="18"/>
              </w:rPr>
              <w:t>What Happens</w:t>
            </w:r>
          </w:p>
        </w:tc>
      </w:tr>
      <w:tr>
        <w:tc>
          <w:tcPr>
            <w:tcW w:type="dxa" w:w="2160"/>
            <w:shd w:fill="f5f5f5" w:color="auto" w:val="clear"/>
          </w:tcPr>
          <w:p>
            <w:pPr>
              <w:jc w:val="center"/>
            </w:pPr>
            <w:r>
              <w:rPr>
                <w:sz w:val="18"/>
              </w:rPr>
              <w:t>0-49%</w:t>
            </w:r>
          </w:p>
        </w:tc>
        <w:tc>
          <w:tcPr>
            <w:tcW w:type="dxa" w:w="2160"/>
            <w:shd w:fill="f5f5f5" w:color="auto" w:val="clear"/>
          </w:tcPr>
          <w:p>
            <w:pPr>
              <w:jc w:val="center"/>
            </w:pPr>
            <w:r>
              <w:rPr>
                <w:sz w:val="18"/>
              </w:rPr>
              <w:t>Locked</w:t>
            </w:r>
          </w:p>
        </w:tc>
        <w:tc>
          <w:tcPr>
            <w:tcW w:type="dxa" w:w="2160"/>
            <w:shd w:fill="f5f5f5" w:color="auto" w:val="clear"/>
          </w:tcPr>
          <w:p>
            <w:pPr>
              <w:jc w:val="center"/>
            </w:pPr>
            <w:r>
              <w:rPr>
                <w:sz w:val="18"/>
              </w:rPr>
              <w:t>Cannot unstake</w:t>
            </w:r>
          </w:p>
        </w:tc>
        <w:tc>
          <w:tcPr>
            <w:tcW w:type="dxa" w:w="2160"/>
            <w:shd w:fill="f5f5f5" w:color="auto" w:val="clear"/>
          </w:tcPr>
          <w:p>
            <w:pPr>
              <w:jc w:val="center"/>
            </w:pPr>
            <w:r>
              <w:rPr>
                <w:sz w:val="18"/>
              </w:rPr>
              <w:t>Must wait</w:t>
            </w:r>
          </w:p>
        </w:tc>
      </w:tr>
      <w:tr>
        <w:tc>
          <w:tcPr>
            <w:tcW w:type="dxa" w:w="2160"/>
          </w:tcPr>
          <w:p>
            <w:pPr>
              <w:jc w:val="center"/>
            </w:pPr>
            <w:r>
              <w:rPr>
                <w:sz w:val="18"/>
              </w:rPr>
              <w:t>50%</w:t>
            </w:r>
          </w:p>
        </w:tc>
        <w:tc>
          <w:tcPr>
            <w:tcW w:type="dxa" w:w="2160"/>
          </w:tcPr>
          <w:p>
            <w:pPr>
              <w:jc w:val="center"/>
            </w:pPr>
            <w:r>
              <w:rPr>
                <w:sz w:val="18"/>
              </w:rPr>
              <w:t>Earliest exit</w:t>
            </w:r>
          </w:p>
        </w:tc>
        <w:tc>
          <w:tcPr>
            <w:tcW w:type="dxa" w:w="2160"/>
          </w:tcPr>
          <w:p>
            <w:pPr>
              <w:jc w:val="center"/>
            </w:pPr>
            <w:r>
              <w:rPr>
                <w:sz w:val="18"/>
              </w:rPr>
              <w:t>~100%</w:t>
            </w:r>
          </w:p>
        </w:tc>
        <w:tc>
          <w:tcPr>
            <w:tcW w:type="dxa" w:w="2160"/>
          </w:tcPr>
          <w:p>
            <w:pPr>
              <w:jc w:val="center"/>
            </w:pPr>
            <w:r>
              <w:rPr>
                <w:sz w:val="18"/>
              </w:rPr>
              <w:t>Nearly all HBURN lost</w:t>
            </w:r>
          </w:p>
        </w:tc>
      </w:tr>
      <w:tr>
        <w:tc>
          <w:tcPr>
            <w:tcW w:type="dxa" w:w="2160"/>
            <w:shd w:fill="f5f5f5" w:color="auto" w:val="clear"/>
          </w:tcPr>
          <w:p>
            <w:pPr>
              <w:jc w:val="center"/>
            </w:pPr>
            <w:r>
              <w:rPr>
                <w:sz w:val="18"/>
              </w:rPr>
              <w:t>75%</w:t>
            </w:r>
          </w:p>
        </w:tc>
        <w:tc>
          <w:tcPr>
            <w:tcW w:type="dxa" w:w="2160"/>
            <w:shd w:fill="f5f5f5" w:color="auto" w:val="clear"/>
          </w:tcPr>
          <w:p>
            <w:pPr>
              <w:jc w:val="center"/>
            </w:pPr>
            <w:r>
              <w:rPr>
                <w:sz w:val="18"/>
              </w:rPr>
              <w:t>Mid-maturity</w:t>
            </w:r>
          </w:p>
        </w:tc>
        <w:tc>
          <w:tcPr>
            <w:tcW w:type="dxa" w:w="2160"/>
            <w:shd w:fill="f5f5f5" w:color="auto" w:val="clear"/>
          </w:tcPr>
          <w:p>
            <w:pPr>
              <w:jc w:val="center"/>
            </w:pPr>
            <w:r>
              <w:rPr>
                <w:sz w:val="18"/>
              </w:rPr>
              <w:t>~50%</w:t>
            </w:r>
          </w:p>
        </w:tc>
        <w:tc>
          <w:tcPr>
            <w:tcW w:type="dxa" w:w="2160"/>
            <w:shd w:fill="f5f5f5" w:color="auto" w:val="clear"/>
          </w:tcPr>
          <w:p>
            <w:pPr>
              <w:jc w:val="center"/>
            </w:pPr>
            <w:r>
              <w:rPr>
                <w:sz w:val="18"/>
              </w:rPr>
              <w:t>Half returned, half penalized</w:t>
            </w:r>
          </w:p>
        </w:tc>
      </w:tr>
      <w:tr>
        <w:tc>
          <w:tcPr>
            <w:tcW w:type="dxa" w:w="2160"/>
          </w:tcPr>
          <w:p>
            <w:pPr>
              <w:jc w:val="center"/>
            </w:pPr>
            <w:r>
              <w:rPr>
                <w:sz w:val="18"/>
              </w:rPr>
              <w:t>100%</w:t>
            </w:r>
          </w:p>
        </w:tc>
        <w:tc>
          <w:tcPr>
            <w:tcW w:type="dxa" w:w="2160"/>
          </w:tcPr>
          <w:p>
            <w:pPr>
              <w:jc w:val="center"/>
            </w:pPr>
            <w:r>
              <w:rPr>
                <w:sz w:val="18"/>
              </w:rPr>
              <w:t>Mature</w:t>
            </w:r>
          </w:p>
        </w:tc>
        <w:tc>
          <w:tcPr>
            <w:tcW w:type="dxa" w:w="2160"/>
          </w:tcPr>
          <w:p>
            <w:pPr>
              <w:jc w:val="center"/>
            </w:pPr>
            <w:r>
              <w:rPr>
                <w:sz w:val="18"/>
              </w:rPr>
              <w:t>0%</w:t>
            </w:r>
          </w:p>
        </w:tc>
        <w:tc>
          <w:tcPr>
            <w:tcW w:type="dxa" w:w="2160"/>
          </w:tcPr>
          <w:p>
            <w:pPr>
              <w:jc w:val="center"/>
            </w:pPr>
            <w:r>
              <w:rPr>
                <w:sz w:val="18"/>
              </w:rPr>
              <w:t>Full HBURN + ETH rewards</w:t>
            </w:r>
          </w:p>
        </w:tc>
      </w:tr>
      <w:tr>
        <w:tc>
          <w:tcPr>
            <w:tcW w:type="dxa" w:w="2160"/>
            <w:shd w:fill="f5f5f5" w:color="auto" w:val="clear"/>
          </w:tcPr>
          <w:p>
            <w:pPr>
              <w:jc w:val="center"/>
            </w:pPr>
            <w:r>
              <w:rPr>
                <w:sz w:val="18"/>
              </w:rPr>
              <w:t>100%+7d</w:t>
            </w:r>
          </w:p>
        </w:tc>
        <w:tc>
          <w:tcPr>
            <w:tcW w:type="dxa" w:w="2160"/>
            <w:shd w:fill="f5f5f5" w:color="auto" w:val="clear"/>
          </w:tcPr>
          <w:p>
            <w:pPr>
              <w:jc w:val="center"/>
            </w:pPr>
            <w:r>
              <w:rPr>
                <w:sz w:val="18"/>
              </w:rPr>
              <w:t>Grace period</w:t>
            </w:r>
          </w:p>
        </w:tc>
        <w:tc>
          <w:tcPr>
            <w:tcW w:type="dxa" w:w="2160"/>
            <w:shd w:fill="f5f5f5" w:color="auto" w:val="clear"/>
          </w:tcPr>
          <w:p>
            <w:pPr>
              <w:jc w:val="center"/>
            </w:pPr>
            <w:r>
              <w:rPr>
                <w:sz w:val="18"/>
              </w:rPr>
              <w:t>0%</w:t>
            </w:r>
          </w:p>
        </w:tc>
        <w:tc>
          <w:tcPr>
            <w:tcW w:type="dxa" w:w="2160"/>
            <w:shd w:fill="f5f5f5" w:color="auto" w:val="clear"/>
          </w:tcPr>
          <w:p>
            <w:pPr>
              <w:jc w:val="center"/>
            </w:pPr>
            <w:r>
              <w:rPr>
                <w:sz w:val="18"/>
              </w:rPr>
              <w:t>Optimal exit window</w:t>
            </w:r>
          </w:p>
        </w:tc>
      </w:tr>
    </w:tbl>
    <w:p>
      <w:r>
        <w:t>Penalty distribution: 50% of penalized HBURN is permanently burned (deflation), 50% stays in the staking contract (rewards remaining stakers).</w:t>
      </w:r>
    </w:p>
    <w:p>
      <w:pPr>
        <w:pStyle w:val="Heading1"/>
      </w:pPr>
      <w:r>
        <w:t>8. Tokenomics Deep Dive</w:t>
      </w:r>
    </w:p>
    <w:tbl>
      <w:tblPr>
        <w:tblStyle w:val="TableGrid"/>
        <w:tblW w:type="auto" w:w="0"/>
        <w:jc w:val="center"/>
        <w:tblLook w:firstColumn="1" w:firstRow="1" w:lastColumn="0" w:lastRow="0" w:noHBand="0" w:noVBand="1" w:val="04A0"/>
      </w:tblPr>
      <w:tblGrid>
        <w:gridCol w:w="4320"/>
        <w:gridCol w:w="4320"/>
      </w:tblGrid>
      <w:tr>
        <w:tc>
          <w:tcPr>
            <w:tcW w:type="dxa" w:w="4320"/>
            <w:shd w:fill="1a1a2e" w:color="auto" w:val="clear"/>
          </w:tcPr>
          <w:p>
            <w:pPr>
              <w:jc w:val="center"/>
            </w:pPr>
            <w:r>
              <w:rPr>
                <w:b/>
                <w:color w:val="FFFFFF"/>
                <w:sz w:val="18"/>
              </w:rPr>
              <w:t>Parameter</w:t>
            </w:r>
          </w:p>
        </w:tc>
        <w:tc>
          <w:tcPr>
            <w:tcW w:type="dxa" w:w="4320"/>
            <w:shd w:fill="1a1a2e" w:color="auto" w:val="clear"/>
          </w:tcPr>
          <w:p>
            <w:pPr>
              <w:jc w:val="center"/>
            </w:pPr>
            <w:r>
              <w:rPr>
                <w:b/>
                <w:color w:val="FFFFFF"/>
                <w:sz w:val="18"/>
              </w:rPr>
              <w:t>Value</w:t>
            </w:r>
          </w:p>
        </w:tc>
      </w:tr>
      <w:tr>
        <w:tc>
          <w:tcPr>
            <w:tcW w:type="dxa" w:w="4320"/>
            <w:shd w:fill="f5f5f5" w:color="auto" w:val="clear"/>
          </w:tcPr>
          <w:p>
            <w:pPr>
              <w:jc w:val="center"/>
            </w:pPr>
            <w:r>
              <w:rPr>
                <w:sz w:val="18"/>
              </w:rPr>
              <w:t>Name</w:t>
            </w:r>
          </w:p>
        </w:tc>
        <w:tc>
          <w:tcPr>
            <w:tcW w:type="dxa" w:w="4320"/>
            <w:shd w:fill="f5f5f5" w:color="auto" w:val="clear"/>
          </w:tcPr>
          <w:p>
            <w:pPr>
              <w:jc w:val="center"/>
            </w:pPr>
            <w:r>
              <w:rPr>
                <w:sz w:val="18"/>
              </w:rPr>
              <w:t>HellBurn</w:t>
            </w:r>
          </w:p>
        </w:tc>
      </w:tr>
      <w:tr>
        <w:tc>
          <w:tcPr>
            <w:tcW w:type="dxa" w:w="4320"/>
          </w:tcPr>
          <w:p>
            <w:pPr>
              <w:jc w:val="center"/>
            </w:pPr>
            <w:r>
              <w:rPr>
                <w:sz w:val="18"/>
              </w:rPr>
              <w:t>Ticker</w:t>
            </w:r>
          </w:p>
        </w:tc>
        <w:tc>
          <w:tcPr>
            <w:tcW w:type="dxa" w:w="4320"/>
          </w:tcPr>
          <w:p>
            <w:pPr>
              <w:jc w:val="center"/>
            </w:pPr>
            <w:r>
              <w:rPr>
                <w:sz w:val="18"/>
              </w:rPr>
              <w:t>HBURN</w:t>
            </w:r>
          </w:p>
        </w:tc>
      </w:tr>
      <w:tr>
        <w:tc>
          <w:tcPr>
            <w:tcW w:type="dxa" w:w="4320"/>
            <w:shd w:fill="f5f5f5" w:color="auto" w:val="clear"/>
          </w:tcPr>
          <w:p>
            <w:pPr>
              <w:jc w:val="center"/>
            </w:pPr>
            <w:r>
              <w:rPr>
                <w:sz w:val="18"/>
              </w:rPr>
              <w:t>Standard</w:t>
            </w:r>
          </w:p>
        </w:tc>
        <w:tc>
          <w:tcPr>
            <w:tcW w:type="dxa" w:w="4320"/>
            <w:shd w:fill="f5f5f5" w:color="auto" w:val="clear"/>
          </w:tcPr>
          <w:p>
            <w:pPr>
              <w:jc w:val="center"/>
            </w:pPr>
            <w:r>
              <w:rPr>
                <w:sz w:val="18"/>
              </w:rPr>
              <w:t>ERC-20 (Ethereum)</w:t>
            </w:r>
          </w:p>
        </w:tc>
      </w:tr>
      <w:tr>
        <w:tc>
          <w:tcPr>
            <w:tcW w:type="dxa" w:w="4320"/>
          </w:tcPr>
          <w:p>
            <w:pPr>
              <w:jc w:val="center"/>
            </w:pPr>
            <w:r>
              <w:rPr>
                <w:sz w:val="18"/>
              </w:rPr>
              <w:t>Total Supply</w:t>
            </w:r>
          </w:p>
        </w:tc>
        <w:tc>
          <w:tcPr>
            <w:tcW w:type="dxa" w:w="4320"/>
          </w:tcPr>
          <w:p>
            <w:pPr>
              <w:jc w:val="center"/>
            </w:pPr>
            <w:r>
              <w:rPr>
                <w:sz w:val="18"/>
              </w:rPr>
              <w:t>Determined by Genesis Burn Phase (then permanently fixed)</w:t>
            </w:r>
          </w:p>
        </w:tc>
      </w:tr>
      <w:tr>
        <w:tc>
          <w:tcPr>
            <w:tcW w:type="dxa" w:w="4320"/>
            <w:shd w:fill="f5f5f5" w:color="auto" w:val="clear"/>
          </w:tcPr>
          <w:p>
            <w:pPr>
              <w:jc w:val="center"/>
            </w:pPr>
            <w:r>
              <w:rPr>
                <w:sz w:val="18"/>
              </w:rPr>
              <w:t>Inflation Rate</w:t>
            </w:r>
          </w:p>
        </w:tc>
        <w:tc>
          <w:tcPr>
            <w:tcW w:type="dxa" w:w="4320"/>
            <w:shd w:fill="f5f5f5" w:color="auto" w:val="clear"/>
          </w:tcPr>
          <w:p>
            <w:pPr>
              <w:jc w:val="center"/>
            </w:pPr>
            <w:r>
              <w:rPr>
                <w:sz w:val="18"/>
              </w:rPr>
              <w:t>0% — no further minting possible after Genesis</w:t>
            </w:r>
          </w:p>
        </w:tc>
      </w:tr>
      <w:tr>
        <w:tc>
          <w:tcPr>
            <w:tcW w:type="dxa" w:w="4320"/>
          </w:tcPr>
          <w:p>
            <w:pPr>
              <w:jc w:val="center"/>
            </w:pPr>
            <w:r>
              <w:rPr>
                <w:sz w:val="18"/>
              </w:rPr>
              <w:t>Admin Keys</w:t>
            </w:r>
          </w:p>
        </w:tc>
        <w:tc>
          <w:tcPr>
            <w:tcW w:type="dxa" w:w="4320"/>
          </w:tcPr>
          <w:p>
            <w:pPr>
              <w:jc w:val="center"/>
            </w:pPr>
            <w:r>
              <w:rPr>
                <w:sz w:val="18"/>
              </w:rPr>
              <w:t>None — fully decentralized, no owner functions</w:t>
            </w:r>
          </w:p>
        </w:tc>
      </w:tr>
      <w:tr>
        <w:tc>
          <w:tcPr>
            <w:tcW w:type="dxa" w:w="4320"/>
            <w:shd w:fill="f5f5f5" w:color="auto" w:val="clear"/>
          </w:tcPr>
          <w:p>
            <w:pPr>
              <w:jc w:val="center"/>
            </w:pPr>
            <w:r>
              <w:rPr>
                <w:sz w:val="18"/>
              </w:rPr>
              <w:t>Deflationary Forces</w:t>
            </w:r>
          </w:p>
        </w:tc>
        <w:tc>
          <w:tcPr>
            <w:tcW w:type="dxa" w:w="4320"/>
            <w:shd w:fill="f5f5f5" w:color="auto" w:val="clear"/>
          </w:tcPr>
          <w:p>
            <w:pPr>
              <w:jc w:val="center"/>
            </w:pPr>
            <w:r>
              <w:rPr>
                <w:sz w:val="18"/>
              </w:rPr>
              <w:t>Buy &amp; Burn (20% of epoch ETH), early unstake penalties, fuel burns</w:t>
            </w:r>
          </w:p>
        </w:tc>
      </w:tr>
    </w:tbl>
    <w:p>
      <w:pPr>
        <w:pStyle w:val="Heading2"/>
      </w:pPr>
      <w:r>
        <w:t>Supply Projection</w:t>
      </w:r>
    </w:p>
    <w:p>
      <w:r>
        <w:t>HBURN is purely deflationary after Genesis. The supply can only decrease through three mechanisms:</w:t>
      </w:r>
    </w:p>
    <w:p>
      <w:r>
        <w:t xml:space="preserve">  1. Buy &amp; Burn: 20% of all epoch ETH is used to buy HBURN on Uniswap and burn it permanently.</w:t>
      </w:r>
    </w:p>
    <w:p>
      <w:r>
        <w:t xml:space="preserve">  2. Early unstake penalties: 50% of penalty is burned.</w:t>
      </w:r>
    </w:p>
    <w:p>
      <w:r>
        <w:t xml:space="preserve">  3. Fuel mechanism: TitanX/DragonX burned for fuel removes tokens from circulation permanently.</w:t>
      </w:r>
    </w:p>
    <w:p>
      <w:pPr>
        <w:pStyle w:val="Heading1"/>
      </w:pPr>
      <w:r>
        <w:t>9. Day 888 Strategy — The Catalyst Event</w:t>
      </w:r>
    </w:p>
    <w:p>
      <w:r>
        <w:t>TitanX Day 888 is the single largest payout event in the protocol's history. Currently, approximately 727 ETH (~$2.39M) sits in the 888-Day Payout Pool, representing 50.6% of the total cycle reward pool.</w:t>
      </w:r>
    </w:p>
    <w:p>
      <w:r>
        <w:rPr>
          <w:b/>
        </w:rPr>
        <w:t xml:space="preserve">HellBurn's Strategy: </w:t>
      </w:r>
      <w:r>
        <w:t>Launch Genesis before Day 888. All collected TitanX is immediately max-staked to build the largest possible share allocation. When the 888 payout triggers, the HellBurn treasury receives its proportional ETH share. This ETH flows into the first Burn Epochs, creating an extremely attractive reward pool — a powerful marketing event.</w:t>
      </w:r>
    </w:p>
    <w:p>
      <w:pPr>
        <w:pStyle w:val="Heading2"/>
      </w:pPr>
      <w:r>
        <w:t>Timeline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color="auto" w:val="clear"/>
          </w:tcPr>
          <w:p>
            <w:pPr>
              <w:jc w:val="center"/>
            </w:pPr>
            <w:r>
              <w:rPr>
                <w:b/>
                <w:color w:val="FFFFFF"/>
                <w:sz w:val="18"/>
              </w:rPr>
              <w:t>Timeframe</w:t>
            </w:r>
          </w:p>
        </w:tc>
        <w:tc>
          <w:tcPr>
            <w:tcW w:type="dxa" w:w="2880"/>
            <w:shd w:fill="1a1a2e" w:color="auto" w:val="clear"/>
          </w:tcPr>
          <w:p>
            <w:pPr>
              <w:jc w:val="center"/>
            </w:pPr>
            <w:r>
              <w:rPr>
                <w:b/>
                <w:color w:val="FFFFFF"/>
                <w:sz w:val="18"/>
              </w:rPr>
              <w:t>Event</w:t>
            </w:r>
          </w:p>
        </w:tc>
        <w:tc>
          <w:tcPr>
            <w:tcW w:type="dxa" w:w="2880"/>
            <w:shd w:fill="1a1a2e" w:color="auto" w:val="clear"/>
          </w:tcPr>
          <w:p>
            <w:pPr>
              <w:jc w:val="center"/>
            </w:pPr>
            <w:r>
              <w:rPr>
                <w:b/>
                <w:color w:val="FFFFFF"/>
                <w:sz w:val="18"/>
              </w:rPr>
              <w:t>Action</w:t>
            </w:r>
          </w:p>
        </w:tc>
      </w:tr>
      <w:tr>
        <w:tc>
          <w:tcPr>
            <w:tcW w:type="dxa" w:w="2880"/>
            <w:shd w:fill="f5f5f5" w:color="auto" w:val="clear"/>
          </w:tcPr>
          <w:p>
            <w:pPr>
              <w:jc w:val="center"/>
            </w:pPr>
            <w:r>
              <w:rPr>
                <w:sz w:val="18"/>
              </w:rPr>
              <w:t>~Day 852</w:t>
            </w:r>
          </w:p>
        </w:tc>
        <w:tc>
          <w:tcPr>
            <w:tcW w:type="dxa" w:w="2880"/>
            <w:shd w:fill="f5f5f5" w:color="auto" w:val="clear"/>
          </w:tcPr>
          <w:p>
            <w:pPr>
              <w:jc w:val="center"/>
            </w:pPr>
            <w:r>
              <w:rPr>
                <w:sz w:val="18"/>
              </w:rPr>
              <w:t>Contract Deployment</w:t>
            </w:r>
          </w:p>
        </w:tc>
        <w:tc>
          <w:tcPr>
            <w:tcW w:type="dxa" w:w="2880"/>
            <w:shd w:fill="f5f5f5" w:color="auto" w:val="clear"/>
          </w:tcPr>
          <w:p>
            <w:pPr>
              <w:jc w:val="center"/>
            </w:pPr>
            <w:r>
              <w:rPr>
                <w:sz w:val="18"/>
              </w:rPr>
              <w:t>Deploy, audit, create LP</w:t>
            </w:r>
          </w:p>
        </w:tc>
      </w:tr>
      <w:tr>
        <w:tc>
          <w:tcPr>
            <w:tcW w:type="dxa" w:w="2880"/>
          </w:tcPr>
          <w:p>
            <w:pPr>
              <w:jc w:val="center"/>
            </w:pPr>
            <w:r>
              <w:rPr>
                <w:sz w:val="18"/>
              </w:rPr>
              <w:t>~Day 855</w:t>
            </w:r>
          </w:p>
        </w:tc>
        <w:tc>
          <w:tcPr>
            <w:tcW w:type="dxa" w:w="2880"/>
          </w:tcPr>
          <w:p>
            <w:pPr>
              <w:jc w:val="center"/>
            </w:pPr>
            <w:r>
              <w:rPr>
                <w:sz w:val="18"/>
              </w:rPr>
              <w:t>Genesis Start</w:t>
            </w:r>
          </w:p>
        </w:tc>
        <w:tc>
          <w:tcPr>
            <w:tcW w:type="dxa" w:w="2880"/>
          </w:tcPr>
          <w:p>
            <w:pPr>
              <w:jc w:val="center"/>
            </w:pPr>
            <w:r>
              <w:rPr>
                <w:sz w:val="18"/>
              </w:rPr>
              <w:t>28-day minting, TitanX immediately staked</w:t>
            </w:r>
          </w:p>
        </w:tc>
      </w:tr>
      <w:tr>
        <w:tc>
          <w:tcPr>
            <w:tcW w:type="dxa" w:w="2880"/>
            <w:shd w:fill="f5f5f5" w:color="auto" w:val="clear"/>
          </w:tcPr>
          <w:p>
            <w:pPr>
              <w:jc w:val="center"/>
            </w:pPr>
            <w:r>
              <w:rPr>
                <w:sz w:val="18"/>
              </w:rPr>
              <w:t>Day 888</w:t>
            </w:r>
          </w:p>
        </w:tc>
        <w:tc>
          <w:tcPr>
            <w:tcW w:type="dxa" w:w="2880"/>
            <w:shd w:fill="f5f5f5" w:color="auto" w:val="clear"/>
          </w:tcPr>
          <w:p>
            <w:pPr>
              <w:jc w:val="center"/>
            </w:pPr>
            <w:r>
              <w:rPr>
                <w:sz w:val="18"/>
              </w:rPr>
              <w:t>MEGA PAYOUT</w:t>
            </w:r>
          </w:p>
        </w:tc>
        <w:tc>
          <w:tcPr>
            <w:tcW w:type="dxa" w:w="2880"/>
            <w:shd w:fill="f5f5f5" w:color="auto" w:val="clear"/>
          </w:tcPr>
          <w:p>
            <w:pPr>
              <w:jc w:val="center"/>
            </w:pPr>
            <w:r>
              <w:rPr>
                <w:sz w:val="18"/>
              </w:rPr>
              <w:t>Treasury receives share of 727 ETH pool</w:t>
            </w:r>
          </w:p>
        </w:tc>
      </w:tr>
      <w:tr>
        <w:tc>
          <w:tcPr>
            <w:tcW w:type="dxa" w:w="2880"/>
          </w:tcPr>
          <w:p>
            <w:pPr>
              <w:jc w:val="center"/>
            </w:pPr>
            <w:r>
              <w:rPr>
                <w:sz w:val="18"/>
              </w:rPr>
              <w:t>Day 888+</w:t>
            </w:r>
          </w:p>
        </w:tc>
        <w:tc>
          <w:tcPr>
            <w:tcW w:type="dxa" w:w="2880"/>
          </w:tcPr>
          <w:p>
            <w:pPr>
              <w:jc w:val="center"/>
            </w:pPr>
            <w:r>
              <w:rPr>
                <w:sz w:val="18"/>
              </w:rPr>
              <w:t>Burn Cascade</w:t>
            </w:r>
          </w:p>
        </w:tc>
        <w:tc>
          <w:tcPr>
            <w:tcW w:type="dxa" w:w="2880"/>
          </w:tcPr>
          <w:p>
            <w:pPr>
              <w:jc w:val="center"/>
            </w:pPr>
            <w:r>
              <w:rPr>
                <w:sz w:val="18"/>
              </w:rPr>
              <w:t>ETH buys &amp; burns TitanX, DragonX, HBURN</w:t>
            </w:r>
          </w:p>
        </w:tc>
      </w:tr>
      <w:tr>
        <w:tc>
          <w:tcPr>
            <w:tcW w:type="dxa" w:w="2880"/>
            <w:shd w:fill="f5f5f5" w:color="auto" w:val="clear"/>
          </w:tcPr>
          <w:p>
            <w:pPr>
              <w:jc w:val="center"/>
            </w:pPr>
            <w:r>
              <w:rPr>
                <w:sz w:val="18"/>
              </w:rPr>
              <w:t>~Day 896</w:t>
            </w:r>
          </w:p>
        </w:tc>
        <w:tc>
          <w:tcPr>
            <w:tcW w:type="dxa" w:w="2880"/>
            <w:shd w:fill="f5f5f5" w:color="auto" w:val="clear"/>
          </w:tcPr>
          <w:p>
            <w:pPr>
              <w:jc w:val="center"/>
            </w:pPr>
            <w:r>
              <w:rPr>
                <w:sz w:val="18"/>
              </w:rPr>
              <w:t>Epoch 1</w:t>
            </w:r>
          </w:p>
        </w:tc>
        <w:tc>
          <w:tcPr>
            <w:tcW w:type="dxa" w:w="2880"/>
            <w:shd w:fill="f5f5f5" w:color="auto" w:val="clear"/>
          </w:tcPr>
          <w:p>
            <w:pPr>
              <w:jc w:val="center"/>
            </w:pPr>
            <w:r>
              <w:rPr>
                <w:sz w:val="18"/>
              </w:rPr>
              <w:t>First Burn Epoch with massive ETH pool</w:t>
            </w:r>
          </w:p>
        </w:tc>
      </w:tr>
    </w:tbl>
    <w:p>
      <w:pPr>
        <w:pStyle w:val="Heading2"/>
      </w:pPr>
      <w:r>
        <w:t>Why This Matters — Example</w:t>
      </w:r>
    </w:p>
    <w:p>
      <w:r>
        <w:t>Assume HellBurn accumulates 50B TitanX during Genesis, all max-staked. If TitanX has 10T total staked, HellBurn's treasury represents 0.5% of total staking power. The Day-888 payout of 727 ETH would allocate approximately 3.6 ETH directly to HellBurn's first epoch reward pool. Combined with the 8-day cycle payout (~15 ETH from a typical cycle), the first epoch could start with 18+ ETH — an extraordinary reward pool for early participants.</w:t>
      </w:r>
    </w:p>
    <w:p>
      <w:pPr>
        <w:pStyle w:val="Heading1"/>
      </w:pPr>
      <w:r>
        <w:t>10. Anti-Dump Mechanisms</w:t>
      </w:r>
    </w:p>
    <w:p>
      <w:r>
        <w:t>HellBurn implements a four-layer anti-dump system that prevents the classic post-minting sell-off:</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color="auto" w:val="clear"/>
          </w:tcPr>
          <w:p>
            <w:pPr>
              <w:jc w:val="center"/>
            </w:pPr>
            <w:r>
              <w:rPr>
                <w:b/>
                <w:color w:val="FFFFFF"/>
                <w:sz w:val="18"/>
              </w:rPr>
              <w:t>Layer</w:t>
            </w:r>
          </w:p>
        </w:tc>
        <w:tc>
          <w:tcPr>
            <w:tcW w:type="dxa" w:w="2880"/>
            <w:shd w:fill="1a1a2e" w:color="auto" w:val="clear"/>
          </w:tcPr>
          <w:p>
            <w:pPr>
              <w:jc w:val="center"/>
            </w:pPr>
            <w:r>
              <w:rPr>
                <w:b/>
                <w:color w:val="FFFFFF"/>
                <w:sz w:val="18"/>
              </w:rPr>
              <w:t>Mechanism</w:t>
            </w:r>
          </w:p>
        </w:tc>
        <w:tc>
          <w:tcPr>
            <w:tcW w:type="dxa" w:w="2880"/>
            <w:shd w:fill="1a1a2e" w:color="auto" w:val="clear"/>
          </w:tcPr>
          <w:p>
            <w:pPr>
              <w:jc w:val="center"/>
            </w:pPr>
            <w:r>
              <w:rPr>
                <w:b/>
                <w:color w:val="FFFFFF"/>
                <w:sz w:val="18"/>
              </w:rPr>
              <w:t>Effect</w:t>
            </w:r>
          </w:p>
        </w:tc>
      </w:tr>
      <w:tr>
        <w:tc>
          <w:tcPr>
            <w:tcW w:type="dxa" w:w="2880"/>
            <w:shd w:fill="f5f5f5" w:color="auto" w:val="clear"/>
          </w:tcPr>
          <w:p>
            <w:pPr>
              <w:jc w:val="center"/>
            </w:pPr>
            <w:r>
              <w:rPr>
                <w:sz w:val="18"/>
              </w:rPr>
              <w:t>1. Vesting</w:t>
            </w:r>
          </w:p>
        </w:tc>
        <w:tc>
          <w:tcPr>
            <w:tcW w:type="dxa" w:w="2880"/>
            <w:shd w:fill="f5f5f5" w:color="auto" w:val="clear"/>
          </w:tcPr>
          <w:p>
            <w:pPr>
              <w:jc w:val="center"/>
            </w:pPr>
            <w:r>
              <w:rPr>
                <w:sz w:val="18"/>
              </w:rPr>
              <w:t>25% instant, 75% vested over 28 days</w:t>
            </w:r>
          </w:p>
        </w:tc>
        <w:tc>
          <w:tcPr>
            <w:tcW w:type="dxa" w:w="2880"/>
            <w:shd w:fill="f5f5f5" w:color="auto" w:val="clear"/>
          </w:tcPr>
          <w:p>
            <w:pPr>
              <w:jc w:val="center"/>
            </w:pPr>
            <w:r>
              <w:rPr>
                <w:sz w:val="18"/>
              </w:rPr>
              <w:t>No Day-1 massive dump possible</w:t>
            </w:r>
          </w:p>
        </w:tc>
      </w:tr>
      <w:tr>
        <w:tc>
          <w:tcPr>
            <w:tcW w:type="dxa" w:w="2880"/>
          </w:tcPr>
          <w:p>
            <w:pPr>
              <w:jc w:val="center"/>
            </w:pPr>
            <w:r>
              <w:rPr>
                <w:sz w:val="18"/>
              </w:rPr>
              <w:t>2. Penalties</w:t>
            </w:r>
          </w:p>
        </w:tc>
        <w:tc>
          <w:tcPr>
            <w:tcW w:type="dxa" w:w="2880"/>
          </w:tcPr>
          <w:p>
            <w:pPr>
              <w:jc w:val="center"/>
            </w:pPr>
            <w:r>
              <w:rPr>
                <w:sz w:val="18"/>
              </w:rPr>
              <w:t>Locked until 50% maturity, sliding penalty</w:t>
            </w:r>
          </w:p>
        </w:tc>
        <w:tc>
          <w:tcPr>
            <w:tcW w:type="dxa" w:w="2880"/>
          </w:tcPr>
          <w:p>
            <w:pPr>
              <w:jc w:val="center"/>
            </w:pPr>
            <w:r>
              <w:rPr>
                <w:sz w:val="18"/>
              </w:rPr>
              <w:t>Early exits are costly (50% burned)</w:t>
            </w:r>
          </w:p>
        </w:tc>
      </w:tr>
      <w:tr>
        <w:tc>
          <w:tcPr>
            <w:tcW w:type="dxa" w:w="2880"/>
            <w:shd w:fill="f5f5f5" w:color="auto" w:val="clear"/>
          </w:tcPr>
          <w:p>
            <w:pPr>
              <w:jc w:val="center"/>
            </w:pPr>
            <w:r>
              <w:rPr>
                <w:sz w:val="18"/>
              </w:rPr>
              <w:t>3. Loyalty</w:t>
            </w:r>
          </w:p>
        </w:tc>
        <w:tc>
          <w:tcPr>
            <w:tcW w:type="dxa" w:w="2880"/>
            <w:shd w:fill="f5f5f5" w:color="auto" w:val="clear"/>
          </w:tcPr>
          <w:p>
            <w:pPr>
              <w:jc w:val="center"/>
            </w:pPr>
            <w:r>
              <w:rPr>
                <w:sz w:val="18"/>
              </w:rPr>
              <w:t>1.1x bonus on restake, Phoenix at 3 restakes</w:t>
            </w:r>
          </w:p>
        </w:tc>
        <w:tc>
          <w:tcPr>
            <w:tcW w:type="dxa" w:w="2880"/>
            <w:shd w:fill="f5f5f5" w:color="auto" w:val="clear"/>
          </w:tcPr>
          <w:p>
            <w:pPr>
              <w:jc w:val="center"/>
            </w:pPr>
            <w:r>
              <w:rPr>
                <w:sz w:val="18"/>
              </w:rPr>
              <w:t>Incentivizes holding &amp; restaking</w:t>
            </w:r>
          </w:p>
        </w:tc>
      </w:tr>
      <w:tr>
        <w:tc>
          <w:tcPr>
            <w:tcW w:type="dxa" w:w="2880"/>
          </w:tcPr>
          <w:p>
            <w:pPr>
              <w:jc w:val="center"/>
            </w:pPr>
            <w:r>
              <w:rPr>
                <w:sz w:val="18"/>
              </w:rPr>
              <w:t>4. Buy &amp; Burn</w:t>
            </w:r>
          </w:p>
        </w:tc>
        <w:tc>
          <w:tcPr>
            <w:tcW w:type="dxa" w:w="2880"/>
          </w:tcPr>
          <w:p>
            <w:pPr>
              <w:jc w:val="center"/>
            </w:pPr>
            <w:r>
              <w:rPr>
                <w:sz w:val="18"/>
              </w:rPr>
              <w:t>20% of all epoch ETH buys &amp; burns HBURN</w:t>
            </w:r>
          </w:p>
        </w:tc>
        <w:tc>
          <w:tcPr>
            <w:tcW w:type="dxa" w:w="2880"/>
          </w:tcPr>
          <w:p>
            <w:pPr>
              <w:jc w:val="center"/>
            </w:pPr>
            <w:r>
              <w:rPr>
                <w:sz w:val="18"/>
              </w:rPr>
              <w:t>Constant buying pressure on market</w:t>
            </w:r>
          </w:p>
        </w:tc>
      </w:tr>
    </w:tbl>
    <w:p>
      <w:pPr>
        <w:pStyle w:val="Heading1"/>
      </w:pPr>
      <w:r>
        <w:t>11. 12-Month Projections</w:t>
      </w:r>
    </w:p>
    <w:p>
      <w:r>
        <w:rPr>
          <w:b/>
          <w:color w:val="FF0000"/>
        </w:rPr>
        <w:t xml:space="preserve">IMPORTANT: </w:t>
      </w:r>
      <w:r>
        <w:t>The following projections are hypothetical scenarios for illustration only. They are NOT financial advice or guarantees. Actual results will depend on market conditions, adoption, and many unpredictable factors.</w:t>
      </w:r>
    </w:p>
    <w:p>
      <w:pPr>
        <w:jc w:val="center"/>
      </w:pPr>
      <w:r>
        <w:drawing>
          <wp:inline xmlns:a="http://schemas.openxmlformats.org/drawingml/2006/main" xmlns:pic="http://schemas.openxmlformats.org/drawingml/2006/picture">
            <wp:extent cx="5029200" cy="2737639"/>
            <wp:docPr id="7" name="Picture 7"/>
            <wp:cNvGraphicFramePr>
              <a:graphicFrameLocks noChangeAspect="1"/>
            </wp:cNvGraphicFramePr>
            <a:graphic>
              <a:graphicData uri="http://schemas.openxmlformats.org/drawingml/2006/picture">
                <pic:pic>
                  <pic:nvPicPr>
                    <pic:cNvPr id="0" name="price_projection.png"/>
                    <pic:cNvPicPr/>
                  </pic:nvPicPr>
                  <pic:blipFill>
                    <a:blip r:embed="rId15"/>
                    <a:stretch>
                      <a:fillRect/>
                    </a:stretch>
                  </pic:blipFill>
                  <pic:spPr>
                    <a:xfrm>
                      <a:off x="0" y="0"/>
                      <a:ext cx="5029200" cy="2737639"/>
                    </a:xfrm>
                    <a:prstGeom prst="rect"/>
                  </pic:spPr>
                </pic:pic>
              </a:graphicData>
            </a:graphic>
          </wp:inline>
        </w:drawing>
      </w:r>
    </w:p>
    <w:p>
      <w:pPr>
        <w:pStyle w:val="Heading2"/>
      </w:pPr>
      <w:r>
        <w:t>Assumptions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1a2e" w:color="auto" w:val="clear"/>
          </w:tcPr>
          <w:p>
            <w:pPr>
              <w:jc w:val="center"/>
            </w:pPr>
            <w:r>
              <w:rPr>
                <w:b/>
                <w:color w:val="FFFFFF"/>
                <w:sz w:val="18"/>
              </w:rPr>
              <w:t>Factor</w:t>
            </w:r>
          </w:p>
        </w:tc>
        <w:tc>
          <w:tcPr>
            <w:tcW w:type="dxa" w:w="2160"/>
            <w:shd w:fill="1a1a2e" w:color="auto" w:val="clear"/>
          </w:tcPr>
          <w:p>
            <w:pPr>
              <w:jc w:val="center"/>
            </w:pPr>
            <w:r>
              <w:rPr>
                <w:b/>
                <w:color w:val="FFFFFF"/>
                <w:sz w:val="18"/>
              </w:rPr>
              <w:t>Best Case</w:t>
            </w:r>
          </w:p>
        </w:tc>
        <w:tc>
          <w:tcPr>
            <w:tcW w:type="dxa" w:w="2160"/>
            <w:shd w:fill="1a1a2e" w:color="auto" w:val="clear"/>
          </w:tcPr>
          <w:p>
            <w:pPr>
              <w:jc w:val="center"/>
            </w:pPr>
            <w:r>
              <w:rPr>
                <w:b/>
                <w:color w:val="FFFFFF"/>
                <w:sz w:val="18"/>
              </w:rPr>
              <w:t>Base Case</w:t>
            </w:r>
          </w:p>
        </w:tc>
        <w:tc>
          <w:tcPr>
            <w:tcW w:type="dxa" w:w="2160"/>
            <w:shd w:fill="1a1a2e" w:color="auto" w:val="clear"/>
          </w:tcPr>
          <w:p>
            <w:pPr>
              <w:jc w:val="center"/>
            </w:pPr>
            <w:r>
              <w:rPr>
                <w:b/>
                <w:color w:val="FFFFFF"/>
                <w:sz w:val="18"/>
              </w:rPr>
              <w:t>Worst Case</w:t>
            </w:r>
          </w:p>
        </w:tc>
      </w:tr>
      <w:tr>
        <w:tc>
          <w:tcPr>
            <w:tcW w:type="dxa" w:w="2160"/>
            <w:shd w:fill="f5f5f5" w:color="auto" w:val="clear"/>
          </w:tcPr>
          <w:p>
            <w:pPr>
              <w:jc w:val="center"/>
            </w:pPr>
            <w:r>
              <w:rPr>
                <w:sz w:val="18"/>
              </w:rPr>
              <w:t>Genesis Participation</w:t>
            </w:r>
          </w:p>
        </w:tc>
        <w:tc>
          <w:tcPr>
            <w:tcW w:type="dxa" w:w="2160"/>
            <w:shd w:fill="f5f5f5" w:color="auto" w:val="clear"/>
          </w:tcPr>
          <w:p>
            <w:pPr>
              <w:jc w:val="center"/>
            </w:pPr>
            <w:r>
              <w:rPr>
                <w:sz w:val="18"/>
              </w:rPr>
              <w:t>200B+ TitanX burned</w:t>
            </w:r>
          </w:p>
        </w:tc>
        <w:tc>
          <w:tcPr>
            <w:tcW w:type="dxa" w:w="2160"/>
            <w:shd w:fill="f5f5f5" w:color="auto" w:val="clear"/>
          </w:tcPr>
          <w:p>
            <w:pPr>
              <w:jc w:val="center"/>
            </w:pPr>
            <w:r>
              <w:rPr>
                <w:sz w:val="18"/>
              </w:rPr>
              <w:t>50-100B TitanX</w:t>
            </w:r>
          </w:p>
        </w:tc>
        <w:tc>
          <w:tcPr>
            <w:tcW w:type="dxa" w:w="2160"/>
            <w:shd w:fill="f5f5f5" w:color="auto" w:val="clear"/>
          </w:tcPr>
          <w:p>
            <w:pPr>
              <w:jc w:val="center"/>
            </w:pPr>
            <w:r>
              <w:rPr>
                <w:sz w:val="18"/>
              </w:rPr>
              <w:t>&lt;20B TitanX</w:t>
            </w:r>
          </w:p>
        </w:tc>
      </w:tr>
      <w:tr>
        <w:tc>
          <w:tcPr>
            <w:tcW w:type="dxa" w:w="2160"/>
          </w:tcPr>
          <w:p>
            <w:pPr>
              <w:jc w:val="center"/>
            </w:pPr>
            <w:r>
              <w:rPr>
                <w:sz w:val="18"/>
              </w:rPr>
              <w:t>Epoch Participation</w:t>
            </w:r>
          </w:p>
        </w:tc>
        <w:tc>
          <w:tcPr>
            <w:tcW w:type="dxa" w:w="2160"/>
          </w:tcPr>
          <w:p>
            <w:pPr>
              <w:jc w:val="center"/>
            </w:pPr>
            <w:r>
              <w:rPr>
                <w:sz w:val="18"/>
              </w:rPr>
              <w:t>500+ unique burners/epoch</w:t>
            </w:r>
          </w:p>
        </w:tc>
        <w:tc>
          <w:tcPr>
            <w:tcW w:type="dxa" w:w="2160"/>
          </w:tcPr>
          <w:p>
            <w:pPr>
              <w:jc w:val="center"/>
            </w:pPr>
            <w:r>
              <w:rPr>
                <w:sz w:val="18"/>
              </w:rPr>
              <w:t>100-300 burners</w:t>
            </w:r>
          </w:p>
        </w:tc>
        <w:tc>
          <w:tcPr>
            <w:tcW w:type="dxa" w:w="2160"/>
          </w:tcPr>
          <w:p>
            <w:pPr>
              <w:jc w:val="center"/>
            </w:pPr>
            <w:r>
              <w:rPr>
                <w:sz w:val="18"/>
              </w:rPr>
              <w:t>&lt;50 burners</w:t>
            </w:r>
          </w:p>
        </w:tc>
      </w:tr>
      <w:tr>
        <w:tc>
          <w:tcPr>
            <w:tcW w:type="dxa" w:w="2160"/>
            <w:shd w:fill="f5f5f5" w:color="auto" w:val="clear"/>
          </w:tcPr>
          <w:p>
            <w:pPr>
              <w:jc w:val="center"/>
            </w:pPr>
            <w:r>
              <w:rPr>
                <w:sz w:val="18"/>
              </w:rPr>
              <w:t>Market Conditions</w:t>
            </w:r>
          </w:p>
        </w:tc>
        <w:tc>
          <w:tcPr>
            <w:tcW w:type="dxa" w:w="2160"/>
            <w:shd w:fill="f5f5f5" w:color="auto" w:val="clear"/>
          </w:tcPr>
          <w:p>
            <w:pPr>
              <w:jc w:val="center"/>
            </w:pPr>
            <w:r>
              <w:rPr>
                <w:sz w:val="18"/>
              </w:rPr>
              <w:t>Bull market, ETH &gt;$5K</w:t>
            </w:r>
          </w:p>
        </w:tc>
        <w:tc>
          <w:tcPr>
            <w:tcW w:type="dxa" w:w="2160"/>
            <w:shd w:fill="f5f5f5" w:color="auto" w:val="clear"/>
          </w:tcPr>
          <w:p>
            <w:pPr>
              <w:jc w:val="center"/>
            </w:pPr>
            <w:r>
              <w:rPr>
                <w:sz w:val="18"/>
              </w:rPr>
              <w:t>Sideways, ETH $2-4K</w:t>
            </w:r>
          </w:p>
        </w:tc>
        <w:tc>
          <w:tcPr>
            <w:tcW w:type="dxa" w:w="2160"/>
            <w:shd w:fill="f5f5f5" w:color="auto" w:val="clear"/>
          </w:tcPr>
          <w:p>
            <w:pPr>
              <w:jc w:val="center"/>
            </w:pPr>
            <w:r>
              <w:rPr>
                <w:sz w:val="18"/>
              </w:rPr>
              <w:t>Bear market, ETH &lt;$2K</w:t>
            </w:r>
          </w:p>
        </w:tc>
      </w:tr>
      <w:tr>
        <w:tc>
          <w:tcPr>
            <w:tcW w:type="dxa" w:w="2160"/>
          </w:tcPr>
          <w:p>
            <w:pPr>
              <w:jc w:val="center"/>
            </w:pPr>
            <w:r>
              <w:rPr>
                <w:sz w:val="18"/>
              </w:rPr>
              <w:t>Day 888 Impact</w:t>
            </w:r>
          </w:p>
        </w:tc>
        <w:tc>
          <w:tcPr>
            <w:tcW w:type="dxa" w:w="2160"/>
          </w:tcPr>
          <w:p>
            <w:pPr>
              <w:jc w:val="center"/>
            </w:pPr>
            <w:r>
              <w:rPr>
                <w:sz w:val="18"/>
              </w:rPr>
              <w:t>Major catalyst, viral</w:t>
            </w:r>
          </w:p>
        </w:tc>
        <w:tc>
          <w:tcPr>
            <w:tcW w:type="dxa" w:w="2160"/>
          </w:tcPr>
          <w:p>
            <w:pPr>
              <w:jc w:val="center"/>
            </w:pPr>
            <w:r>
              <w:rPr>
                <w:sz w:val="18"/>
              </w:rPr>
              <w:t>Moderate attention</w:t>
            </w:r>
          </w:p>
        </w:tc>
        <w:tc>
          <w:tcPr>
            <w:tcW w:type="dxa" w:w="2160"/>
          </w:tcPr>
          <w:p>
            <w:pPr>
              <w:jc w:val="center"/>
            </w:pPr>
            <w:r>
              <w:rPr>
                <w:sz w:val="18"/>
              </w:rPr>
              <w:t>Overshadowed by market</w:t>
            </w:r>
          </w:p>
        </w:tc>
      </w:tr>
      <w:tr>
        <w:tc>
          <w:tcPr>
            <w:tcW w:type="dxa" w:w="2160"/>
            <w:shd w:fill="f5f5f5" w:color="auto" w:val="clear"/>
          </w:tcPr>
          <w:p>
            <w:pPr>
              <w:jc w:val="center"/>
            </w:pPr>
            <w:r>
              <w:rPr>
                <w:sz w:val="18"/>
              </w:rPr>
              <w:t>Streak Adoption</w:t>
            </w:r>
          </w:p>
        </w:tc>
        <w:tc>
          <w:tcPr>
            <w:tcW w:type="dxa" w:w="2160"/>
            <w:shd w:fill="f5f5f5" w:color="auto" w:val="clear"/>
          </w:tcPr>
          <w:p>
            <w:pPr>
              <w:jc w:val="center"/>
            </w:pPr>
            <w:r>
              <w:rPr>
                <w:sz w:val="18"/>
              </w:rPr>
              <w:t>&gt;60% maintain streaks</w:t>
            </w:r>
          </w:p>
        </w:tc>
        <w:tc>
          <w:tcPr>
            <w:tcW w:type="dxa" w:w="2160"/>
            <w:shd w:fill="f5f5f5" w:color="auto" w:val="clear"/>
          </w:tcPr>
          <w:p>
            <w:pPr>
              <w:jc w:val="center"/>
            </w:pPr>
            <w:r>
              <w:rPr>
                <w:sz w:val="18"/>
              </w:rPr>
              <w:t>30-50% maintain</w:t>
            </w:r>
          </w:p>
        </w:tc>
        <w:tc>
          <w:tcPr>
            <w:tcW w:type="dxa" w:w="2160"/>
            <w:shd w:fill="f5f5f5" w:color="auto" w:val="clear"/>
          </w:tcPr>
          <w:p>
            <w:pPr>
              <w:jc w:val="center"/>
            </w:pPr>
            <w:r>
              <w:rPr>
                <w:sz w:val="18"/>
              </w:rPr>
              <w:t>&lt;20% maintain</w:t>
            </w:r>
          </w:p>
        </w:tc>
      </w:tr>
      <w:tr>
        <w:tc>
          <w:tcPr>
            <w:tcW w:type="dxa" w:w="2160"/>
          </w:tcPr>
          <w:p>
            <w:pPr>
              <w:jc w:val="center"/>
            </w:pPr>
            <w:r>
              <w:rPr>
                <w:sz w:val="18"/>
              </w:rPr>
              <w:t>TitanX Ecosystem</w:t>
            </w:r>
          </w:p>
        </w:tc>
        <w:tc>
          <w:tcPr>
            <w:tcW w:type="dxa" w:w="2160"/>
          </w:tcPr>
          <w:p>
            <w:pPr>
              <w:jc w:val="center"/>
            </w:pPr>
            <w:r>
              <w:rPr>
                <w:sz w:val="18"/>
              </w:rPr>
              <w:t>Growing, new protocols</w:t>
            </w:r>
          </w:p>
        </w:tc>
        <w:tc>
          <w:tcPr>
            <w:tcW w:type="dxa" w:w="2160"/>
          </w:tcPr>
          <w:p>
            <w:pPr>
              <w:jc w:val="center"/>
            </w:pPr>
            <w:r>
              <w:rPr>
                <w:sz w:val="18"/>
              </w:rPr>
              <w:t>Stable</w:t>
            </w:r>
          </w:p>
        </w:tc>
        <w:tc>
          <w:tcPr>
            <w:tcW w:type="dxa" w:w="2160"/>
          </w:tcPr>
          <w:p>
            <w:pPr>
              <w:jc w:val="center"/>
            </w:pPr>
            <w:r>
              <w:rPr>
                <w:sz w:val="18"/>
              </w:rPr>
              <w:t>Declining interest</w:t>
            </w:r>
          </w:p>
        </w:tc>
      </w:tr>
    </w:tbl>
    <w:p>
      <w:pPr>
        <w:pStyle w:val="Heading2"/>
      </w:pPr>
      <w:r>
        <w:t>Best Case Scenario (50x in 12 months)</w:t>
      </w:r>
    </w:p>
    <w:p>
      <w:r>
        <w:t>In the best case, HellBurn launches during a bull market with strong TitanX community support. The Day 888 payout creates viral attention, Genesis fills rapidly, and the first epoch rewards are substantial enough to attract new users from outside the TitanX ecosystem. High streak adoption creates persistent burn pressure, reducing circulating supply dramatically. The Buy &amp; Burn mechanism creates consistent buying pressure on Uniswap, supporting price.</w:t>
      </w:r>
    </w:p>
    <w:p>
      <w:pPr>
        <w:pStyle w:val="Heading2"/>
      </w:pPr>
      <w:r>
        <w:t>Base Case Scenario (12x in 12 months)</w:t>
      </w:r>
    </w:p>
    <w:p>
      <w:r>
        <w:t>In the base case, HellBurn attracts a solid core community from the TitanX ecosystem. Genesis reaches 50-100B TitanX, creating a meaningful treasury. Epoch participation is steady but not explosive. The protocol proves its mechanics work, builds trust, and gradually attracts more participants. Growth is organic rather than viral.</w:t>
      </w:r>
    </w:p>
    <w:p>
      <w:pPr>
        <w:pStyle w:val="Heading2"/>
      </w:pPr>
      <w:r>
        <w:t>Worst Case Scenario (0.6x after 12 months)</w:t>
      </w:r>
    </w:p>
    <w:p>
      <w:r>
        <w:t>In the worst case, a bear market reduces interest in DeFi broadly. Genesis participation is low, resulting in a small treasury and modest ETH rewards. Some early participants dump their vested tokens. However, the deflationary mechanics (Buy &amp; Burn, penalties) provide a floor — the supply keeps shrinking even with low activity. The protocol survives but requires time to build momentum.</w:t>
      </w:r>
    </w:p>
    <w:p>
      <w:pPr>
        <w:pStyle w:val="Heading2"/>
      </w:pPr>
      <w:r>
        <w:t>Month-by-Month Projection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color="auto" w:val="clear"/>
          </w:tcPr>
          <w:p>
            <w:pPr>
              <w:jc w:val="center"/>
            </w:pPr>
            <w:r>
              <w:rPr>
                <w:b/>
                <w:color w:val="FFFFFF"/>
                <w:sz w:val="18"/>
              </w:rPr>
              <w:t>Month</w:t>
            </w:r>
          </w:p>
        </w:tc>
        <w:tc>
          <w:tcPr>
            <w:tcW w:type="dxa" w:w="1728"/>
            <w:shd w:fill="1a1a2e" w:color="auto" w:val="clear"/>
          </w:tcPr>
          <w:p>
            <w:pPr>
              <w:jc w:val="center"/>
            </w:pPr>
            <w:r>
              <w:rPr>
                <w:b/>
                <w:color w:val="FFFFFF"/>
                <w:sz w:val="18"/>
              </w:rPr>
              <w:t>Best Case</w:t>
            </w:r>
          </w:p>
        </w:tc>
        <w:tc>
          <w:tcPr>
            <w:tcW w:type="dxa" w:w="1728"/>
            <w:shd w:fill="1a1a2e" w:color="auto" w:val="clear"/>
          </w:tcPr>
          <w:p>
            <w:pPr>
              <w:jc w:val="center"/>
            </w:pPr>
            <w:r>
              <w:rPr>
                <w:b/>
                <w:color w:val="FFFFFF"/>
                <w:sz w:val="18"/>
              </w:rPr>
              <w:t>Base Case</w:t>
            </w:r>
          </w:p>
        </w:tc>
        <w:tc>
          <w:tcPr>
            <w:tcW w:type="dxa" w:w="1728"/>
            <w:shd w:fill="1a1a2e" w:color="auto" w:val="clear"/>
          </w:tcPr>
          <w:p>
            <w:pPr>
              <w:jc w:val="center"/>
            </w:pPr>
            <w:r>
              <w:rPr>
                <w:b/>
                <w:color w:val="FFFFFF"/>
                <w:sz w:val="18"/>
              </w:rPr>
              <w:t>Worst Case</w:t>
            </w:r>
          </w:p>
        </w:tc>
        <w:tc>
          <w:tcPr>
            <w:tcW w:type="dxa" w:w="1728"/>
            <w:shd w:fill="1a1a2e" w:color="auto" w:val="clear"/>
          </w:tcPr>
          <w:p>
            <w:pPr>
              <w:jc w:val="center"/>
            </w:pPr>
            <w:r>
              <w:rPr>
                <w:b/>
                <w:color w:val="FFFFFF"/>
                <w:sz w:val="18"/>
              </w:rPr>
              <w:t>Key Event</w:t>
            </w:r>
          </w:p>
        </w:tc>
      </w:tr>
      <w:tr>
        <w:tc>
          <w:tcPr>
            <w:tcW w:type="dxa" w:w="1728"/>
            <w:shd w:fill="f5f5f5" w:color="auto" w:val="clear"/>
          </w:tcPr>
          <w:p>
            <w:pPr>
              <w:jc w:val="center"/>
            </w:pPr>
            <w:r>
              <w:rPr>
                <w:sz w:val="18"/>
              </w:rPr>
              <w:t>Launch</w:t>
            </w:r>
          </w:p>
        </w:tc>
        <w:tc>
          <w:tcPr>
            <w:tcW w:type="dxa" w:w="1728"/>
            <w:shd w:fill="f5f5f5" w:color="auto" w:val="clear"/>
          </w:tcPr>
          <w:p>
            <w:pPr>
              <w:jc w:val="center"/>
            </w:pPr>
            <w:r>
              <w:rPr>
                <w:sz w:val="18"/>
              </w:rPr>
              <w:t>$1.00</w:t>
            </w:r>
          </w:p>
        </w:tc>
        <w:tc>
          <w:tcPr>
            <w:tcW w:type="dxa" w:w="1728"/>
            <w:shd w:fill="f5f5f5" w:color="auto" w:val="clear"/>
          </w:tcPr>
          <w:p>
            <w:pPr>
              <w:jc w:val="center"/>
            </w:pPr>
            <w:r>
              <w:rPr>
                <w:sz w:val="18"/>
              </w:rPr>
              <w:t>$1.00</w:t>
            </w:r>
          </w:p>
        </w:tc>
        <w:tc>
          <w:tcPr>
            <w:tcW w:type="dxa" w:w="1728"/>
            <w:shd w:fill="f5f5f5" w:color="auto" w:val="clear"/>
          </w:tcPr>
          <w:p>
            <w:pPr>
              <w:jc w:val="center"/>
            </w:pPr>
            <w:r>
              <w:rPr>
                <w:sz w:val="18"/>
              </w:rPr>
              <w:t>$1.00</w:t>
            </w:r>
          </w:p>
        </w:tc>
        <w:tc>
          <w:tcPr>
            <w:tcW w:type="dxa" w:w="1728"/>
            <w:shd w:fill="f5f5f5" w:color="auto" w:val="clear"/>
          </w:tcPr>
          <w:p>
            <w:pPr>
              <w:jc w:val="center"/>
            </w:pPr>
            <w:r>
              <w:rPr>
                <w:sz w:val="18"/>
              </w:rPr>
              <w:t>Genesis opens</w:t>
            </w:r>
          </w:p>
        </w:tc>
      </w:tr>
      <w:tr>
        <w:tc>
          <w:tcPr>
            <w:tcW w:type="dxa" w:w="1728"/>
          </w:tcPr>
          <w:p>
            <w:pPr>
              <w:jc w:val="center"/>
            </w:pPr>
            <w:r>
              <w:rPr>
                <w:sz w:val="18"/>
              </w:rPr>
              <w:t>Month 1</w:t>
            </w:r>
          </w:p>
        </w:tc>
        <w:tc>
          <w:tcPr>
            <w:tcW w:type="dxa" w:w="1728"/>
          </w:tcPr>
          <w:p>
            <w:pPr>
              <w:jc w:val="center"/>
            </w:pPr>
            <w:r>
              <w:rPr>
                <w:sz w:val="18"/>
              </w:rPr>
              <w:t>$2.50</w:t>
            </w:r>
          </w:p>
        </w:tc>
        <w:tc>
          <w:tcPr>
            <w:tcW w:type="dxa" w:w="1728"/>
          </w:tcPr>
          <w:p>
            <w:pPr>
              <w:jc w:val="center"/>
            </w:pPr>
            <w:r>
              <w:rPr>
                <w:sz w:val="18"/>
              </w:rPr>
              <w:t>$1.50</w:t>
            </w:r>
          </w:p>
        </w:tc>
        <w:tc>
          <w:tcPr>
            <w:tcW w:type="dxa" w:w="1728"/>
          </w:tcPr>
          <w:p>
            <w:pPr>
              <w:jc w:val="center"/>
            </w:pPr>
            <w:r>
              <w:rPr>
                <w:sz w:val="18"/>
              </w:rPr>
              <w:t>$0.80</w:t>
            </w:r>
          </w:p>
        </w:tc>
        <w:tc>
          <w:tcPr>
            <w:tcW w:type="dxa" w:w="1728"/>
          </w:tcPr>
          <w:p>
            <w:pPr>
              <w:jc w:val="center"/>
            </w:pPr>
            <w:r>
              <w:rPr>
                <w:sz w:val="18"/>
              </w:rPr>
              <w:t>Genesis ends, Day 888 approaching</w:t>
            </w:r>
          </w:p>
        </w:tc>
      </w:tr>
      <w:tr>
        <w:tc>
          <w:tcPr>
            <w:tcW w:type="dxa" w:w="1728"/>
            <w:shd w:fill="f5f5f5" w:color="auto" w:val="clear"/>
          </w:tcPr>
          <w:p>
            <w:pPr>
              <w:jc w:val="center"/>
            </w:pPr>
            <w:r>
              <w:rPr>
                <w:sz w:val="18"/>
              </w:rPr>
              <w:t>Month 2</w:t>
            </w:r>
          </w:p>
        </w:tc>
        <w:tc>
          <w:tcPr>
            <w:tcW w:type="dxa" w:w="1728"/>
            <w:shd w:fill="f5f5f5" w:color="auto" w:val="clear"/>
          </w:tcPr>
          <w:p>
            <w:pPr>
              <w:jc w:val="center"/>
            </w:pPr>
            <w:r>
              <w:rPr>
                <w:sz w:val="18"/>
              </w:rPr>
              <w:t>$4.00</w:t>
            </w:r>
          </w:p>
        </w:tc>
        <w:tc>
          <w:tcPr>
            <w:tcW w:type="dxa" w:w="1728"/>
            <w:shd w:fill="f5f5f5" w:color="auto" w:val="clear"/>
          </w:tcPr>
          <w:p>
            <w:pPr>
              <w:jc w:val="center"/>
            </w:pPr>
            <w:r>
              <w:rPr>
                <w:sz w:val="18"/>
              </w:rPr>
              <w:t>$2.00</w:t>
            </w:r>
          </w:p>
        </w:tc>
        <w:tc>
          <w:tcPr>
            <w:tcW w:type="dxa" w:w="1728"/>
            <w:shd w:fill="f5f5f5" w:color="auto" w:val="clear"/>
          </w:tcPr>
          <w:p>
            <w:pPr>
              <w:jc w:val="center"/>
            </w:pPr>
            <w:r>
              <w:rPr>
                <w:sz w:val="18"/>
              </w:rPr>
              <w:t>$0.60</w:t>
            </w:r>
          </w:p>
        </w:tc>
        <w:tc>
          <w:tcPr>
            <w:tcW w:type="dxa" w:w="1728"/>
            <w:shd w:fill="f5f5f5" w:color="auto" w:val="clear"/>
          </w:tcPr>
          <w:p>
            <w:pPr>
              <w:jc w:val="center"/>
            </w:pPr>
            <w:r>
              <w:rPr>
                <w:sz w:val="18"/>
              </w:rPr>
              <w:t>Day 888 payout, Epoch 1-3</w:t>
            </w:r>
          </w:p>
        </w:tc>
      </w:tr>
      <w:tr>
        <w:tc>
          <w:tcPr>
            <w:tcW w:type="dxa" w:w="1728"/>
          </w:tcPr>
          <w:p>
            <w:pPr>
              <w:jc w:val="center"/>
            </w:pPr>
            <w:r>
              <w:rPr>
                <w:sz w:val="18"/>
              </w:rPr>
              <w:t>Month 3</w:t>
            </w:r>
          </w:p>
        </w:tc>
        <w:tc>
          <w:tcPr>
            <w:tcW w:type="dxa" w:w="1728"/>
          </w:tcPr>
          <w:p>
            <w:pPr>
              <w:jc w:val="center"/>
            </w:pPr>
            <w:r>
              <w:rPr>
                <w:sz w:val="18"/>
              </w:rPr>
              <w:t>$6.00</w:t>
            </w:r>
          </w:p>
        </w:tc>
        <w:tc>
          <w:tcPr>
            <w:tcW w:type="dxa" w:w="1728"/>
          </w:tcPr>
          <w:p>
            <w:pPr>
              <w:jc w:val="center"/>
            </w:pPr>
            <w:r>
              <w:rPr>
                <w:sz w:val="18"/>
              </w:rPr>
              <w:t>$2.80</w:t>
            </w:r>
          </w:p>
        </w:tc>
        <w:tc>
          <w:tcPr>
            <w:tcW w:type="dxa" w:w="1728"/>
          </w:tcPr>
          <w:p>
            <w:pPr>
              <w:jc w:val="center"/>
            </w:pPr>
            <w:r>
              <w:rPr>
                <w:sz w:val="18"/>
              </w:rPr>
              <w:t>$0.50</w:t>
            </w:r>
          </w:p>
        </w:tc>
        <w:tc>
          <w:tcPr>
            <w:tcW w:type="dxa" w:w="1728"/>
          </w:tcPr>
          <w:p>
            <w:pPr>
              <w:jc w:val="center"/>
            </w:pPr>
            <w:r>
              <w:rPr>
                <w:sz w:val="18"/>
              </w:rPr>
              <w:t>First streaks hit max (3.0x)</w:t>
            </w:r>
          </w:p>
        </w:tc>
      </w:tr>
      <w:tr>
        <w:tc>
          <w:tcPr>
            <w:tcW w:type="dxa" w:w="1728"/>
            <w:shd w:fill="f5f5f5" w:color="auto" w:val="clear"/>
          </w:tcPr>
          <w:p>
            <w:pPr>
              <w:jc w:val="center"/>
            </w:pPr>
            <w:r>
              <w:rPr>
                <w:sz w:val="18"/>
              </w:rPr>
              <w:t>Month 4</w:t>
            </w:r>
          </w:p>
        </w:tc>
        <w:tc>
          <w:tcPr>
            <w:tcW w:type="dxa" w:w="1728"/>
            <w:shd w:fill="f5f5f5" w:color="auto" w:val="clear"/>
          </w:tcPr>
          <w:p>
            <w:pPr>
              <w:jc w:val="center"/>
            </w:pPr>
            <w:r>
              <w:rPr>
                <w:sz w:val="18"/>
              </w:rPr>
              <w:t>$8.00</w:t>
            </w:r>
          </w:p>
        </w:tc>
        <w:tc>
          <w:tcPr>
            <w:tcW w:type="dxa" w:w="1728"/>
            <w:shd w:fill="f5f5f5" w:color="auto" w:val="clear"/>
          </w:tcPr>
          <w:p>
            <w:pPr>
              <w:jc w:val="center"/>
            </w:pPr>
            <w:r>
              <w:rPr>
                <w:sz w:val="18"/>
              </w:rPr>
              <w:t>$3.50</w:t>
            </w:r>
          </w:p>
        </w:tc>
        <w:tc>
          <w:tcPr>
            <w:tcW w:type="dxa" w:w="1728"/>
            <w:shd w:fill="f5f5f5" w:color="auto" w:val="clear"/>
          </w:tcPr>
          <w:p>
            <w:pPr>
              <w:jc w:val="center"/>
            </w:pPr>
            <w:r>
              <w:rPr>
                <w:sz w:val="18"/>
              </w:rPr>
              <w:t>$0.45</w:t>
            </w:r>
          </w:p>
        </w:tc>
        <w:tc>
          <w:tcPr>
            <w:tcW w:type="dxa" w:w="1728"/>
            <w:shd w:fill="f5f5f5" w:color="auto" w:val="clear"/>
          </w:tcPr>
          <w:p>
            <w:pPr>
              <w:jc w:val="center"/>
            </w:pPr>
            <w:r>
              <w:rPr>
                <w:sz w:val="18"/>
              </w:rPr>
              <w:t>Stable epoch participation</w:t>
            </w:r>
          </w:p>
        </w:tc>
      </w:tr>
      <w:tr>
        <w:tc>
          <w:tcPr>
            <w:tcW w:type="dxa" w:w="1728"/>
          </w:tcPr>
          <w:p>
            <w:pPr>
              <w:jc w:val="center"/>
            </w:pPr>
            <w:r>
              <w:rPr>
                <w:sz w:val="18"/>
              </w:rPr>
              <w:t>Month 5</w:t>
            </w:r>
          </w:p>
        </w:tc>
        <w:tc>
          <w:tcPr>
            <w:tcW w:type="dxa" w:w="1728"/>
          </w:tcPr>
          <w:p>
            <w:pPr>
              <w:jc w:val="center"/>
            </w:pPr>
            <w:r>
              <w:rPr>
                <w:sz w:val="18"/>
              </w:rPr>
              <w:t>$12.00</w:t>
            </w:r>
          </w:p>
        </w:tc>
        <w:tc>
          <w:tcPr>
            <w:tcW w:type="dxa" w:w="1728"/>
          </w:tcPr>
          <w:p>
            <w:pPr>
              <w:jc w:val="center"/>
            </w:pPr>
            <w:r>
              <w:rPr>
                <w:sz w:val="18"/>
              </w:rPr>
              <w:t>$4.50</w:t>
            </w:r>
          </w:p>
        </w:tc>
        <w:tc>
          <w:tcPr>
            <w:tcW w:type="dxa" w:w="1728"/>
          </w:tcPr>
          <w:p>
            <w:pPr>
              <w:jc w:val="center"/>
            </w:pPr>
            <w:r>
              <w:rPr>
                <w:sz w:val="18"/>
              </w:rPr>
              <w:t>$0.40</w:t>
            </w:r>
          </w:p>
        </w:tc>
        <w:tc>
          <w:tcPr>
            <w:tcW w:type="dxa" w:w="1728"/>
          </w:tcPr>
          <w:p>
            <w:pPr>
              <w:jc w:val="center"/>
            </w:pPr>
            <w:r>
              <w:rPr>
                <w:sz w:val="18"/>
              </w:rPr>
              <w:t>Cross-ecosystem attention</w:t>
            </w:r>
          </w:p>
        </w:tc>
      </w:tr>
      <w:tr>
        <w:tc>
          <w:tcPr>
            <w:tcW w:type="dxa" w:w="1728"/>
            <w:shd w:fill="f5f5f5" w:color="auto" w:val="clear"/>
          </w:tcPr>
          <w:p>
            <w:pPr>
              <w:jc w:val="center"/>
            </w:pPr>
            <w:r>
              <w:rPr>
                <w:sz w:val="18"/>
              </w:rPr>
              <w:t>Month 6</w:t>
            </w:r>
          </w:p>
        </w:tc>
        <w:tc>
          <w:tcPr>
            <w:tcW w:type="dxa" w:w="1728"/>
            <w:shd w:fill="f5f5f5" w:color="auto" w:val="clear"/>
          </w:tcPr>
          <w:p>
            <w:pPr>
              <w:jc w:val="center"/>
            </w:pPr>
            <w:r>
              <w:rPr>
                <w:sz w:val="18"/>
              </w:rPr>
              <w:t>$15.00</w:t>
            </w:r>
          </w:p>
        </w:tc>
        <w:tc>
          <w:tcPr>
            <w:tcW w:type="dxa" w:w="1728"/>
            <w:shd w:fill="f5f5f5" w:color="auto" w:val="clear"/>
          </w:tcPr>
          <w:p>
            <w:pPr>
              <w:jc w:val="center"/>
            </w:pPr>
            <w:r>
              <w:rPr>
                <w:sz w:val="18"/>
              </w:rPr>
              <w:t>$5.50</w:t>
            </w:r>
          </w:p>
        </w:tc>
        <w:tc>
          <w:tcPr>
            <w:tcW w:type="dxa" w:w="1728"/>
            <w:shd w:fill="f5f5f5" w:color="auto" w:val="clear"/>
          </w:tcPr>
          <w:p>
            <w:pPr>
              <w:jc w:val="center"/>
            </w:pPr>
            <w:r>
              <w:rPr>
                <w:sz w:val="18"/>
              </w:rPr>
              <w:t>$0.35</w:t>
            </w:r>
          </w:p>
        </w:tc>
        <w:tc>
          <w:tcPr>
            <w:tcW w:type="dxa" w:w="1728"/>
            <w:shd w:fill="f5f5f5" w:color="auto" w:val="clear"/>
          </w:tcPr>
          <w:p>
            <w:pPr>
              <w:jc w:val="center"/>
            </w:pPr>
            <w:r>
              <w:rPr>
                <w:sz w:val="18"/>
              </w:rPr>
              <w:t>Major supply reduction visible</w:t>
            </w:r>
          </w:p>
        </w:tc>
      </w:tr>
      <w:tr>
        <w:tc>
          <w:tcPr>
            <w:tcW w:type="dxa" w:w="1728"/>
          </w:tcPr>
          <w:p>
            <w:pPr>
              <w:jc w:val="center"/>
            </w:pPr>
            <w:r>
              <w:rPr>
                <w:sz w:val="18"/>
              </w:rPr>
              <w:t>Month 7</w:t>
            </w:r>
          </w:p>
        </w:tc>
        <w:tc>
          <w:tcPr>
            <w:tcW w:type="dxa" w:w="1728"/>
          </w:tcPr>
          <w:p>
            <w:pPr>
              <w:jc w:val="center"/>
            </w:pPr>
            <w:r>
              <w:rPr>
                <w:sz w:val="18"/>
              </w:rPr>
              <w:t>$18.00</w:t>
            </w:r>
          </w:p>
        </w:tc>
        <w:tc>
          <w:tcPr>
            <w:tcW w:type="dxa" w:w="1728"/>
          </w:tcPr>
          <w:p>
            <w:pPr>
              <w:jc w:val="center"/>
            </w:pPr>
            <w:r>
              <w:rPr>
                <w:sz w:val="18"/>
              </w:rPr>
              <w:t>$6.50</w:t>
            </w:r>
          </w:p>
        </w:tc>
        <w:tc>
          <w:tcPr>
            <w:tcW w:type="dxa" w:w="1728"/>
          </w:tcPr>
          <w:p>
            <w:pPr>
              <w:jc w:val="center"/>
            </w:pPr>
            <w:r>
              <w:rPr>
                <w:sz w:val="18"/>
              </w:rPr>
              <w:t>$0.35</w:t>
            </w:r>
          </w:p>
        </w:tc>
        <w:tc>
          <w:tcPr>
            <w:tcW w:type="dxa" w:w="1728"/>
          </w:tcPr>
          <w:p>
            <w:pPr>
              <w:jc w:val="center"/>
            </w:pPr>
            <w:r>
              <w:rPr>
                <w:sz w:val="18"/>
              </w:rPr>
              <w:t>Potential partnership announcements</w:t>
            </w:r>
          </w:p>
        </w:tc>
      </w:tr>
      <w:tr>
        <w:tc>
          <w:tcPr>
            <w:tcW w:type="dxa" w:w="1728"/>
            <w:shd w:fill="f5f5f5" w:color="auto" w:val="clear"/>
          </w:tcPr>
          <w:p>
            <w:pPr>
              <w:jc w:val="center"/>
            </w:pPr>
            <w:r>
              <w:rPr>
                <w:sz w:val="18"/>
              </w:rPr>
              <w:t>Month 8</w:t>
            </w:r>
          </w:p>
        </w:tc>
        <w:tc>
          <w:tcPr>
            <w:tcW w:type="dxa" w:w="1728"/>
            <w:shd w:fill="f5f5f5" w:color="auto" w:val="clear"/>
          </w:tcPr>
          <w:p>
            <w:pPr>
              <w:jc w:val="center"/>
            </w:pPr>
            <w:r>
              <w:rPr>
                <w:sz w:val="18"/>
              </w:rPr>
              <w:t>$22.00</w:t>
            </w:r>
          </w:p>
        </w:tc>
        <w:tc>
          <w:tcPr>
            <w:tcW w:type="dxa" w:w="1728"/>
            <w:shd w:fill="f5f5f5" w:color="auto" w:val="clear"/>
          </w:tcPr>
          <w:p>
            <w:pPr>
              <w:jc w:val="center"/>
            </w:pPr>
            <w:r>
              <w:rPr>
                <w:sz w:val="18"/>
              </w:rPr>
              <w:t>$7.50</w:t>
            </w:r>
          </w:p>
        </w:tc>
        <w:tc>
          <w:tcPr>
            <w:tcW w:type="dxa" w:w="1728"/>
            <w:shd w:fill="f5f5f5" w:color="auto" w:val="clear"/>
          </w:tcPr>
          <w:p>
            <w:pPr>
              <w:jc w:val="center"/>
            </w:pPr>
            <w:r>
              <w:rPr>
                <w:sz w:val="18"/>
              </w:rPr>
              <w:t>$0.40</w:t>
            </w:r>
          </w:p>
        </w:tc>
        <w:tc>
          <w:tcPr>
            <w:tcW w:type="dxa" w:w="1728"/>
            <w:shd w:fill="f5f5f5" w:color="auto" w:val="clear"/>
          </w:tcPr>
          <w:p>
            <w:pPr>
              <w:jc w:val="center"/>
            </w:pPr>
            <w:r>
              <w:rPr>
                <w:sz w:val="18"/>
              </w:rPr>
              <w:t>Second wave of adoptions</w:t>
            </w:r>
          </w:p>
        </w:tc>
      </w:tr>
      <w:tr>
        <w:tc>
          <w:tcPr>
            <w:tcW w:type="dxa" w:w="1728"/>
          </w:tcPr>
          <w:p>
            <w:pPr>
              <w:jc w:val="center"/>
            </w:pPr>
            <w:r>
              <w:rPr>
                <w:sz w:val="18"/>
              </w:rPr>
              <w:t>Month 9</w:t>
            </w:r>
          </w:p>
        </w:tc>
        <w:tc>
          <w:tcPr>
            <w:tcW w:type="dxa" w:w="1728"/>
          </w:tcPr>
          <w:p>
            <w:pPr>
              <w:jc w:val="center"/>
            </w:pPr>
            <w:r>
              <w:rPr>
                <w:sz w:val="18"/>
              </w:rPr>
              <w:t>$28.00</w:t>
            </w:r>
          </w:p>
        </w:tc>
        <w:tc>
          <w:tcPr>
            <w:tcW w:type="dxa" w:w="1728"/>
          </w:tcPr>
          <w:p>
            <w:pPr>
              <w:jc w:val="center"/>
            </w:pPr>
            <w:r>
              <w:rPr>
                <w:sz w:val="18"/>
              </w:rPr>
              <w:t>$8.50</w:t>
            </w:r>
          </w:p>
        </w:tc>
        <w:tc>
          <w:tcPr>
            <w:tcW w:type="dxa" w:w="1728"/>
          </w:tcPr>
          <w:p>
            <w:pPr>
              <w:jc w:val="center"/>
            </w:pPr>
            <w:r>
              <w:rPr>
                <w:sz w:val="18"/>
              </w:rPr>
              <w:t>$0.45</w:t>
            </w:r>
          </w:p>
        </w:tc>
        <w:tc>
          <w:tcPr>
            <w:tcW w:type="dxa" w:w="1728"/>
          </w:tcPr>
          <w:p>
            <w:pPr>
              <w:jc w:val="center"/>
            </w:pPr>
            <w:r>
              <w:rPr>
                <w:sz w:val="18"/>
              </w:rPr>
              <w:t>Phoenix stakers emerge</w:t>
            </w:r>
          </w:p>
        </w:tc>
      </w:tr>
      <w:tr>
        <w:tc>
          <w:tcPr>
            <w:tcW w:type="dxa" w:w="1728"/>
            <w:shd w:fill="f5f5f5" w:color="auto" w:val="clear"/>
          </w:tcPr>
          <w:p>
            <w:pPr>
              <w:jc w:val="center"/>
            </w:pPr>
            <w:r>
              <w:rPr>
                <w:sz w:val="18"/>
              </w:rPr>
              <w:t>Month 10</w:t>
            </w:r>
          </w:p>
        </w:tc>
        <w:tc>
          <w:tcPr>
            <w:tcW w:type="dxa" w:w="1728"/>
            <w:shd w:fill="f5f5f5" w:color="auto" w:val="clear"/>
          </w:tcPr>
          <w:p>
            <w:pPr>
              <w:jc w:val="center"/>
            </w:pPr>
            <w:r>
              <w:rPr>
                <w:sz w:val="18"/>
              </w:rPr>
              <w:t>$35.00</w:t>
            </w:r>
          </w:p>
        </w:tc>
        <w:tc>
          <w:tcPr>
            <w:tcW w:type="dxa" w:w="1728"/>
            <w:shd w:fill="f5f5f5" w:color="auto" w:val="clear"/>
          </w:tcPr>
          <w:p>
            <w:pPr>
              <w:jc w:val="center"/>
            </w:pPr>
            <w:r>
              <w:rPr>
                <w:sz w:val="18"/>
              </w:rPr>
              <w:t>$10.00</w:t>
            </w:r>
          </w:p>
        </w:tc>
        <w:tc>
          <w:tcPr>
            <w:tcW w:type="dxa" w:w="1728"/>
            <w:shd w:fill="f5f5f5" w:color="auto" w:val="clear"/>
          </w:tcPr>
          <w:p>
            <w:pPr>
              <w:jc w:val="center"/>
            </w:pPr>
            <w:r>
              <w:rPr>
                <w:sz w:val="18"/>
              </w:rPr>
              <w:t>$0.50</w:t>
            </w:r>
          </w:p>
        </w:tc>
        <w:tc>
          <w:tcPr>
            <w:tcW w:type="dxa" w:w="1728"/>
            <w:shd w:fill="f5f5f5" w:color="auto" w:val="clear"/>
          </w:tcPr>
          <w:p>
            <w:pPr>
              <w:jc w:val="center"/>
            </w:pPr>
            <w:r>
              <w:rPr>
                <w:sz w:val="18"/>
              </w:rPr>
              <w:t>Supply shock from burns</w:t>
            </w:r>
          </w:p>
        </w:tc>
      </w:tr>
      <w:tr>
        <w:tc>
          <w:tcPr>
            <w:tcW w:type="dxa" w:w="1728"/>
          </w:tcPr>
          <w:p>
            <w:pPr>
              <w:jc w:val="center"/>
            </w:pPr>
            <w:r>
              <w:rPr>
                <w:sz w:val="18"/>
              </w:rPr>
              <w:t>Month 11</w:t>
            </w:r>
          </w:p>
        </w:tc>
        <w:tc>
          <w:tcPr>
            <w:tcW w:type="dxa" w:w="1728"/>
          </w:tcPr>
          <w:p>
            <w:pPr>
              <w:jc w:val="center"/>
            </w:pPr>
            <w:r>
              <w:rPr>
                <w:sz w:val="18"/>
              </w:rPr>
              <w:t>$42.00</w:t>
            </w:r>
          </w:p>
        </w:tc>
        <w:tc>
          <w:tcPr>
            <w:tcW w:type="dxa" w:w="1728"/>
          </w:tcPr>
          <w:p>
            <w:pPr>
              <w:jc w:val="center"/>
            </w:pPr>
            <w:r>
              <w:rPr>
                <w:sz w:val="18"/>
              </w:rPr>
              <w:t>$11.00</w:t>
            </w:r>
          </w:p>
        </w:tc>
        <w:tc>
          <w:tcPr>
            <w:tcW w:type="dxa" w:w="1728"/>
          </w:tcPr>
          <w:p>
            <w:pPr>
              <w:jc w:val="center"/>
            </w:pPr>
            <w:r>
              <w:rPr>
                <w:sz w:val="18"/>
              </w:rPr>
              <w:t>$0.55</w:t>
            </w:r>
          </w:p>
        </w:tc>
        <w:tc>
          <w:tcPr>
            <w:tcW w:type="dxa" w:w="1728"/>
          </w:tcPr>
          <w:p>
            <w:pPr>
              <w:jc w:val="center"/>
            </w:pPr>
            <w:r>
              <w:rPr>
                <w:sz w:val="18"/>
              </w:rPr>
              <w:t>Growing external interest</w:t>
            </w:r>
          </w:p>
        </w:tc>
      </w:tr>
      <w:tr>
        <w:tc>
          <w:tcPr>
            <w:tcW w:type="dxa" w:w="1728"/>
            <w:shd w:fill="f5f5f5" w:color="auto" w:val="clear"/>
          </w:tcPr>
          <w:p>
            <w:pPr>
              <w:jc w:val="center"/>
            </w:pPr>
            <w:r>
              <w:rPr>
                <w:sz w:val="18"/>
              </w:rPr>
              <w:t>Month 12</w:t>
            </w:r>
          </w:p>
        </w:tc>
        <w:tc>
          <w:tcPr>
            <w:tcW w:type="dxa" w:w="1728"/>
            <w:shd w:fill="f5f5f5" w:color="auto" w:val="clear"/>
          </w:tcPr>
          <w:p>
            <w:pPr>
              <w:jc w:val="center"/>
            </w:pPr>
            <w:r>
              <w:rPr>
                <w:sz w:val="18"/>
              </w:rPr>
              <w:t>$50.00</w:t>
            </w:r>
          </w:p>
        </w:tc>
        <w:tc>
          <w:tcPr>
            <w:tcW w:type="dxa" w:w="1728"/>
            <w:shd w:fill="f5f5f5" w:color="auto" w:val="clear"/>
          </w:tcPr>
          <w:p>
            <w:pPr>
              <w:jc w:val="center"/>
            </w:pPr>
            <w:r>
              <w:rPr>
                <w:sz w:val="18"/>
              </w:rPr>
              <w:t>$12.00</w:t>
            </w:r>
          </w:p>
        </w:tc>
        <w:tc>
          <w:tcPr>
            <w:tcW w:type="dxa" w:w="1728"/>
            <w:shd w:fill="f5f5f5" w:color="auto" w:val="clear"/>
          </w:tcPr>
          <w:p>
            <w:pPr>
              <w:jc w:val="center"/>
            </w:pPr>
            <w:r>
              <w:rPr>
                <w:sz w:val="18"/>
              </w:rPr>
              <w:t>$0.60</w:t>
            </w:r>
          </w:p>
        </w:tc>
        <w:tc>
          <w:tcPr>
            <w:tcW w:type="dxa" w:w="1728"/>
            <w:shd w:fill="f5f5f5" w:color="auto" w:val="clear"/>
          </w:tcPr>
          <w:p>
            <w:pPr>
              <w:jc w:val="center"/>
            </w:pPr>
            <w:r>
              <w:rPr>
                <w:sz w:val="18"/>
              </w:rPr>
              <w:t>Mature protocol, steady state</w:t>
            </w:r>
          </w:p>
        </w:tc>
      </w:tr>
    </w:tbl>
    <w:p>
      <w:r>
        <w:t>Note: Values shown are relative (normalized to $1.00 at launch). Actual price will depend on initial market cap and liquidity depth.</w:t>
      </w:r>
    </w:p>
    <w:p>
      <w:pPr>
        <w:pStyle w:val="Heading1"/>
      </w:pPr>
      <w:r>
        <w:t>12. Roadmap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color="auto" w:val="clear"/>
          </w:tcPr>
          <w:p>
            <w:pPr>
              <w:jc w:val="center"/>
            </w:pPr>
            <w:r>
              <w:rPr>
                <w:b/>
                <w:color w:val="FFFFFF"/>
                <w:sz w:val="18"/>
              </w:rPr>
              <w:t>Phase</w:t>
            </w:r>
          </w:p>
        </w:tc>
        <w:tc>
          <w:tcPr>
            <w:tcW w:type="dxa" w:w="2880"/>
            <w:shd w:fill="1a1a2e" w:color="auto" w:val="clear"/>
          </w:tcPr>
          <w:p>
            <w:pPr>
              <w:jc w:val="center"/>
            </w:pPr>
            <w:r>
              <w:rPr>
                <w:b/>
                <w:color w:val="FFFFFF"/>
                <w:sz w:val="18"/>
              </w:rPr>
              <w:t>Timeframe</w:t>
            </w:r>
          </w:p>
        </w:tc>
        <w:tc>
          <w:tcPr>
            <w:tcW w:type="dxa" w:w="2880"/>
            <w:shd w:fill="1a1a2e" w:color="auto" w:val="clear"/>
          </w:tcPr>
          <w:p>
            <w:pPr>
              <w:jc w:val="center"/>
            </w:pPr>
            <w:r>
              <w:rPr>
                <w:b/>
                <w:color w:val="FFFFFF"/>
                <w:sz w:val="18"/>
              </w:rPr>
              <w:t>Milestones</w:t>
            </w:r>
          </w:p>
        </w:tc>
      </w:tr>
      <w:tr>
        <w:tc>
          <w:tcPr>
            <w:tcW w:type="dxa" w:w="2880"/>
            <w:shd w:fill="f5f5f5" w:color="auto" w:val="clear"/>
          </w:tcPr>
          <w:p>
            <w:pPr>
              <w:jc w:val="center"/>
            </w:pPr>
            <w:r>
              <w:rPr>
                <w:sz w:val="18"/>
              </w:rPr>
              <w:t>Phase 0</w:t>
            </w:r>
          </w:p>
        </w:tc>
        <w:tc>
          <w:tcPr>
            <w:tcW w:type="dxa" w:w="2880"/>
            <w:shd w:fill="f5f5f5" w:color="auto" w:val="clear"/>
          </w:tcPr>
          <w:p>
            <w:pPr>
              <w:jc w:val="center"/>
            </w:pPr>
            <w:r>
              <w:rPr>
                <w:sz w:val="18"/>
              </w:rPr>
              <w:t>March 2026</w:t>
            </w:r>
          </w:p>
        </w:tc>
        <w:tc>
          <w:tcPr>
            <w:tcW w:type="dxa" w:w="2880"/>
            <w:shd w:fill="f5f5f5" w:color="auto" w:val="clear"/>
          </w:tcPr>
          <w:p>
            <w:pPr>
              <w:jc w:val="center"/>
            </w:pPr>
            <w:r>
              <w:rPr>
                <w:sz w:val="18"/>
              </w:rPr>
              <w:t>Smart Contract Development, Internal Testing, Community Building</w:t>
            </w:r>
          </w:p>
        </w:tc>
      </w:tr>
      <w:tr>
        <w:tc>
          <w:tcPr>
            <w:tcW w:type="dxa" w:w="2880"/>
          </w:tcPr>
          <w:p>
            <w:pPr>
              <w:jc w:val="center"/>
            </w:pPr>
            <w:r>
              <w:rPr>
                <w:sz w:val="18"/>
              </w:rPr>
              <w:t>Phase 1</w:t>
            </w:r>
          </w:p>
        </w:tc>
        <w:tc>
          <w:tcPr>
            <w:tcW w:type="dxa" w:w="2880"/>
          </w:tcPr>
          <w:p>
            <w:pPr>
              <w:jc w:val="center"/>
            </w:pPr>
            <w:r>
              <w:rPr>
                <w:sz w:val="18"/>
              </w:rPr>
              <w:t>Before Day 888</w:t>
            </w:r>
          </w:p>
        </w:tc>
        <w:tc>
          <w:tcPr>
            <w:tcW w:type="dxa" w:w="2880"/>
          </w:tcPr>
          <w:p>
            <w:pPr>
              <w:jc w:val="center"/>
            </w:pPr>
            <w:r>
              <w:rPr>
                <w:sz w:val="18"/>
              </w:rPr>
              <w:t>Deployment, Audit, Genesis Burn Phase Launch</w:t>
            </w:r>
          </w:p>
        </w:tc>
      </w:tr>
      <w:tr>
        <w:tc>
          <w:tcPr>
            <w:tcW w:type="dxa" w:w="2880"/>
            <w:shd w:fill="f5f5f5" w:color="auto" w:val="clear"/>
          </w:tcPr>
          <w:p>
            <w:pPr>
              <w:jc w:val="center"/>
            </w:pPr>
            <w:r>
              <w:rPr>
                <w:sz w:val="18"/>
              </w:rPr>
              <w:t>Phase 2</w:t>
            </w:r>
          </w:p>
        </w:tc>
        <w:tc>
          <w:tcPr>
            <w:tcW w:type="dxa" w:w="2880"/>
            <w:shd w:fill="f5f5f5" w:color="auto" w:val="clear"/>
          </w:tcPr>
          <w:p>
            <w:pPr>
              <w:jc w:val="center"/>
            </w:pPr>
            <w:r>
              <w:rPr>
                <w:sz w:val="18"/>
              </w:rPr>
              <w:t>Day 888</w:t>
            </w:r>
          </w:p>
        </w:tc>
        <w:tc>
          <w:tcPr>
            <w:tcW w:type="dxa" w:w="2880"/>
            <w:shd w:fill="f5f5f5" w:color="auto" w:val="clear"/>
          </w:tcPr>
          <w:p>
            <w:pPr>
              <w:jc w:val="center"/>
            </w:pPr>
            <w:r>
              <w:rPr>
                <w:sz w:val="18"/>
              </w:rPr>
              <w:t>Payout Capture, Burn Cascade, Marketing Push</w:t>
            </w:r>
          </w:p>
        </w:tc>
      </w:tr>
      <w:tr>
        <w:tc>
          <w:tcPr>
            <w:tcW w:type="dxa" w:w="2880"/>
          </w:tcPr>
          <w:p>
            <w:pPr>
              <w:jc w:val="center"/>
            </w:pPr>
            <w:r>
              <w:rPr>
                <w:sz w:val="18"/>
              </w:rPr>
              <w:t>Phase 3</w:t>
            </w:r>
          </w:p>
        </w:tc>
        <w:tc>
          <w:tcPr>
            <w:tcW w:type="dxa" w:w="2880"/>
          </w:tcPr>
          <w:p>
            <w:pPr>
              <w:jc w:val="center"/>
            </w:pPr>
            <w:r>
              <w:rPr>
                <w:sz w:val="18"/>
              </w:rPr>
              <w:t>Day 888+</w:t>
            </w:r>
          </w:p>
        </w:tc>
        <w:tc>
          <w:tcPr>
            <w:tcW w:type="dxa" w:w="2880"/>
          </w:tcPr>
          <w:p>
            <w:pPr>
              <w:jc w:val="center"/>
            </w:pPr>
            <w:r>
              <w:rPr>
                <w:sz w:val="18"/>
              </w:rPr>
              <w:t>Epoch 1, UI Launch, Community Growth</w:t>
            </w:r>
          </w:p>
        </w:tc>
      </w:tr>
      <w:tr>
        <w:tc>
          <w:tcPr>
            <w:tcW w:type="dxa" w:w="2880"/>
            <w:shd w:fill="f5f5f5" w:color="auto" w:val="clear"/>
          </w:tcPr>
          <w:p>
            <w:pPr>
              <w:jc w:val="center"/>
            </w:pPr>
            <w:r>
              <w:rPr>
                <w:sz w:val="18"/>
              </w:rPr>
              <w:t>Phase 4</w:t>
            </w:r>
          </w:p>
        </w:tc>
        <w:tc>
          <w:tcPr>
            <w:tcW w:type="dxa" w:w="2880"/>
            <w:shd w:fill="f5f5f5" w:color="auto" w:val="clear"/>
          </w:tcPr>
          <w:p>
            <w:pPr>
              <w:jc w:val="center"/>
            </w:pPr>
            <w:r>
              <w:rPr>
                <w:sz w:val="18"/>
              </w:rPr>
              <w:t>Q3 2026</w:t>
            </w:r>
          </w:p>
        </w:tc>
        <w:tc>
          <w:tcPr>
            <w:tcW w:type="dxa" w:w="2880"/>
            <w:shd w:fill="f5f5f5" w:color="auto" w:val="clear"/>
          </w:tcPr>
          <w:p>
            <w:pPr>
              <w:jc w:val="center"/>
            </w:pPr>
            <w:r>
              <w:rPr>
                <w:sz w:val="18"/>
              </w:rPr>
              <w:t>Cross-Ecosystem Integrations, Partnerships, Governance</w:t>
            </w:r>
          </w:p>
        </w:tc>
      </w:tr>
      <w:tr>
        <w:tc>
          <w:tcPr>
            <w:tcW w:type="dxa" w:w="2880"/>
          </w:tcPr>
          <w:p>
            <w:pPr>
              <w:jc w:val="center"/>
            </w:pPr>
            <w:r>
              <w:rPr>
                <w:sz w:val="18"/>
              </w:rPr>
              <w:t>Phase 5</w:t>
            </w:r>
          </w:p>
        </w:tc>
        <w:tc>
          <w:tcPr>
            <w:tcW w:type="dxa" w:w="2880"/>
          </w:tcPr>
          <w:p>
            <w:pPr>
              <w:jc w:val="center"/>
            </w:pPr>
            <w:r>
              <w:rPr>
                <w:sz w:val="18"/>
              </w:rPr>
              <w:t>Q4 2026+</w:t>
            </w:r>
          </w:p>
        </w:tc>
        <w:tc>
          <w:tcPr>
            <w:tcW w:type="dxa" w:w="2880"/>
          </w:tcPr>
          <w:p>
            <w:pPr>
              <w:jc w:val="center"/>
            </w:pPr>
            <w:r>
              <w:rPr>
                <w:sz w:val="18"/>
              </w:rPr>
              <w:t>Multi-Chain Expansion, Advanced Gamification</w:t>
            </w:r>
          </w:p>
        </w:tc>
      </w:tr>
    </w:tbl>
    <w:p>
      <w:pPr>
        <w:pStyle w:val="Heading1"/>
      </w:pPr>
      <w:r>
        <w:t>13. Risks &amp; Disclaimers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color="auto" w:val="clear"/>
          </w:tcPr>
          <w:p>
            <w:pPr>
              <w:jc w:val="center"/>
            </w:pPr>
            <w:r>
              <w:rPr>
                <w:b/>
                <w:color w:val="FFFFFF"/>
                <w:sz w:val="18"/>
              </w:rPr>
              <w:t>Risk Category</w:t>
            </w:r>
          </w:p>
        </w:tc>
        <w:tc>
          <w:tcPr>
            <w:tcW w:type="dxa" w:w="2880"/>
            <w:shd w:fill="1a1a2e" w:color="auto" w:val="clear"/>
          </w:tcPr>
          <w:p>
            <w:pPr>
              <w:jc w:val="center"/>
            </w:pPr>
            <w:r>
              <w:rPr>
                <w:b/>
                <w:color w:val="FFFFFF"/>
                <w:sz w:val="18"/>
              </w:rPr>
              <w:t>Description</w:t>
            </w:r>
          </w:p>
        </w:tc>
        <w:tc>
          <w:tcPr>
            <w:tcW w:type="dxa" w:w="2880"/>
            <w:shd w:fill="1a1a2e" w:color="auto" w:val="clear"/>
          </w:tcPr>
          <w:p>
            <w:pPr>
              <w:jc w:val="center"/>
            </w:pPr>
            <w:r>
              <w:rPr>
                <w:b/>
                <w:color w:val="FFFFFF"/>
                <w:sz w:val="18"/>
              </w:rPr>
              <w:t>Mitigation</w:t>
            </w:r>
          </w:p>
        </w:tc>
      </w:tr>
      <w:tr>
        <w:tc>
          <w:tcPr>
            <w:tcW w:type="dxa" w:w="2880"/>
            <w:shd w:fill="f5f5f5" w:color="auto" w:val="clear"/>
          </w:tcPr>
          <w:p>
            <w:pPr>
              <w:jc w:val="center"/>
            </w:pPr>
            <w:r>
              <w:rPr>
                <w:sz w:val="18"/>
              </w:rPr>
              <w:t>Smart Contract</w:t>
            </w:r>
          </w:p>
        </w:tc>
        <w:tc>
          <w:tcPr>
            <w:tcW w:type="dxa" w:w="2880"/>
            <w:shd w:fill="f5f5f5" w:color="auto" w:val="clear"/>
          </w:tcPr>
          <w:p>
            <w:pPr>
              <w:jc w:val="center"/>
            </w:pPr>
            <w:r>
              <w:rPr>
                <w:sz w:val="18"/>
              </w:rPr>
              <w:t>Despite testing and audits, contracts may have bugs</w:t>
            </w:r>
          </w:p>
        </w:tc>
        <w:tc>
          <w:tcPr>
            <w:tcW w:type="dxa" w:w="2880"/>
            <w:shd w:fill="f5f5f5" w:color="auto" w:val="clear"/>
          </w:tcPr>
          <w:p>
            <w:pPr>
              <w:jc w:val="center"/>
            </w:pPr>
            <w:r>
              <w:rPr>
                <w:sz w:val="18"/>
              </w:rPr>
              <w:t>Extensive testing (91 tests), Slither audit, guardian pause mechanism</w:t>
            </w:r>
          </w:p>
        </w:tc>
      </w:tr>
      <w:tr>
        <w:tc>
          <w:tcPr>
            <w:tcW w:type="dxa" w:w="2880"/>
          </w:tcPr>
          <w:p>
            <w:pPr>
              <w:jc w:val="center"/>
            </w:pPr>
            <w:r>
              <w:rPr>
                <w:sz w:val="18"/>
              </w:rPr>
              <w:t>Market Risk</w:t>
            </w:r>
          </w:p>
        </w:tc>
        <w:tc>
          <w:tcPr>
            <w:tcW w:type="dxa" w:w="2880"/>
          </w:tcPr>
          <w:p>
            <w:pPr>
              <w:jc w:val="center"/>
            </w:pPr>
            <w:r>
              <w:rPr>
                <w:sz w:val="18"/>
              </w:rPr>
              <w:t>Crypto is extremely volatile, prices can drop</w:t>
            </w:r>
          </w:p>
        </w:tc>
        <w:tc>
          <w:tcPr>
            <w:tcW w:type="dxa" w:w="2880"/>
          </w:tcPr>
          <w:p>
            <w:pPr>
              <w:jc w:val="center"/>
            </w:pPr>
            <w:r>
              <w:rPr>
                <w:sz w:val="18"/>
              </w:rPr>
              <w:t>Deflationary mechanics provide structural support</w:t>
            </w:r>
          </w:p>
        </w:tc>
      </w:tr>
      <w:tr>
        <w:tc>
          <w:tcPr>
            <w:tcW w:type="dxa" w:w="2880"/>
            <w:shd w:fill="f5f5f5" w:color="auto" w:val="clear"/>
          </w:tcPr>
          <w:p>
            <w:pPr>
              <w:jc w:val="center"/>
            </w:pPr>
            <w:r>
              <w:rPr>
                <w:sz w:val="18"/>
              </w:rPr>
              <w:t>Dependency</w:t>
            </w:r>
          </w:p>
        </w:tc>
        <w:tc>
          <w:tcPr>
            <w:tcW w:type="dxa" w:w="2880"/>
            <w:shd w:fill="f5f5f5" w:color="auto" w:val="clear"/>
          </w:tcPr>
          <w:p>
            <w:pPr>
              <w:jc w:val="center"/>
            </w:pPr>
            <w:r>
              <w:rPr>
                <w:sz w:val="18"/>
              </w:rPr>
              <w:t>HellBurn depends on TitanX protocol</w:t>
            </w:r>
          </w:p>
        </w:tc>
        <w:tc>
          <w:tcPr>
            <w:tcW w:type="dxa" w:w="2880"/>
            <w:shd w:fill="f5f5f5" w:color="auto" w:val="clear"/>
          </w:tcPr>
          <w:p>
            <w:pPr>
              <w:jc w:val="center"/>
            </w:pPr>
            <w:r>
              <w:rPr>
                <w:sz w:val="18"/>
              </w:rPr>
              <w:t>Diversified burns (TitanX + DragonX)</w:t>
            </w:r>
          </w:p>
        </w:tc>
      </w:tr>
      <w:tr>
        <w:tc>
          <w:tcPr>
            <w:tcW w:type="dxa" w:w="2880"/>
          </w:tcPr>
          <w:p>
            <w:pPr>
              <w:jc w:val="center"/>
            </w:pPr>
            <w:r>
              <w:rPr>
                <w:sz w:val="18"/>
              </w:rPr>
              <w:t>Liquidity</w:t>
            </w:r>
          </w:p>
        </w:tc>
        <w:tc>
          <w:tcPr>
            <w:tcW w:type="dxa" w:w="2880"/>
          </w:tcPr>
          <w:p>
            <w:pPr>
              <w:jc w:val="center"/>
            </w:pPr>
            <w:r>
              <w:rPr>
                <w:sz w:val="18"/>
              </w:rPr>
              <w:t>Low liquidity can amplify price movements</w:t>
            </w:r>
          </w:p>
        </w:tc>
        <w:tc>
          <w:tcPr>
            <w:tcW w:type="dxa" w:w="2880"/>
          </w:tcPr>
          <w:p>
            <w:pPr>
              <w:jc w:val="center"/>
            </w:pPr>
            <w:r>
              <w:rPr>
                <w:sz w:val="18"/>
              </w:rPr>
              <w:t>Initial LP provided, Buy &amp; Burn adds buying pressure</w:t>
            </w:r>
          </w:p>
        </w:tc>
      </w:tr>
      <w:tr>
        <w:tc>
          <w:tcPr>
            <w:tcW w:type="dxa" w:w="2880"/>
            <w:shd w:fill="f5f5f5" w:color="auto" w:val="clear"/>
          </w:tcPr>
          <w:p>
            <w:pPr>
              <w:jc w:val="center"/>
            </w:pPr>
            <w:r>
              <w:rPr>
                <w:sz w:val="18"/>
              </w:rPr>
              <w:t>Regulatory</w:t>
            </w:r>
          </w:p>
        </w:tc>
        <w:tc>
          <w:tcPr>
            <w:tcW w:type="dxa" w:w="2880"/>
            <w:shd w:fill="f5f5f5" w:color="auto" w:val="clear"/>
          </w:tcPr>
          <w:p>
            <w:pPr>
              <w:jc w:val="center"/>
            </w:pPr>
            <w:r>
              <w:rPr>
                <w:sz w:val="18"/>
              </w:rPr>
              <w:t>DeFi regulation is evolving globally</w:t>
            </w:r>
          </w:p>
        </w:tc>
        <w:tc>
          <w:tcPr>
            <w:tcW w:type="dxa" w:w="2880"/>
            <w:shd w:fill="f5f5f5" w:color="auto" w:val="clear"/>
          </w:tcPr>
          <w:p>
            <w:pPr>
              <w:jc w:val="center"/>
            </w:pPr>
            <w:r>
              <w:rPr>
                <w:sz w:val="18"/>
              </w:rPr>
              <w:t>No admin keys, fully decentralized</w:t>
            </w:r>
          </w:p>
        </w:tc>
      </w:tr>
      <w:tr>
        <w:tc>
          <w:tcPr>
            <w:tcW w:type="dxa" w:w="2880"/>
          </w:tcPr>
          <w:p>
            <w:pPr>
              <w:jc w:val="center"/>
            </w:pPr>
            <w:r>
              <w:rPr>
                <w:sz w:val="18"/>
              </w:rPr>
              <w:t>Adoption</w:t>
            </w:r>
          </w:p>
        </w:tc>
        <w:tc>
          <w:tcPr>
            <w:tcW w:type="dxa" w:w="2880"/>
          </w:tcPr>
          <w:p>
            <w:pPr>
              <w:jc w:val="center"/>
            </w:pPr>
            <w:r>
              <w:rPr>
                <w:sz w:val="18"/>
              </w:rPr>
              <w:t>Protocol needs active participants to thrive</w:t>
            </w:r>
          </w:p>
        </w:tc>
        <w:tc>
          <w:tcPr>
            <w:tcW w:type="dxa" w:w="2880"/>
          </w:tcPr>
          <w:p>
            <w:pPr>
              <w:jc w:val="center"/>
            </w:pPr>
            <w:r>
              <w:rPr>
                <w:sz w:val="18"/>
              </w:rPr>
              <w:t>Streak system incentivizes retention</w:t>
            </w:r>
          </w:p>
        </w:tc>
      </w:tr>
    </w:tbl>
    <w:p/>
    <w:p>
      <w:pPr>
        <w:jc w:val="center"/>
      </w:pPr>
      <w:r>
        <w:rPr>
          <w:b/>
          <w:color w:val="FF4500"/>
          <w:sz w:val="28"/>
        </w:rPr>
        <w:t>HELLBURN — Burn to Earn. Compete to 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8B2500"/>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B33000"/>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C4400"/>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