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auto">
    <v:background>
      <v:fill r:id="rId2" type="frame"/>
    </v:background>
  </w:background>
  <w:body>
    <w:p>
      <w:pPr>
        <w:pStyle w:val="Normal"/>
        <w:spacing w:before="0" w:after="2000"/>
        <w:rPr/>
      </w:pPr>
      <w:r>
        <w:rPr/>
      </w:r>
    </w:p>
    <w:p>
      <w:pPr>
        <w:pStyle w:val="Normal"/>
        <w:spacing w:before="0" w:after="100"/>
        <w:jc w:val="center"/>
        <w:rPr/>
      </w:pPr>
      <w:r>
        <w:rPr>
          <w:rFonts w:eastAsia="Arial" w:cs="Arial"/>
          <w:b/>
          <w:bCs/>
          <w:color w:val="C41E3A"/>
          <w:sz w:val="72"/>
          <w:szCs w:val="72"/>
        </w:rPr>
        <w:t>HELLBURN</w:t>
      </w:r>
    </w:p>
    <w:p>
      <w:pPr>
        <w:pStyle w:val="Normal"/>
        <w:spacing w:before="0" w:after="200"/>
        <w:jc w:val="center"/>
        <w:rPr/>
      </w:pPr>
      <w:r>
        <w:rPr>
          <w:rFonts w:eastAsia="Arial" w:cs="Arial"/>
          <w:color w:val="555555"/>
          <w:sz w:val="24"/>
          <w:szCs w:val="24"/>
        </w:rPr>
        <w:t>COMPETITIVE BURN-TO-EARN PROTOCOL</w:t>
      </w:r>
    </w:p>
    <w:p>
      <w:pPr>
        <w:pStyle w:val="Normal"/>
        <w:spacing w:before="0" w:after="100"/>
        <w:jc w:val="center"/>
        <w:rPr/>
      </w:pPr>
      <w:r>
        <w:rPr>
          <w:rFonts w:eastAsia="Arial" w:cs="Arial"/>
          <w:color w:val="D4A843"/>
          <w:sz w:val="22"/>
          <w:szCs w:val="22"/>
        </w:rPr>
        <w:t>Built on TitanX  |  Burns DragonX  |  Real ETH Yield</w:t>
      </w:r>
    </w:p>
    <w:p>
      <w:pPr>
        <w:pStyle w:val="Normal"/>
        <w:spacing w:before="0" w:after="600"/>
        <w:rPr/>
      </w:pPr>
      <w:r>
        <w:rPr/>
      </w:r>
    </w:p>
    <w:p>
      <w:pPr>
        <w:pStyle w:val="Normal"/>
        <w:spacing w:before="0" w:after="60"/>
        <w:jc w:val="center"/>
        <w:rPr/>
      </w:pPr>
      <w:r>
        <w:rPr>
          <w:rFonts w:eastAsia="Arial" w:cs="Arial"/>
          <w:b/>
          <w:bCs/>
          <w:color w:val="1A1A2E"/>
          <w:sz w:val="28"/>
          <w:szCs w:val="28"/>
        </w:rPr>
        <w:t>WHITEPAPER v3.0 — Fair Launch Edition</w:t>
      </w:r>
    </w:p>
    <w:p>
      <w:pPr>
        <w:pStyle w:val="Normal"/>
        <w:jc w:val="center"/>
        <w:rPr/>
      </w:pPr>
      <w:r>
        <w:rPr>
          <w:rFonts w:eastAsia="Arial" w:cs="Arial"/>
          <w:color w:val="555555"/>
          <w:sz w:val="22"/>
          <w:szCs w:val="22"/>
        </w:rPr>
        <w:t>March 2026</w:t>
      </w:r>
    </w:p>
    <w:p>
      <w:pPr>
        <w:pStyle w:val="Normal"/>
        <w:rPr/>
      </w:pPr>
      <w:r>
        <w:rPr/>
      </w:r>
      <w:r>
        <w:br w:type="page"/>
      </w:r>
    </w:p>
    <w:p>
      <w:pPr>
        <w:pStyle w:val="Heading1"/>
        <w:spacing w:before="0" w:after="200"/>
        <w:rPr/>
      </w:pPr>
      <w:r>
        <w:rPr>
          <w:rFonts w:eastAsia="Arial" w:cs="Arial" w:ascii="Arial" w:hAnsi="Arial"/>
          <w:b/>
          <w:bCs/>
          <w:color w:val="C41E3A"/>
          <w:sz w:val="32"/>
          <w:szCs w:val="32"/>
        </w:rPr>
        <w:t>Disclaimer</w:t>
      </w:r>
    </w:p>
    <w:p>
      <w:pPr>
        <w:pStyle w:val="Normal"/>
        <w:spacing w:lineRule="auto" w:line="276" w:before="0" w:after="120"/>
        <w:rPr/>
      </w:pPr>
      <w:r>
        <w:rPr>
          <w:rFonts w:eastAsia="Arial" w:cs="Arial"/>
          <w:i/>
          <w:iCs/>
          <w:color w:val="222222"/>
          <w:sz w:val="21"/>
          <w:szCs w:val="21"/>
        </w:rPr>
        <w:t>This document is for informational purposes only and does not constitute financial, investment, or legal advice. Cryptocurrency and DeFi investments carry significant risk, including the potential loss of all invested capital. Smart contracts, despite testing and audits, may contain vulnerabilities. Past performance of similar protocols does not guarantee future results. All projections in this document are hypothetical scenarios based on assumptions that may not materialize. Always do your own research (DYOR) before participating.</w:t>
      </w:r>
    </w:p>
    <w:p>
      <w:pPr>
        <w:pStyle w:val="Normal"/>
        <w:rPr/>
      </w:pPr>
      <w:r>
        <w:rPr/>
      </w:r>
      <w:r>
        <w:br w:type="page"/>
      </w:r>
    </w:p>
    <w:p>
      <w:pPr>
        <w:pStyle w:val="Heading1"/>
        <w:spacing w:before="0" w:after="200"/>
        <w:rPr/>
      </w:pPr>
      <w:r>
        <w:rPr>
          <w:rFonts w:eastAsia="Arial" w:cs="Arial" w:ascii="Arial" w:hAnsi="Arial"/>
          <w:b/>
          <w:bCs/>
          <w:color w:val="C41E3A"/>
          <w:sz w:val="32"/>
          <w:szCs w:val="32"/>
        </w:rPr>
        <w:t>Table of Contents</w:t>
      </w:r>
    </w:p>
    <w:p>
      <w:pPr>
        <w:pStyle w:val="Normal"/>
        <w:spacing w:before="0" w:after="80"/>
        <w:rPr/>
      </w:pPr>
      <w:r>
        <w:rPr>
          <w:rFonts w:eastAsia="Arial" w:cs="Arial"/>
          <w:b w:val="false"/>
          <w:bCs w:val="false"/>
          <w:color w:val="222222"/>
          <w:sz w:val="22"/>
          <w:szCs w:val="22"/>
        </w:rPr>
        <w:t>1. Executive Summary</w:t>
      </w:r>
    </w:p>
    <w:p>
      <w:pPr>
        <w:pStyle w:val="Normal"/>
        <w:spacing w:before="0" w:after="80"/>
        <w:rPr/>
      </w:pPr>
      <w:r>
        <w:rPr>
          <w:rFonts w:eastAsia="Arial" w:cs="Arial"/>
          <w:b w:val="false"/>
          <w:bCs w:val="false"/>
          <w:color w:val="222222"/>
          <w:sz w:val="22"/>
          <w:szCs w:val="22"/>
        </w:rPr>
        <w:t>2. The Problem — Why Existing Protocols Fall Short</w:t>
      </w:r>
    </w:p>
    <w:p>
      <w:pPr>
        <w:pStyle w:val="Normal"/>
        <w:spacing w:before="0" w:after="80"/>
        <w:rPr/>
      </w:pPr>
      <w:r>
        <w:rPr>
          <w:rFonts w:eastAsia="Arial" w:cs="Arial"/>
          <w:b w:val="false"/>
          <w:bCs w:val="false"/>
          <w:color w:val="222222"/>
          <w:sz w:val="22"/>
          <w:szCs w:val="22"/>
        </w:rPr>
        <w:t>3. The Solution — HellBurn’s Three Innovations</w:t>
      </w:r>
    </w:p>
    <w:p>
      <w:pPr>
        <w:pStyle w:val="Normal"/>
        <w:spacing w:before="0" w:after="80"/>
        <w:rPr/>
      </w:pPr>
      <w:r>
        <w:rPr>
          <w:rFonts w:eastAsia="Arial" w:cs="Arial"/>
          <w:b w:val="false"/>
          <w:bCs w:val="false"/>
          <w:color w:val="222222"/>
          <w:sz w:val="22"/>
          <w:szCs w:val="22"/>
        </w:rPr>
        <w:t>4. The Deflation Flywheel — How It All Connects</w:t>
      </w:r>
    </w:p>
    <w:p>
      <w:pPr>
        <w:pStyle w:val="Normal"/>
        <w:spacing w:before="0" w:after="80"/>
        <w:rPr/>
      </w:pPr>
      <w:r>
        <w:rPr>
          <w:rFonts w:eastAsia="Arial" w:cs="Arial"/>
          <w:b/>
          <w:bCs/>
          <w:color w:val="C41E3A"/>
          <w:sz w:val="22"/>
          <w:szCs w:val="22"/>
        </w:rPr>
        <w:t>5. Fair Launch Mechanism — Trustless Liquidity (NEW)</w:t>
      </w:r>
    </w:p>
    <w:p>
      <w:pPr>
        <w:pStyle w:val="Normal"/>
        <w:spacing w:before="0" w:after="80"/>
        <w:rPr/>
      </w:pPr>
      <w:r>
        <w:rPr>
          <w:rFonts w:eastAsia="Arial" w:cs="Arial"/>
          <w:b w:val="false"/>
          <w:bCs w:val="false"/>
          <w:color w:val="222222"/>
          <w:sz w:val="22"/>
          <w:szCs w:val="22"/>
        </w:rPr>
        <w:t>6. Genesis Phase — Your Entry Point</w:t>
      </w:r>
    </w:p>
    <w:p>
      <w:pPr>
        <w:pStyle w:val="Normal"/>
        <w:spacing w:before="0" w:after="80"/>
        <w:rPr/>
      </w:pPr>
      <w:r>
        <w:rPr>
          <w:rFonts w:eastAsia="Arial" w:cs="Arial"/>
          <w:b w:val="false"/>
          <w:bCs w:val="false"/>
          <w:color w:val="222222"/>
          <w:sz w:val="22"/>
          <w:szCs w:val="22"/>
        </w:rPr>
        <w:t>7. Burn Epochs — Competing for ETH</w:t>
      </w:r>
    </w:p>
    <w:p>
      <w:pPr>
        <w:pStyle w:val="Normal"/>
        <w:spacing w:before="0" w:after="80"/>
        <w:rPr/>
      </w:pPr>
      <w:r>
        <w:rPr>
          <w:rFonts w:eastAsia="Arial" w:cs="Arial"/>
          <w:b w:val="false"/>
          <w:bCs w:val="false"/>
          <w:color w:val="222222"/>
          <w:sz w:val="22"/>
          <w:szCs w:val="22"/>
        </w:rPr>
        <w:t>8. Staking &amp; Real Yield</w:t>
      </w:r>
    </w:p>
    <w:p>
      <w:pPr>
        <w:pStyle w:val="Normal"/>
        <w:spacing w:before="0" w:after="80"/>
        <w:rPr/>
      </w:pPr>
      <w:r>
        <w:rPr>
          <w:rFonts w:eastAsia="Arial" w:cs="Arial"/>
          <w:b w:val="false"/>
          <w:bCs w:val="false"/>
          <w:color w:val="222222"/>
          <w:sz w:val="22"/>
          <w:szCs w:val="22"/>
        </w:rPr>
        <w:t>9. Tokenomics Deep Dive</w:t>
      </w:r>
    </w:p>
    <w:p>
      <w:pPr>
        <w:pStyle w:val="Normal"/>
        <w:spacing w:before="0" w:after="80"/>
        <w:rPr/>
      </w:pPr>
      <w:r>
        <w:rPr>
          <w:rFonts w:eastAsia="Arial" w:cs="Arial"/>
          <w:b w:val="false"/>
          <w:bCs w:val="false"/>
          <w:color w:val="222222"/>
          <w:sz w:val="22"/>
          <w:szCs w:val="22"/>
        </w:rPr>
        <w:t>10. Day 888 Strategy — The Catalyst Event</w:t>
      </w:r>
    </w:p>
    <w:p>
      <w:pPr>
        <w:pStyle w:val="Normal"/>
        <w:spacing w:before="0" w:after="80"/>
        <w:rPr/>
      </w:pPr>
      <w:r>
        <w:rPr>
          <w:rFonts w:eastAsia="Arial" w:cs="Arial"/>
          <w:b w:val="false"/>
          <w:bCs w:val="false"/>
          <w:color w:val="222222"/>
          <w:sz w:val="22"/>
          <w:szCs w:val="22"/>
        </w:rPr>
        <w:t>11. Anti-Dump Mechanisms</w:t>
      </w:r>
    </w:p>
    <w:p>
      <w:pPr>
        <w:pStyle w:val="Normal"/>
        <w:spacing w:before="0" w:after="80"/>
        <w:rPr/>
      </w:pPr>
      <w:r>
        <w:rPr>
          <w:rFonts w:eastAsia="Arial" w:cs="Arial"/>
          <w:b w:val="false"/>
          <w:bCs w:val="false"/>
          <w:color w:val="222222"/>
          <w:sz w:val="22"/>
          <w:szCs w:val="22"/>
        </w:rPr>
        <w:t>12. 12-Month Projections</w:t>
      </w:r>
    </w:p>
    <w:p>
      <w:pPr>
        <w:pStyle w:val="Normal"/>
        <w:spacing w:before="0" w:after="80"/>
        <w:rPr/>
      </w:pPr>
      <w:r>
        <w:rPr>
          <w:rFonts w:eastAsia="Arial" w:cs="Arial"/>
          <w:b w:val="false"/>
          <w:bCs w:val="false"/>
          <w:color w:val="222222"/>
          <w:sz w:val="22"/>
          <w:szCs w:val="22"/>
        </w:rPr>
        <w:t>13. Roadmap</w:t>
      </w:r>
    </w:p>
    <w:p>
      <w:pPr>
        <w:pStyle w:val="Normal"/>
        <w:spacing w:before="0" w:after="80"/>
        <w:rPr/>
      </w:pPr>
      <w:r>
        <w:rPr>
          <w:rFonts w:eastAsia="Arial" w:cs="Arial"/>
          <w:b w:val="false"/>
          <w:bCs w:val="false"/>
          <w:color w:val="222222"/>
          <w:sz w:val="22"/>
          <w:szCs w:val="22"/>
        </w:rPr>
        <w:t>14. Risks &amp; Disclaimers</w:t>
      </w:r>
    </w:p>
    <w:p>
      <w:pPr>
        <w:pStyle w:val="Normal"/>
        <w:rPr/>
      </w:pPr>
      <w:r>
        <w:rPr/>
      </w:r>
      <w:r>
        <w:br w:type="page"/>
      </w:r>
    </w:p>
    <w:p>
      <w:pPr>
        <w:pStyle w:val="Heading1"/>
        <w:spacing w:before="0" w:after="200"/>
        <w:rPr/>
      </w:pPr>
      <w:r>
        <w:rPr>
          <w:rFonts w:eastAsia="Arial" w:cs="Arial" w:ascii="Arial" w:hAnsi="Arial"/>
          <w:b/>
          <w:bCs/>
          <w:color w:val="C41E3A"/>
          <w:sz w:val="32"/>
          <w:szCs w:val="32"/>
        </w:rPr>
        <w:t>1. Executive Summary</w:t>
      </w:r>
    </w:p>
    <w:p>
      <w:pPr>
        <w:pStyle w:val="Normal"/>
        <w:spacing w:lineRule="auto" w:line="276" w:before="0" w:after="120"/>
        <w:rPr/>
      </w:pPr>
      <w:r>
        <w:rPr>
          <w:rFonts w:eastAsia="Arial" w:cs="Arial"/>
          <w:color w:val="222222"/>
          <w:sz w:val="21"/>
          <w:szCs w:val="21"/>
        </w:rPr>
        <w:t>HellBurn is the first Competitive Burn-to-Earn Protocol in the TitanX ecosystem. It combines gamified, competitive burning with real ETH yield and creates perpetual deflationary pressure on both TitanX and DragonX.</w:t>
      </w:r>
    </w:p>
    <w:p>
      <w:pPr>
        <w:pStyle w:val="Normal"/>
        <w:spacing w:lineRule="auto" w:line="276" w:before="0" w:after="120"/>
        <w:rPr/>
      </w:pPr>
      <w:r>
        <w:rPr>
          <w:rFonts w:eastAsia="Arial" w:cs="Arial"/>
          <w:color w:val="222222"/>
          <w:sz w:val="21"/>
          <w:szCs w:val="21"/>
        </w:rPr>
        <w:t>While existing TitanX ecosystem protocols (DragonX, Helios, Hydra, B88) rely on a one-time minting phase followed by passive staking, HellBurn introduces a fundamentally new concept: Burn Epochs — competitive 8-day cycles where participants burn TitanX and DragonX to earn a proportional share of ETH rewards. A streak system rewards consistent participation with up to 3x multiplier and punishes inactivity with a full reset.</w:t>
      </w:r>
    </w:p>
    <w:p>
      <w:pPr>
        <w:pStyle w:val="Normal"/>
        <w:spacing w:lineRule="auto" w:line="276" w:before="0" w:after="120"/>
        <w:rPr/>
      </w:pPr>
      <w:r>
        <w:rPr>
          <w:rFonts w:eastAsia="Arial" w:cs="Arial"/>
          <w:color w:val="222222"/>
          <w:sz w:val="21"/>
          <w:szCs w:val="21"/>
        </w:rPr>
        <w:t>The result: A self-reinforcing deflationary flywheel that does not end after the minting phase but runs in perpetuity. HellBurn strategically leverages the historic TitanX Day-888 payout (~727 ETH, ~$2.39M) as the ignition event.</w:t>
      </w:r>
    </w:p>
    <w:p>
      <w:pPr>
        <w:pStyle w:val="Normal"/>
        <w:spacing w:lineRule="auto" w:line="276" w:before="0" w:after="120"/>
        <w:rPr/>
      </w:pPr>
      <w:r>
        <w:rPr>
          <w:rFonts w:eastAsia="Arial" w:cs="Arial"/>
          <w:b/>
          <w:bCs/>
          <w:color w:val="C41E3A"/>
          <w:sz w:val="21"/>
          <w:szCs w:val="21"/>
        </w:rPr>
        <w:t xml:space="preserve">New in v3.0: </w:t>
      </w:r>
      <w:r>
        <w:rPr>
          <w:rFonts w:eastAsia="Arial" w:cs="Arial"/>
          <w:color w:val="222222"/>
          <w:sz w:val="21"/>
          <w:szCs w:val="21"/>
        </w:rPr>
        <w:t>HellBurn launches as a true Fair Launch. Initial liquidity is created entirely by the smart contract — no human touches the LP tokens. The Genesis contract automatically converts accumulated TitanX into WETH and creates a permanent, locked Uniswap V3 position. Zero insider advantage, zero pre-mine, fully verifiable on-chain.</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3499"/>
        <w:gridCol w:w="5861"/>
      </w:tblGrid>
      <w:tr>
        <w:trPr/>
        <w:tc>
          <w:tcPr>
            <w:tcW w:w="34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Parameter</w:t>
            </w:r>
          </w:p>
        </w:tc>
        <w:tc>
          <w:tcPr>
            <w:tcW w:w="58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color w:val="FFFFFF"/>
                <w:sz w:val="20"/>
                <w:szCs w:val="20"/>
              </w:rPr>
              <w:t>Value</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Token</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HBURN (ERC-20, Ethereum)</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Core Mechanic</w:t>
            </w:r>
          </w:p>
        </w:tc>
        <w:tc>
          <w:tcPr>
            <w:tcW w:w="5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Competitive Burn Epochs + Payout Capture</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Burn Targets</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TitanX + DragonX (dual burn)</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Yield</w:t>
            </w:r>
          </w:p>
        </w:tc>
        <w:tc>
          <w:tcPr>
            <w:tcW w:w="5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Real ETH from TitanX staking payouts</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Supply</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Fixed — mint only during 28-day Genesis, then permanently disabled</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Initial Liquidity</w:t>
            </w:r>
          </w:p>
        </w:tc>
        <w:tc>
          <w:tcPr>
            <w:tcW w:w="5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Trustless — created by smart contract (Fair Launch)</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Admin Keys</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None — fully decentralized after deployment</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Launch Event</w:t>
            </w:r>
          </w:p>
        </w:tc>
        <w:tc>
          <w:tcPr>
            <w:tcW w:w="5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Before TitanX Day 888 (~April 2026)</w:t>
            </w:r>
          </w:p>
        </w:tc>
      </w:tr>
    </w:tbl>
    <w:p>
      <w:pPr>
        <w:pStyle w:val="Normal"/>
        <w:rPr/>
      </w:pPr>
      <w:r>
        <w:rPr/>
      </w:r>
      <w:r>
        <w:br w:type="page"/>
      </w:r>
    </w:p>
    <w:p>
      <w:pPr>
        <w:pStyle w:val="Heading1"/>
        <w:spacing w:before="0" w:after="200"/>
        <w:rPr/>
      </w:pPr>
      <w:r>
        <w:rPr>
          <w:rFonts w:eastAsia="Arial" w:cs="Arial" w:ascii="Arial" w:hAnsi="Arial"/>
          <w:b/>
          <w:bCs/>
          <w:color w:val="C41E3A"/>
          <w:sz w:val="32"/>
          <w:szCs w:val="32"/>
        </w:rPr>
        <w:t>2. The Problem — Why Existing Protocols Fall Short</w:t>
      </w:r>
    </w:p>
    <w:p>
      <w:pPr>
        <w:pStyle w:val="Heading2"/>
        <w:spacing w:before="240" w:after="160"/>
        <w:rPr/>
      </w:pPr>
      <w:r>
        <w:rPr>
          <w:rFonts w:eastAsia="Arial" w:cs="Arial" w:ascii="Arial" w:hAnsi="Arial"/>
          <w:b/>
          <w:bCs/>
          <w:color w:val="1A1A2E"/>
          <w:sz w:val="26"/>
          <w:szCs w:val="26"/>
        </w:rPr>
        <w:t>2.1 One-Time Deflationary Pressure</w:t>
      </w:r>
    </w:p>
    <w:p>
      <w:pPr>
        <w:pStyle w:val="Normal"/>
        <w:spacing w:lineRule="auto" w:line="276" w:before="0" w:after="120"/>
        <w:rPr/>
      </w:pPr>
      <w:r>
        <w:rPr>
          <w:rFonts w:eastAsia="Arial" w:cs="Arial"/>
          <w:color w:val="222222"/>
          <w:sz w:val="21"/>
          <w:szCs w:val="21"/>
        </w:rPr>
        <w:t>Every TitanX ecosystem project follows the same pattern: A minting phase where users deposit TitanX to receive new tokens, a portion gets burned, and then... nothing. The burn pressure stops completely after minting ends. Deflation is a one-time event, not a sustainable force.</w:t>
      </w:r>
    </w:p>
    <w:p>
      <w:pPr>
        <w:pStyle w:val="Normal"/>
        <w:spacing w:lineRule="auto" w:line="276" w:before="0" w:after="120"/>
        <w:rPr/>
      </w:pPr>
      <w:r>
        <w:rPr>
          <w:rFonts w:eastAsia="Arial" w:cs="Arial"/>
          <w:i/>
          <w:iCs/>
          <w:color w:val="222222"/>
          <w:sz w:val="21"/>
          <w:szCs w:val="21"/>
        </w:rPr>
        <w:t>Example: Protocol X had a 14-day minting phase that burned 500B TitanX. Impressive — but on Day 15, burn activity dropped to zero. The protocol generated no further deflationary pressure for the remaining lifetime of the project.</w:t>
      </w:r>
    </w:p>
    <w:p>
      <w:pPr>
        <w:pStyle w:val="Heading2"/>
        <w:spacing w:before="240" w:after="160"/>
        <w:rPr/>
      </w:pPr>
      <w:r>
        <w:rPr>
          <w:rFonts w:eastAsia="Arial" w:cs="Arial" w:ascii="Arial" w:hAnsi="Arial"/>
          <w:b/>
          <w:bCs/>
          <w:color w:val="1A1A2E"/>
          <w:sz w:val="26"/>
          <w:szCs w:val="26"/>
        </w:rPr>
        <w:t>2.2 Passive Staking Without Engagement</w:t>
      </w:r>
    </w:p>
    <w:p>
      <w:pPr>
        <w:pStyle w:val="Normal"/>
        <w:spacing w:lineRule="auto" w:line="276" w:before="0" w:after="120"/>
        <w:rPr/>
      </w:pPr>
      <w:r>
        <w:rPr>
          <w:rFonts w:eastAsia="Arial" w:cs="Arial"/>
          <w:color w:val="222222"/>
          <w:sz w:val="21"/>
          <w:szCs w:val="21"/>
        </w:rPr>
        <w:t>After minting, users stake their tokens and wait passively. There is no incentive to actively participate in the ecosystem. This leads to declining engagement, reduced community activity, and a classic “mint → stake → forget → dump when price drops” cycle.</w:t>
      </w:r>
    </w:p>
    <w:p>
      <w:pPr>
        <w:pStyle w:val="Heading2"/>
        <w:spacing w:before="240" w:after="160"/>
        <w:rPr/>
      </w:pPr>
      <w:r>
        <w:rPr>
          <w:rFonts w:eastAsia="Arial" w:cs="Arial" w:ascii="Arial" w:hAnsi="Arial"/>
          <w:b/>
          <w:bCs/>
          <w:color w:val="1A1A2E"/>
          <w:sz w:val="26"/>
          <w:szCs w:val="26"/>
        </w:rPr>
        <w:t>2.3 Missing Gamification</w:t>
      </w:r>
    </w:p>
    <w:p>
      <w:pPr>
        <w:pStyle w:val="Normal"/>
        <w:spacing w:lineRule="auto" w:line="276" w:before="0" w:after="120"/>
        <w:rPr/>
      </w:pPr>
      <w:r>
        <w:rPr>
          <w:rFonts w:eastAsia="Arial" w:cs="Arial"/>
          <w:color w:val="222222"/>
          <w:sz w:val="21"/>
          <w:szCs w:val="21"/>
        </w:rPr>
        <w:t>DeFi protocols compete for attention in an oversaturated market. Without competitive and game-theoretic elements, there is no reason to return daily. The most successful DeFi protocols — Curve Wars, Convex, GMX, and Pendle — have proven that competitive mechanics are the strongest retention drivers in crypto.</w:t>
      </w:r>
    </w:p>
    <w:p>
      <w:pPr>
        <w:pStyle w:val="Heading2"/>
        <w:spacing w:before="240" w:after="160"/>
        <w:rPr/>
      </w:pPr>
      <w:r>
        <w:rPr>
          <w:rFonts w:eastAsia="Arial" w:cs="Arial" w:ascii="Arial" w:hAnsi="Arial"/>
          <w:b/>
          <w:bCs/>
          <w:color w:val="1A1A2E"/>
          <w:sz w:val="26"/>
          <w:szCs w:val="26"/>
        </w:rPr>
        <w:t>2.4 Centralized Liquidity Creation</w:t>
      </w:r>
    </w:p>
    <w:p>
      <w:pPr>
        <w:pStyle w:val="Normal"/>
        <w:spacing w:lineRule="auto" w:line="276" w:before="0" w:after="120"/>
        <w:rPr/>
      </w:pPr>
      <w:r>
        <w:rPr>
          <w:rFonts w:eastAsia="Arial" w:cs="Arial"/>
          <w:color w:val="222222"/>
          <w:sz w:val="21"/>
          <w:szCs w:val="21"/>
        </w:rPr>
        <w:t>Most protocols rely on the founder or team to manually create the initial liquidity pool after minting. This introduces a trust requirement: users must believe the team will actually create the pool, set a fair price, and lock the LP tokens. Many projects have exploited this trust by rugging liquidity or setting unfavorable initial prices.</w:t>
      </w:r>
    </w:p>
    <w:p>
      <w:pPr>
        <w:pStyle w:val="Normal"/>
        <w:rPr/>
      </w:pPr>
      <w:r>
        <w:rPr/>
      </w:r>
      <w:r>
        <w:br w:type="page"/>
      </w:r>
    </w:p>
    <w:p>
      <w:pPr>
        <w:pStyle w:val="Heading1"/>
        <w:spacing w:before="0" w:after="200"/>
        <w:rPr/>
      </w:pPr>
      <w:r>
        <w:rPr>
          <w:rFonts w:eastAsia="Arial" w:cs="Arial" w:ascii="Arial" w:hAnsi="Arial"/>
          <w:b/>
          <w:bCs/>
          <w:color w:val="C41E3A"/>
          <w:sz w:val="32"/>
          <w:szCs w:val="32"/>
        </w:rPr>
        <w:t>3. The Solution — HellBurn’s Three Innovations</w:t>
      </w:r>
    </w:p>
    <w:p>
      <w:pPr>
        <w:pStyle w:val="Heading2"/>
        <w:spacing w:before="240" w:after="160"/>
        <w:rPr/>
      </w:pPr>
      <w:r>
        <w:rPr>
          <w:rFonts w:eastAsia="Arial" w:cs="Arial" w:ascii="Arial" w:hAnsi="Arial"/>
          <w:b/>
          <w:bCs/>
          <w:color w:val="1A1A2E"/>
          <w:sz w:val="26"/>
          <w:szCs w:val="26"/>
        </w:rPr>
        <w:t>3.1 Burn Epochs: Perpetual Deflationary Pressure</w:t>
      </w:r>
    </w:p>
    <w:p>
      <w:pPr>
        <w:pStyle w:val="Normal"/>
        <w:spacing w:lineRule="auto" w:line="276" w:before="0" w:after="120"/>
        <w:rPr/>
      </w:pPr>
      <w:r>
        <w:rPr>
          <w:rFonts w:eastAsia="Arial" w:cs="Arial"/>
          <w:color w:val="222222"/>
          <w:sz w:val="21"/>
          <w:szCs w:val="21"/>
        </w:rPr>
        <w:t>Every 8 days (synchronized with TitanX’s payout cycle), a new Burn Epoch begins. During each epoch, users can burn TitanX and/or DragonX into the Epoch Pool. At epoch end, accumulated ETH rewards are distributed proportionally to each participant’s weighted burn.</w:t>
      </w:r>
    </w:p>
    <w:p>
      <w:pPr>
        <w:pStyle w:val="Normal"/>
        <w:spacing w:lineRule="auto" w:line="276" w:before="0" w:after="120"/>
        <w:rPr/>
      </w:pPr>
      <w:r>
        <w:rPr>
          <w:rFonts w:eastAsia="Arial" w:cs="Arial"/>
          <w:color w:val="222222"/>
          <w:sz w:val="21"/>
          <w:szCs w:val="21"/>
        </w:rPr>
        <w:t>The key insight: Burning never stops. As long as ETH rewards flow (and they do, as long as the treasury has staked TitanX), there is always an incentive to burn. Deflation is not time-limited but permanent.</w:t>
      </w:r>
    </w:p>
    <w:p>
      <w:pPr>
        <w:pStyle w:val="Heading2"/>
        <w:spacing w:before="240" w:after="160"/>
        <w:rPr/>
      </w:pPr>
      <w:r>
        <w:rPr>
          <w:rFonts w:eastAsia="Arial" w:cs="Arial" w:ascii="Arial" w:hAnsi="Arial"/>
          <w:b/>
          <w:bCs/>
          <w:color w:val="1A1A2E"/>
          <w:sz w:val="26"/>
          <w:szCs w:val="26"/>
        </w:rPr>
        <w:t>3.2 Streak System: Game Theory as Retention</w:t>
      </w:r>
    </w:p>
    <w:p>
      <w:pPr>
        <w:pStyle w:val="Normal"/>
        <w:spacing w:lineRule="auto" w:line="276" w:before="0" w:after="120"/>
        <w:rPr/>
      </w:pPr>
      <w:r>
        <w:rPr>
          <w:rFonts w:eastAsia="Arial" w:cs="Arial"/>
          <w:color w:val="222222"/>
          <w:sz w:val="21"/>
          <w:szCs w:val="21"/>
        </w:rPr>
        <w:t>Participating in consecutive epochs builds a streak. Each consecutive epoch increases the personal multiplier by +0.2x, up to a maximum of 3.0x after 11 consecutive epochs (~88 days). Missing a single epoch resets the entire streak to 1.0x.</w:t>
      </w:r>
    </w:p>
    <w:p>
      <w:pPr>
        <w:pStyle w:val="Normal"/>
        <w:spacing w:lineRule="auto" w:line="276" w:before="0" w:after="120"/>
        <w:rPr/>
      </w:pPr>
      <w:r>
        <w:rPr>
          <w:rFonts w:eastAsia="Arial" w:cs="Arial"/>
          <w:color w:val="222222"/>
          <w:sz w:val="21"/>
          <w:szCs w:val="21"/>
        </w:rPr>
        <w:t>Why this works: The psychological lock-in effect is powerful. A user at 2.4x streak (8 consecutive epochs) would need 8 more epochs to rebuild if they miss one. The fear of losing the streak keeps participants active — exactly what drives perpetual burn pressure.</w:t>
      </w:r>
    </w:p>
    <w:p>
      <w:pPr>
        <w:pStyle w:val="Heading2"/>
        <w:spacing w:before="240" w:after="160"/>
        <w:rPr/>
      </w:pPr>
      <w:r>
        <w:rPr>
          <w:rFonts w:eastAsia="Arial" w:cs="Arial" w:ascii="Arial" w:hAnsi="Arial"/>
          <w:b/>
          <w:bCs/>
          <w:color w:val="1A1A2E"/>
          <w:sz w:val="26"/>
          <w:szCs w:val="26"/>
        </w:rPr>
        <w:t>3.3 Burn-to-Boost Staking (“Fuel”)</w:t>
      </w:r>
    </w:p>
    <w:p>
      <w:pPr>
        <w:pStyle w:val="Normal"/>
        <w:spacing w:lineRule="auto" w:line="276" w:before="0" w:after="120"/>
        <w:rPr/>
      </w:pPr>
      <w:r>
        <w:rPr>
          <w:rFonts w:eastAsia="Arial" w:cs="Arial"/>
          <w:color w:val="222222"/>
          <w:sz w:val="21"/>
          <w:szCs w:val="21"/>
        </w:rPr>
        <w:t>Stakers can actively increase their shares by burning additional TitanX or DragonX during an active stake (“Fuel” mechanic). DragonX gives 2x fuel compared to TitanX. Maximum fuel boost: +50% shares. This creates burn pressure not only at minting, not only at epochs, but also within the staking system — triple deflationary pressure.</w:t>
      </w:r>
    </w:p>
    <w:p>
      <w:pPr>
        <w:pStyle w:val="Normal"/>
        <w:rPr/>
      </w:pPr>
      <w:r>
        <w:rPr/>
      </w:r>
      <w:r>
        <w:br w:type="page"/>
      </w:r>
    </w:p>
    <w:p>
      <w:pPr>
        <w:pStyle w:val="Heading1"/>
        <w:spacing w:before="0" w:after="200"/>
        <w:rPr/>
      </w:pPr>
      <w:r>
        <w:rPr>
          <w:rFonts w:eastAsia="Arial" w:cs="Arial" w:ascii="Arial" w:hAnsi="Arial"/>
          <w:b/>
          <w:bCs/>
          <w:color w:val="C41E3A"/>
          <w:sz w:val="32"/>
          <w:szCs w:val="32"/>
        </w:rPr>
        <w:t>4. The Deflation Flywheel — How It All Connects</w:t>
      </w:r>
    </w:p>
    <w:p>
      <w:pPr>
        <w:pStyle w:val="Normal"/>
        <w:spacing w:lineRule="auto" w:line="276" w:before="0" w:after="120"/>
        <w:rPr/>
      </w:pPr>
      <w:r>
        <w:rPr>
          <w:rFonts w:eastAsia="Arial" w:cs="Arial"/>
          <w:color w:val="222222"/>
          <w:sz w:val="21"/>
          <w:szCs w:val="21"/>
        </w:rPr>
        <w:t>The HellBurn Flywheel is a self-reinforcing cycle that creates permanent deflationary pressure:</w:t>
      </w:r>
    </w:p>
    <w:p>
      <w:pPr>
        <w:pStyle w:val="Normal"/>
        <w:spacing w:lineRule="auto" w:line="276" w:before="0" w:after="120"/>
        <w:rPr/>
      </w:pPr>
      <w:r>
        <w:rPr>
          <w:rFonts w:eastAsia="Arial" w:cs="Arial"/>
          <w:b/>
          <w:bCs/>
          <w:color w:val="C41E3A"/>
          <w:sz w:val="21"/>
          <w:szCs w:val="21"/>
        </w:rPr>
        <w:t xml:space="preserve">Step 1: </w:t>
      </w:r>
      <w:r>
        <w:rPr>
          <w:rFonts w:eastAsia="Arial" w:cs="Arial"/>
          <w:color w:val="222222"/>
          <w:sz w:val="21"/>
          <w:szCs w:val="21"/>
        </w:rPr>
        <w:t>Users burn TitanX/DragonX (via Genesis, Epochs, or Fuel)</w:t>
      </w:r>
    </w:p>
    <w:p>
      <w:pPr>
        <w:pStyle w:val="Normal"/>
        <w:spacing w:lineRule="auto" w:line="276" w:before="0" w:after="120"/>
        <w:rPr/>
      </w:pPr>
      <w:r>
        <w:rPr>
          <w:rFonts w:eastAsia="Arial" w:cs="Arial"/>
          <w:b/>
          <w:bCs/>
          <w:color w:val="C41E3A"/>
          <w:sz w:val="21"/>
          <w:szCs w:val="21"/>
        </w:rPr>
        <w:t xml:space="preserve">Step 2: </w:t>
      </w:r>
      <w:r>
        <w:rPr>
          <w:rFonts w:eastAsia="Arial" w:cs="Arial"/>
          <w:color w:val="222222"/>
          <w:sz w:val="21"/>
          <w:szCs w:val="21"/>
        </w:rPr>
        <w:t>35% is permanently burned, 35% goes to DragonX Vault, 22% is max-staked in treasury (3,500 days), 8% accumulates in Genesis contract for LP creation</w:t>
      </w:r>
    </w:p>
    <w:p>
      <w:pPr>
        <w:pStyle w:val="Normal"/>
        <w:spacing w:lineRule="auto" w:line="276" w:before="0" w:after="120"/>
        <w:rPr/>
      </w:pPr>
      <w:r>
        <w:rPr>
          <w:rFonts w:eastAsia="Arial" w:cs="Arial"/>
          <w:b/>
          <w:bCs/>
          <w:color w:val="C41E3A"/>
          <w:sz w:val="21"/>
          <w:szCs w:val="21"/>
        </w:rPr>
        <w:t xml:space="preserve">Step 3: </w:t>
      </w:r>
      <w:r>
        <w:rPr>
          <w:rFonts w:eastAsia="Arial" w:cs="Arial"/>
          <w:color w:val="222222"/>
          <w:sz w:val="21"/>
          <w:szCs w:val="21"/>
        </w:rPr>
        <w:t>Staked TitanX generates ETH at every payout cycle (8/28/90/369/888 days)</w:t>
      </w:r>
    </w:p>
    <w:p>
      <w:pPr>
        <w:pStyle w:val="Normal"/>
        <w:spacing w:lineRule="auto" w:line="276" w:before="0" w:after="120"/>
        <w:rPr/>
      </w:pPr>
      <w:r>
        <w:rPr>
          <w:rFonts w:eastAsia="Arial" w:cs="Arial"/>
          <w:b/>
          <w:bCs/>
          <w:color w:val="C41E3A"/>
          <w:sz w:val="21"/>
          <w:szCs w:val="21"/>
        </w:rPr>
        <w:t xml:space="preserve">Step 4: </w:t>
      </w:r>
      <w:r>
        <w:rPr>
          <w:rFonts w:eastAsia="Arial" w:cs="Arial"/>
          <w:color w:val="222222"/>
          <w:sz w:val="21"/>
          <w:szCs w:val="21"/>
        </w:rPr>
        <w:t>80% of ETH flows to Epoch burners, 20% to HBURN stakers</w:t>
      </w:r>
    </w:p>
    <w:p>
      <w:pPr>
        <w:pStyle w:val="Normal"/>
        <w:spacing w:lineRule="auto" w:line="276" w:before="0" w:after="120"/>
        <w:rPr/>
      </w:pPr>
      <w:r>
        <w:rPr>
          <w:rFonts w:eastAsia="Arial" w:cs="Arial"/>
          <w:b/>
          <w:bCs/>
          <w:color w:val="C41E3A"/>
          <w:sz w:val="21"/>
          <w:szCs w:val="21"/>
        </w:rPr>
        <w:t xml:space="preserve">Step 5: </w:t>
      </w:r>
      <w:r>
        <w:rPr>
          <w:rFonts w:eastAsia="Arial" w:cs="Arial"/>
          <w:color w:val="222222"/>
          <w:sz w:val="21"/>
          <w:szCs w:val="21"/>
        </w:rPr>
        <w:t>More burns create more stakes, which generate more ETH, which attract more burners</w:t>
      </w:r>
    </w:p>
    <w:p>
      <w:pPr>
        <w:pStyle w:val="Normal"/>
        <w:spacing w:before="0" w:after="100"/>
        <w:rPr/>
      </w:pPr>
      <w:r>
        <w:rPr/>
      </w:r>
    </w:p>
    <w:p>
      <w:pPr>
        <w:pStyle w:val="Normal"/>
        <w:spacing w:lineRule="auto" w:line="276" w:before="0" w:after="120"/>
        <w:rPr/>
      </w:pPr>
      <w:r>
        <w:rPr>
          <w:rFonts w:eastAsia="Arial" w:cs="Arial"/>
          <w:color w:val="222222"/>
          <w:sz w:val="21"/>
          <w:szCs w:val="21"/>
        </w:rPr>
        <w:t>Additionally, 3% of all HBURN minted during Genesis is reserved for the initial liquidity pool. This means the Flywheel begins with built-in trading liquidity from Day 1 after Genesis — no external capital required.</w:t>
      </w:r>
    </w:p>
    <w:p>
      <w:pPr>
        <w:pStyle w:val="Normal"/>
        <w:rPr/>
      </w:pPr>
      <w:r>
        <w:rPr/>
      </w:r>
      <w:r>
        <w:br w:type="page"/>
      </w:r>
    </w:p>
    <w:p>
      <w:pPr>
        <w:pStyle w:val="Heading1"/>
        <w:spacing w:before="0" w:after="200"/>
        <w:rPr/>
      </w:pPr>
      <w:r>
        <w:rPr>
          <w:rFonts w:eastAsia="Arial" w:cs="Arial" w:ascii="Arial" w:hAnsi="Arial"/>
          <w:b/>
          <w:bCs/>
          <w:color w:val="C41E3A"/>
          <w:sz w:val="32"/>
          <w:szCs w:val="32"/>
        </w:rPr>
        <w:t>5. Fair Launch Mechanism — Trustless Liquidity</w:t>
      </w:r>
    </w:p>
    <w:p>
      <w:pPr>
        <w:pStyle w:val="Normal"/>
        <w:spacing w:lineRule="auto" w:line="276" w:before="0" w:after="120"/>
        <w:rPr/>
      </w:pPr>
      <w:r>
        <w:rPr>
          <w:rFonts w:eastAsia="Arial" w:cs="Arial"/>
          <w:b/>
          <w:bCs/>
          <w:color w:val="222222"/>
          <w:sz w:val="21"/>
          <w:szCs w:val="21"/>
        </w:rPr>
        <w:t xml:space="preserve">This is the defining feature of HellBurn v3.0. </w:t>
      </w:r>
      <w:r>
        <w:rPr>
          <w:rFonts w:eastAsia="Arial" w:cs="Arial"/>
          <w:color w:val="222222"/>
          <w:sz w:val="21"/>
          <w:szCs w:val="21"/>
        </w:rPr>
        <w:t>Unlike most DeFi protocols where a team manually creates liquidity pools, HellBurn’s smart contract creates the initial Uniswap V3 trading pair automatically. No human touches the LP tokens. No admin key can withdraw them. The entire process is verifiable on-chain before you participate.</w:t>
      </w:r>
    </w:p>
    <w:p>
      <w:pPr>
        <w:pStyle w:val="Heading2"/>
        <w:spacing w:before="240" w:after="160"/>
        <w:rPr/>
      </w:pPr>
      <w:r>
        <w:rPr>
          <w:rFonts w:eastAsia="Arial" w:cs="Arial" w:ascii="Arial" w:hAnsi="Arial"/>
          <w:b/>
          <w:bCs/>
          <w:color w:val="1A1A2E"/>
          <w:sz w:val="26"/>
          <w:szCs w:val="26"/>
        </w:rPr>
        <w:t>5.1 How It Works</w:t>
      </w:r>
    </w:p>
    <w:p>
      <w:pPr>
        <w:pStyle w:val="Normal"/>
        <w:spacing w:lineRule="auto" w:line="276" w:before="0" w:after="120"/>
        <w:rPr/>
      </w:pPr>
      <w:r>
        <w:rPr>
          <w:rFonts w:eastAsia="Arial" w:cs="Arial"/>
          <w:color w:val="222222"/>
          <w:sz w:val="21"/>
          <w:szCs w:val="21"/>
        </w:rPr>
        <w:t>During the 28-day Genesis phase, two reserves accumulate automatically inside the Genesis smart contract:</w:t>
      </w:r>
    </w:p>
    <w:p>
      <w:pPr>
        <w:pStyle w:val="Normal"/>
        <w:spacing w:before="200" w:after="120"/>
        <w:rPr/>
      </w:pPr>
      <w:r>
        <w:rPr>
          <w:rFonts w:eastAsia="Arial" w:cs="Arial"/>
          <w:b/>
          <w:bCs/>
          <w:color w:val="222222"/>
          <w:sz w:val="22"/>
          <w:szCs w:val="22"/>
        </w:rPr>
        <w:t>Reserve 1: The LP HBURN Reserve (3%)</w:t>
      </w:r>
    </w:p>
    <w:p>
      <w:pPr>
        <w:pStyle w:val="Normal"/>
        <w:spacing w:lineRule="auto" w:line="276" w:before="0" w:after="120"/>
        <w:rPr/>
      </w:pPr>
      <w:r>
        <w:rPr>
          <w:rFonts w:eastAsia="Arial" w:cs="Arial"/>
          <w:color w:val="222222"/>
          <w:sz w:val="21"/>
          <w:szCs w:val="21"/>
        </w:rPr>
        <w:t>Every time a user burns TitanX to mint HBURN, 3% of the minted HBURN is set aside in an LP reserve held by the contract itself. The user receives the remaining 97% (split into 25% immediate + 75% vesting as before). This 3% is not sent to any wallet — it stays locked in the smart contract code.</w:t>
      </w:r>
    </w:p>
    <w:p>
      <w:pPr>
        <w:pStyle w:val="Normal"/>
        <w:spacing w:before="200" w:after="120"/>
        <w:rPr/>
      </w:pPr>
      <w:r>
        <w:rPr>
          <w:rFonts w:eastAsia="Arial" w:cs="Arial"/>
          <w:b/>
          <w:bCs/>
          <w:color w:val="222222"/>
          <w:sz w:val="22"/>
          <w:szCs w:val="22"/>
        </w:rPr>
        <w:t>Reserve 2: The Genesis Fund (8% TitanX)</w:t>
      </w:r>
    </w:p>
    <w:p>
      <w:pPr>
        <w:pStyle w:val="Normal"/>
        <w:spacing w:lineRule="auto" w:line="276" w:before="0" w:after="120"/>
        <w:rPr/>
      </w:pPr>
      <w:r>
        <w:rPr>
          <w:rFonts w:eastAsia="Arial" w:cs="Arial"/>
          <w:color w:val="222222"/>
          <w:sz w:val="21"/>
          <w:szCs w:val="21"/>
        </w:rPr>
        <w:t>The existing 8% Genesis Fee from each TitanX burn now stays inside the Genesis contract instead of being sent to an external address. This TitanX accumulates over the full 28-day Genesis period.</w:t>
      </w:r>
    </w:p>
    <w:p>
      <w:pPr>
        <w:pStyle w:val="Heading2"/>
        <w:spacing w:before="240" w:after="160"/>
        <w:rPr/>
      </w:pPr>
      <w:r>
        <w:rPr>
          <w:rFonts w:eastAsia="Arial" w:cs="Arial" w:ascii="Arial" w:hAnsi="Arial"/>
          <w:b/>
          <w:bCs/>
          <w:color w:val="1A1A2E"/>
          <w:sz w:val="26"/>
          <w:szCs w:val="26"/>
        </w:rPr>
        <w:t>5.2 What Happens at Genesis End</w:t>
      </w:r>
    </w:p>
    <w:p>
      <w:pPr>
        <w:pStyle w:val="Normal"/>
        <w:spacing w:lineRule="auto" w:line="276" w:before="0" w:after="120"/>
        <w:rPr/>
      </w:pPr>
      <w:r>
        <w:rPr>
          <w:rFonts w:eastAsia="Arial" w:cs="Arial"/>
          <w:color w:val="222222"/>
          <w:sz w:val="21"/>
          <w:szCs w:val="21"/>
        </w:rPr>
        <w:t>When anyone calls the endGenesis() function after 28 days (this is a public function — anyone can trigger it), the contract executes three steps in a single transaction:</w:t>
      </w:r>
    </w:p>
    <w:p>
      <w:pPr>
        <w:pStyle w:val="Normal"/>
        <w:spacing w:lineRule="auto" w:line="276" w:before="0" w:after="120"/>
        <w:rPr/>
      </w:pPr>
      <w:r>
        <w:rPr>
          <w:rFonts w:eastAsia="Arial" w:cs="Arial"/>
          <w:b/>
          <w:bCs/>
          <w:color w:val="222222"/>
          <w:sz w:val="21"/>
          <w:szCs w:val="21"/>
        </w:rPr>
        <w:t xml:space="preserve">Step 1 — TitanX to WETH Swap: </w:t>
      </w:r>
      <w:r>
        <w:rPr>
          <w:rFonts w:eastAsia="Arial" w:cs="Arial"/>
          <w:color w:val="222222"/>
          <w:sz w:val="21"/>
          <w:szCs w:val="21"/>
        </w:rPr>
        <w:t>The accumulated TitanX from the Genesis Fund is swapped to WETH through the existing TitanX/WETH Uniswap pool. A minimum output parameter (minWETHOut) protects against sandwich attacks.</w:t>
      </w:r>
    </w:p>
    <w:p>
      <w:pPr>
        <w:pStyle w:val="Normal"/>
        <w:spacing w:lineRule="auto" w:line="276" w:before="0" w:after="120"/>
        <w:rPr/>
      </w:pPr>
      <w:r>
        <w:rPr>
          <w:rFonts w:eastAsia="Arial" w:cs="Arial"/>
          <w:b/>
          <w:bCs/>
          <w:color w:val="222222"/>
          <w:sz w:val="21"/>
          <w:szCs w:val="21"/>
        </w:rPr>
        <w:t xml:space="preserve">Step 2 — Pool Creation: </w:t>
      </w:r>
      <w:r>
        <w:rPr>
          <w:rFonts w:eastAsia="Arial" w:cs="Arial"/>
          <w:color w:val="222222"/>
          <w:sz w:val="21"/>
          <w:szCs w:val="21"/>
        </w:rPr>
        <w:t>The contract creates a new HBURN/WETH Uniswap V3 pool and initializes it at the correct starting price. The price is calculated automatically: WETH received ÷ HBURN in LP reserve.</w:t>
      </w:r>
    </w:p>
    <w:p>
      <w:pPr>
        <w:pStyle w:val="Normal"/>
        <w:spacing w:lineRule="auto" w:line="276" w:before="0" w:after="120"/>
        <w:rPr/>
      </w:pPr>
      <w:r>
        <w:rPr>
          <w:rFonts w:eastAsia="Arial" w:cs="Arial"/>
          <w:b/>
          <w:bCs/>
          <w:color w:val="222222"/>
          <w:sz w:val="21"/>
          <w:szCs w:val="21"/>
        </w:rPr>
        <w:t xml:space="preserve">Step 3 — Permanent LP Position: </w:t>
      </w:r>
      <w:r>
        <w:rPr>
          <w:rFonts w:eastAsia="Arial" w:cs="Arial"/>
          <w:color w:val="222222"/>
          <w:sz w:val="21"/>
          <w:szCs w:val="21"/>
        </w:rPr>
        <w:t>The contract mints a full-range Uniswap V3 LP position using the WETH and HBURN reserves. The LP NFT is held permanently by the contract. There is no function to transfer, withdraw, or modify this position. It is locked forever.</w:t>
      </w:r>
    </w:p>
    <w:p>
      <w:pPr>
        <w:pStyle w:val="Heading2"/>
        <w:spacing w:before="240" w:after="160"/>
        <w:rPr/>
      </w:pPr>
      <w:r>
        <w:rPr>
          <w:rFonts w:eastAsia="Arial" w:cs="Arial" w:ascii="Arial" w:hAnsi="Arial"/>
          <w:b/>
          <w:bCs/>
          <w:color w:val="1A1A2E"/>
          <w:sz w:val="26"/>
          <w:szCs w:val="26"/>
        </w:rPr>
        <w:t>5.3 Why This Matters</w:t>
      </w:r>
    </w:p>
    <w:tbl>
      <w:tblPr>
        <w:tblW w:w="9360" w:type="dxa"/>
        <w:jc w:val="start"/>
        <w:tblInd w:w="0" w:type="dxa"/>
        <w:tblLayout w:type="fixed"/>
        <w:tblCellMar>
          <w:top w:w="80" w:type="dxa"/>
          <w:start w:w="120" w:type="dxa"/>
          <w:bottom w:w="80" w:type="dxa"/>
          <w:end w:w="120" w:type="dxa"/>
        </w:tblCellMar>
      </w:tblPr>
      <w:tblGrid>
        <w:gridCol w:w="2799"/>
        <w:gridCol w:w="6561"/>
      </w:tblGrid>
      <w:tr>
        <w:trPr/>
        <w:tc>
          <w:tcPr>
            <w:tcW w:w="2799"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pPr>
            <w:r>
              <w:rPr>
                <w:rFonts w:eastAsia="Arial" w:cs="Arial"/>
                <w:b/>
                <w:bCs/>
                <w:color w:val="FFFFFF"/>
                <w:sz w:val="20"/>
                <w:szCs w:val="20"/>
              </w:rPr>
              <w:t>Benefit</w:t>
            </w:r>
          </w:p>
        </w:tc>
        <w:tc>
          <w:tcPr>
            <w:tcW w:w="6561" w:type="dxa"/>
            <w:tcBorders>
              <w:top w:val="single" w:sz="2" w:space="0" w:color="CCCCCC"/>
              <w:start w:val="single" w:sz="2" w:space="0" w:color="CCCCCC"/>
              <w:bottom w:val="single" w:sz="2" w:space="0" w:color="CCCCCC"/>
              <w:end w:val="single" w:sz="2" w:space="0" w:color="CCCCCC"/>
            </w:tcBorders>
            <w:shd w:fill="1A1A2E" w:val="clear"/>
            <w:vAlign w:val="center"/>
          </w:tcPr>
          <w:p>
            <w:pPr>
              <w:pStyle w:val="Normal"/>
              <w:rPr/>
            </w:pPr>
            <w:r>
              <w:rPr>
                <w:rFonts w:eastAsia="Arial" w:cs="Arial"/>
                <w:b/>
                <w:bCs/>
                <w:color w:val="FFFFFF"/>
                <w:sz w:val="20"/>
                <w:szCs w:val="20"/>
              </w:rPr>
              <w:t>Description</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No insider advantage</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The founder participates in Genesis as a regular user. The LP tokens come from the contract, not from any person.</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Self-scaling liquidity</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More Genesis participation = more TitanX in the fund = more WETH = deeper liquidity. The pool depth scales automatically with demand.</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Verifiable before participation</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The contract code is verified on Etherscan. Anyone can read the LP creation logic before burning a single TitanX.</w:t>
            </w:r>
          </w:p>
        </w:tc>
      </w:tr>
      <w:tr>
        <w:trPr/>
        <w:tc>
          <w:tcPr>
            <w:tcW w:w="2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Permanent lock</w:t>
            </w:r>
          </w:p>
        </w:tc>
        <w:tc>
          <w:tcPr>
            <w:tcW w:w="65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The LP NFT has no withdraw function. No rug pull is possible. The liquidity is locked by code, not by trust.</w:t>
            </w:r>
          </w:p>
        </w:tc>
      </w:tr>
      <w:tr>
        <w:trPr/>
        <w:tc>
          <w:tcPr>
            <w:tcW w:w="2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LP fees benefit the protocol</w:t>
            </w:r>
          </w:p>
        </w:tc>
        <w:tc>
          <w:tcPr>
            <w:tcW w:w="65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Trading fees from the LP position can be collected by anyone: HBURN fees are burned, WETH fees go to the BuyAndBurn contract. The LP generates value for all holders.</w:t>
            </w:r>
          </w:p>
        </w:tc>
      </w:tr>
    </w:tbl>
    <w:p>
      <w:pPr>
        <w:pStyle w:val="Heading2"/>
        <w:spacing w:before="240" w:after="160"/>
        <w:rPr/>
      </w:pPr>
      <w:r>
        <w:rPr>
          <w:rFonts w:eastAsia="Arial" w:cs="Arial" w:ascii="Arial" w:hAnsi="Arial"/>
          <w:b/>
          <w:bCs/>
          <w:color w:val="1A1A2E"/>
          <w:sz w:val="26"/>
          <w:szCs w:val="26"/>
        </w:rPr>
        <w:t>5.4 Numerical Example</w:t>
      </w:r>
    </w:p>
    <w:p>
      <w:pPr>
        <w:pStyle w:val="Normal"/>
        <w:spacing w:lineRule="auto" w:line="276" w:before="0" w:after="120"/>
        <w:rPr/>
      </w:pPr>
      <w:r>
        <w:rPr>
          <w:rFonts w:eastAsia="Arial" w:cs="Arial"/>
          <w:color w:val="222222"/>
          <w:sz w:val="21"/>
          <w:szCs w:val="21"/>
        </w:rPr>
        <w:t>Assume 100 billion TitanX are burned during the full Genesis phase:</w:t>
      </w:r>
    </w:p>
    <w:p>
      <w:pPr>
        <w:pStyle w:val="Normal"/>
        <w:spacing w:lineRule="auto" w:line="276" w:before="0" w:after="120"/>
        <w:rPr/>
      </w:pPr>
      <w:r>
        <w:rPr>
          <w:rFonts w:eastAsia="Arial" w:cs="Arial"/>
          <w:b/>
          <w:bCs/>
          <w:color w:val="222222"/>
          <w:sz w:val="21"/>
          <w:szCs w:val="21"/>
        </w:rPr>
        <w:t xml:space="preserve">Genesis Fund: </w:t>
      </w:r>
      <w:r>
        <w:rPr>
          <w:rFonts w:eastAsia="Arial" w:cs="Arial"/>
          <w:color w:val="222222"/>
          <w:sz w:val="21"/>
          <w:szCs w:val="21"/>
        </w:rPr>
        <w:t>8% of 100B TitanX = 8B TitanX. At a TitanX price of $0.00000007, this equals approximately $560 → swapped to ~0.28 ETH.</w:t>
      </w:r>
    </w:p>
    <w:p>
      <w:pPr>
        <w:pStyle w:val="Normal"/>
        <w:spacing w:lineRule="auto" w:line="276" w:before="0" w:after="120"/>
        <w:rPr/>
      </w:pPr>
      <w:r>
        <w:rPr>
          <w:rFonts w:eastAsia="Arial" w:cs="Arial"/>
          <w:b/>
          <w:bCs/>
          <w:color w:val="222222"/>
          <w:sz w:val="21"/>
          <w:szCs w:val="21"/>
        </w:rPr>
        <w:t xml:space="preserve">LP HBURN Reserve: </w:t>
      </w:r>
      <w:r>
        <w:rPr>
          <w:rFonts w:eastAsia="Arial" w:cs="Arial"/>
          <w:color w:val="222222"/>
          <w:sz w:val="21"/>
          <w:szCs w:val="21"/>
        </w:rPr>
        <w:t>Total HBURN minted ≈ 104B. 3% of 104B = ~3.12B HBURN reserved for the LP.</w:t>
      </w:r>
    </w:p>
    <w:p>
      <w:pPr>
        <w:pStyle w:val="Normal"/>
        <w:spacing w:lineRule="auto" w:line="276" w:before="0" w:after="120"/>
        <w:rPr/>
      </w:pPr>
      <w:r>
        <w:rPr>
          <w:rFonts w:eastAsia="Arial" w:cs="Arial"/>
          <w:b/>
          <w:bCs/>
          <w:color w:val="222222"/>
          <w:sz w:val="21"/>
          <w:szCs w:val="21"/>
        </w:rPr>
        <w:t xml:space="preserve">Resulting Pool: </w:t>
      </w:r>
      <w:r>
        <w:rPr>
          <w:rFonts w:eastAsia="Arial" w:cs="Arial"/>
          <w:color w:val="222222"/>
          <w:sz w:val="21"/>
          <w:szCs w:val="21"/>
        </w:rPr>
        <w:t>~0.28 ETH + ~3.12B HBURN = initial trading pool worth approximately $560 in total liquidity.</w:t>
      </w:r>
    </w:p>
    <w:p>
      <w:pPr>
        <w:pStyle w:val="Normal"/>
        <w:spacing w:lineRule="auto" w:line="276" w:before="0" w:after="120"/>
        <w:rPr/>
      </w:pPr>
      <w:r>
        <w:rPr>
          <w:rFonts w:eastAsia="Arial" w:cs="Arial"/>
          <w:b/>
          <w:bCs/>
          <w:color w:val="222222"/>
          <w:sz w:val="21"/>
          <w:szCs w:val="21"/>
        </w:rPr>
        <w:t xml:space="preserve">Initial FDV: </w:t>
      </w:r>
      <w:r>
        <w:rPr>
          <w:rFonts w:eastAsia="Arial" w:cs="Arial"/>
          <w:color w:val="222222"/>
          <w:sz w:val="21"/>
          <w:szCs w:val="21"/>
        </w:rPr>
        <w:t>Based on this pool ratio, the fully diluted valuation starts at approximately $18,700.</w:t>
      </w:r>
    </w:p>
    <w:p>
      <w:pPr>
        <w:pStyle w:val="Normal"/>
        <w:spacing w:before="0" w:after="100"/>
        <w:rPr/>
      </w:pPr>
      <w:r>
        <w:rPr/>
      </w:r>
    </w:p>
    <w:p>
      <w:pPr>
        <w:pStyle w:val="Normal"/>
        <w:spacing w:lineRule="auto" w:line="276" w:before="0" w:after="120"/>
        <w:rPr/>
      </w:pPr>
      <w:r>
        <w:rPr>
          <w:rFonts w:eastAsia="Arial" w:cs="Arial"/>
          <w:color w:val="222222"/>
          <w:sz w:val="21"/>
          <w:szCs w:val="21"/>
        </w:rPr>
        <w:t>This may seem small, but it follows the same pattern that made TitanX successful: TitanX itself launched with only 8 ETH in initial liquidity and grew to a multi-million dollar protocol through its BuyAndBurn mechanism. The key insight is that initial pool size matters less than the ongoing buy pressure from the deflationary flywheel.</w:t>
      </w:r>
    </w:p>
    <w:p>
      <w:pPr>
        <w:pStyle w:val="Heading2"/>
        <w:spacing w:before="240" w:after="160"/>
        <w:rPr/>
      </w:pPr>
      <w:r>
        <w:rPr>
          <w:rFonts w:eastAsia="Arial" w:cs="Arial" w:ascii="Arial" w:hAnsi="Arial"/>
          <w:b/>
          <w:bCs/>
          <w:color w:val="1A1A2E"/>
          <w:sz w:val="26"/>
          <w:szCs w:val="26"/>
        </w:rPr>
        <w:t>5.5 Post-Genesis Liquidity Boost</w:t>
      </w:r>
    </w:p>
    <w:p>
      <w:pPr>
        <w:pStyle w:val="Normal"/>
        <w:spacing w:lineRule="auto" w:line="276" w:before="0" w:after="120"/>
        <w:rPr/>
      </w:pPr>
      <w:r>
        <w:rPr>
          <w:rFonts w:eastAsia="Arial" w:cs="Arial"/>
          <w:color w:val="222222"/>
          <w:sz w:val="21"/>
          <w:szCs w:val="21"/>
        </w:rPr>
        <w:t>After the contract creates the base LP, anyone (including the founder) can add additional liquidity to the same Uniswap V3 pool as a separate position. This is fully transparent on Etherscan — the community can see exactly who added what. The founder plans to add personal ETH as additional liquidity, visible as a separate LP position from the contract-created one.</w:t>
      </w:r>
    </w:p>
    <w:p>
      <w:pPr>
        <w:pStyle w:val="Normal"/>
        <w:spacing w:lineRule="auto" w:line="276" w:before="0" w:after="120"/>
        <w:rPr/>
      </w:pPr>
      <w:r>
        <w:rPr>
          <w:rFonts w:eastAsia="Arial" w:cs="Arial"/>
          <w:color w:val="222222"/>
          <w:sz w:val="21"/>
          <w:szCs w:val="21"/>
        </w:rPr>
        <w:t>This hybrid approach (trustless base LP + transparent manual boost) combines the best of both worlds: trustless Fair Launch guarantees + deeper initial trading liquidity.</w:t>
      </w:r>
    </w:p>
    <w:p>
      <w:pPr>
        <w:pStyle w:val="Normal"/>
        <w:rPr/>
      </w:pPr>
      <w:r>
        <w:rPr/>
      </w:r>
      <w:r>
        <w:br w:type="page"/>
      </w:r>
    </w:p>
    <w:p>
      <w:pPr>
        <w:pStyle w:val="Heading1"/>
        <w:spacing w:before="0" w:after="200"/>
        <w:rPr/>
      </w:pPr>
      <w:r>
        <w:rPr>
          <w:rFonts w:eastAsia="Arial" w:cs="Arial" w:ascii="Arial" w:hAnsi="Arial"/>
          <w:b/>
          <w:bCs/>
          <w:color w:val="C41E3A"/>
          <w:sz w:val="32"/>
          <w:szCs w:val="32"/>
        </w:rPr>
        <w:t>6. Genesis Phase — Your Entry Point</w:t>
      </w:r>
    </w:p>
    <w:p>
      <w:pPr>
        <w:pStyle w:val="Normal"/>
        <w:spacing w:lineRule="auto" w:line="276" w:before="0" w:after="120"/>
        <w:rPr/>
      </w:pPr>
      <w:r>
        <w:rPr>
          <w:rFonts w:eastAsia="Arial" w:cs="Arial"/>
          <w:color w:val="222222"/>
          <w:sz w:val="21"/>
          <w:szCs w:val="21"/>
        </w:rPr>
        <w:t>The Genesis Burn Phase (28 days) is the only opportunity to mint HBURN. Users burn TitanX and receive HBURN tokens at a decreasing ratio that rewards early participants. Note: 3% of minted HBURN goes to the LP reserve (see Chapter 5). Users receive the remaining 97%.</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000"/>
        <w:gridCol w:w="1499"/>
        <w:gridCol w:w="1501"/>
        <w:gridCol w:w="1800"/>
        <w:gridCol w:w="2560"/>
      </w:tblGrid>
      <w:tr>
        <w:trPr/>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jc w:val="start"/>
              <w:rPr/>
            </w:pPr>
            <w:r>
              <w:rPr>
                <w:rFonts w:eastAsia="Arial" w:cs="Arial"/>
                <w:b/>
                <w:bCs/>
                <w:color w:val="FFFFFF"/>
                <w:sz w:val="19"/>
                <w:szCs w:val="19"/>
              </w:rPr>
              <w:t>Week</w:t>
            </w:r>
          </w:p>
        </w:tc>
        <w:tc>
          <w:tcPr>
            <w:tcW w:w="1499" w:type="dxa"/>
            <w:tcBorders>
              <w:top w:val="single" w:sz="2" w:space="0" w:color="CCCCCC"/>
              <w:start w:val="single" w:sz="2" w:space="0" w:color="CCCCCC"/>
              <w:bottom w:val="single" w:sz="2" w:space="0" w:color="CCCCCC"/>
              <w:end w:val="single" w:sz="2" w:space="0" w:color="CCCCCC"/>
            </w:tcBorders>
            <w:shd w:fill="1A1A2E" w:val="clear"/>
          </w:tcPr>
          <w:p>
            <w:pPr>
              <w:pStyle w:val="Normal"/>
              <w:jc w:val="center"/>
              <w:rPr/>
            </w:pPr>
            <w:r>
              <w:rPr>
                <w:rFonts w:eastAsia="Arial" w:cs="Arial"/>
                <w:b/>
                <w:bCs/>
                <w:color w:val="FFFFFF"/>
                <w:sz w:val="19"/>
                <w:szCs w:val="19"/>
              </w:rPr>
              <w:t>Base Ratio</w:t>
            </w:r>
          </w:p>
        </w:tc>
        <w:tc>
          <w:tcPr>
            <w:tcW w:w="1501" w:type="dxa"/>
            <w:tcBorders>
              <w:top w:val="single" w:sz="2" w:space="0" w:color="CCCCCC"/>
              <w:start w:val="single" w:sz="2" w:space="0" w:color="CCCCCC"/>
              <w:bottom w:val="single" w:sz="2" w:space="0" w:color="CCCCCC"/>
              <w:end w:val="single" w:sz="2" w:space="0" w:color="CCCCCC"/>
            </w:tcBorders>
            <w:shd w:fill="1A1A2E" w:val="clear"/>
          </w:tcPr>
          <w:p>
            <w:pPr>
              <w:pStyle w:val="Normal"/>
              <w:jc w:val="center"/>
              <w:rPr/>
            </w:pPr>
            <w:r>
              <w:rPr>
                <w:rFonts w:eastAsia="Arial" w:cs="Arial"/>
                <w:b/>
                <w:bCs/>
                <w:color w:val="FFFFFF"/>
                <w:sz w:val="19"/>
                <w:szCs w:val="19"/>
              </w:rPr>
              <w:t>Early Bonus</w:t>
            </w:r>
          </w:p>
        </w:tc>
        <w:tc>
          <w:tcPr>
            <w:tcW w:w="1800" w:type="dxa"/>
            <w:tcBorders>
              <w:top w:val="single" w:sz="2" w:space="0" w:color="CCCCCC"/>
              <w:start w:val="single" w:sz="2" w:space="0" w:color="CCCCCC"/>
              <w:bottom w:val="single" w:sz="2" w:space="0" w:color="CCCCCC"/>
              <w:end w:val="single" w:sz="2" w:space="0" w:color="CCCCCC"/>
            </w:tcBorders>
            <w:shd w:fill="1A1A2E" w:val="clear"/>
          </w:tcPr>
          <w:p>
            <w:pPr>
              <w:pStyle w:val="Normal"/>
              <w:jc w:val="center"/>
              <w:rPr/>
            </w:pPr>
            <w:r>
              <w:rPr>
                <w:rFonts w:eastAsia="Arial" w:cs="Arial"/>
                <w:b/>
                <w:bCs/>
                <w:color w:val="FFFFFF"/>
                <w:sz w:val="19"/>
                <w:szCs w:val="19"/>
              </w:rPr>
              <w:t>Effective Rate</w:t>
            </w:r>
          </w:p>
        </w:tc>
        <w:tc>
          <w:tcPr>
            <w:tcW w:w="2560" w:type="dxa"/>
            <w:tcBorders>
              <w:top w:val="single" w:sz="2" w:space="0" w:color="CCCCCC"/>
              <w:start w:val="single" w:sz="2" w:space="0" w:color="CCCCCC"/>
              <w:bottom w:val="single" w:sz="2" w:space="0" w:color="CCCCCC"/>
              <w:end w:val="single" w:sz="2" w:space="0" w:color="CCCCCC"/>
            </w:tcBorders>
            <w:shd w:fill="1A1A2E" w:val="clear"/>
          </w:tcPr>
          <w:p>
            <w:pPr>
              <w:pStyle w:val="Normal"/>
              <w:jc w:val="center"/>
              <w:rPr/>
            </w:pPr>
            <w:r>
              <w:rPr>
                <w:rFonts w:eastAsia="Arial" w:cs="Arial"/>
                <w:b/>
                <w:bCs/>
                <w:color w:val="FFFFFF"/>
                <w:sz w:val="19"/>
                <w:szCs w:val="19"/>
              </w:rPr>
              <w:t>User Gets (97%)</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222222"/>
                <w:sz w:val="19"/>
                <w:szCs w:val="19"/>
              </w:rPr>
              <w:t>Week 1 (Day 1-7)</w:t>
            </w:r>
          </w:p>
        </w:tc>
        <w:tc>
          <w:tcPr>
            <w:tcW w:w="1499"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19"/>
                <w:szCs w:val="19"/>
              </w:rPr>
              <w:t>1:1.00</w:t>
            </w:r>
          </w:p>
        </w:tc>
        <w:tc>
          <w:tcPr>
            <w:tcW w:w="1501"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19"/>
                <w:szCs w:val="19"/>
              </w:rPr>
              <w:t>+15%</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19"/>
                <w:szCs w:val="19"/>
              </w:rPr>
              <w:t>1:1.15</w:t>
            </w:r>
          </w:p>
        </w:tc>
        <w:tc>
          <w:tcPr>
            <w:tcW w:w="256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19"/>
                <w:szCs w:val="19"/>
              </w:rPr>
              <w:t>1:1.1155</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222222"/>
                <w:sz w:val="19"/>
                <w:szCs w:val="19"/>
              </w:rPr>
              <w:t>Week 2 (Day 8-14)</w:t>
            </w:r>
          </w:p>
        </w:tc>
        <w:tc>
          <w:tcPr>
            <w:tcW w:w="14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19"/>
                <w:szCs w:val="19"/>
              </w:rPr>
              <w:t>1:0.95</w:t>
            </w:r>
          </w:p>
        </w:tc>
        <w:tc>
          <w:tcPr>
            <w:tcW w:w="150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19"/>
                <w:szCs w:val="19"/>
              </w:rPr>
              <w:t>+10%</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19"/>
                <w:szCs w:val="19"/>
              </w:rPr>
              <w:t>1:1.045</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19"/>
                <w:szCs w:val="19"/>
              </w:rPr>
              <w:t>1:1.0137</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222222"/>
                <w:sz w:val="19"/>
                <w:szCs w:val="19"/>
              </w:rPr>
              <w:t>Week 3 (Day 15-21)</w:t>
            </w:r>
          </w:p>
        </w:tc>
        <w:tc>
          <w:tcPr>
            <w:tcW w:w="1499"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19"/>
                <w:szCs w:val="19"/>
              </w:rPr>
              <w:t>1:0.90</w:t>
            </w:r>
          </w:p>
        </w:tc>
        <w:tc>
          <w:tcPr>
            <w:tcW w:w="1501"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19"/>
                <w:szCs w:val="19"/>
              </w:rPr>
              <w:t>+5%</w:t>
            </w:r>
          </w:p>
        </w:tc>
        <w:tc>
          <w:tcPr>
            <w:tcW w:w="180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19"/>
                <w:szCs w:val="19"/>
              </w:rPr>
              <w:t>1:0.945</w:t>
            </w:r>
          </w:p>
        </w:tc>
        <w:tc>
          <w:tcPr>
            <w:tcW w:w="256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19"/>
                <w:szCs w:val="19"/>
              </w:rPr>
              <w:t>1:0.9167</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222222"/>
                <w:sz w:val="19"/>
                <w:szCs w:val="19"/>
              </w:rPr>
              <w:t>Week 4 (Day 22-28)</w:t>
            </w:r>
          </w:p>
        </w:tc>
        <w:tc>
          <w:tcPr>
            <w:tcW w:w="14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19"/>
                <w:szCs w:val="19"/>
              </w:rPr>
              <w:t>1:0.85</w:t>
            </w:r>
          </w:p>
        </w:tc>
        <w:tc>
          <w:tcPr>
            <w:tcW w:w="150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19"/>
                <w:szCs w:val="19"/>
              </w:rPr>
              <w:t>None</w:t>
            </w:r>
          </w:p>
        </w:tc>
        <w:tc>
          <w:tcPr>
            <w:tcW w:w="18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19"/>
                <w:szCs w:val="19"/>
              </w:rPr>
              <w:t>1:0.85</w:t>
            </w:r>
          </w:p>
        </w:tc>
        <w:tc>
          <w:tcPr>
            <w:tcW w:w="256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19"/>
                <w:szCs w:val="19"/>
              </w:rPr>
              <w:t>1:0.8245</w:t>
            </w:r>
          </w:p>
        </w:tc>
      </w:tr>
    </w:tbl>
    <w:p>
      <w:pPr>
        <w:pStyle w:val="Heading2"/>
        <w:spacing w:before="240" w:after="160"/>
        <w:rPr/>
      </w:pPr>
      <w:r>
        <w:rPr>
          <w:rFonts w:eastAsia="Arial" w:cs="Arial" w:ascii="Arial" w:hAnsi="Arial"/>
          <w:b/>
          <w:bCs/>
          <w:color w:val="1A1A2E"/>
          <w:sz w:val="26"/>
          <w:szCs w:val="26"/>
        </w:rPr>
        <w:t>Practical Example: Alice Burns 5B TitanX in Week 1</w:t>
      </w:r>
    </w:p>
    <w:p>
      <w:pPr>
        <w:pStyle w:val="Normal"/>
        <w:spacing w:lineRule="auto" w:line="276" w:before="0" w:after="120"/>
        <w:rPr/>
      </w:pPr>
      <w:r>
        <w:rPr>
          <w:rFonts w:eastAsia="Arial" w:cs="Arial"/>
          <w:color w:val="222222"/>
          <w:sz w:val="21"/>
          <w:szCs w:val="21"/>
        </w:rPr>
        <w:t>Alice decides to participate in Genesis on Day 3 (Week 1) with 5,000,000,000 TitanX.</w:t>
      </w:r>
    </w:p>
    <w:p>
      <w:pPr>
        <w:pStyle w:val="Normal"/>
        <w:spacing w:before="200" w:after="120"/>
        <w:rPr/>
      </w:pPr>
      <w:r>
        <w:rPr>
          <w:rFonts w:eastAsia="Arial" w:cs="Arial"/>
          <w:b/>
          <w:bCs/>
          <w:color w:val="222222"/>
          <w:sz w:val="22"/>
          <w:szCs w:val="22"/>
        </w:rPr>
        <w:t>Calculation:</w:t>
      </w:r>
    </w:p>
    <w:p>
      <w:pPr>
        <w:pStyle w:val="Normal"/>
        <w:spacing w:lineRule="auto" w:line="276" w:before="0" w:after="120"/>
        <w:rPr/>
      </w:pPr>
      <w:r>
        <w:rPr>
          <w:rFonts w:eastAsia="Arial" w:cs="Arial"/>
          <w:color w:val="222222"/>
          <w:sz w:val="21"/>
          <w:szCs w:val="21"/>
        </w:rPr>
        <w:t>Effective rate: 1.15 HBURN per TitanX</w:t>
      </w:r>
    </w:p>
    <w:p>
      <w:pPr>
        <w:pStyle w:val="Normal"/>
        <w:spacing w:lineRule="auto" w:line="276" w:before="0" w:after="120"/>
        <w:rPr/>
      </w:pPr>
      <w:r>
        <w:rPr>
          <w:rFonts w:eastAsia="Arial" w:cs="Arial"/>
          <w:color w:val="222222"/>
          <w:sz w:val="21"/>
          <w:szCs w:val="21"/>
        </w:rPr>
        <w:t>Total HBURN minted: 5,000,000,000 × 1.15 = 5,750,000,000 HBURN</w:t>
      </w:r>
    </w:p>
    <w:p>
      <w:pPr>
        <w:pStyle w:val="Normal"/>
        <w:spacing w:lineRule="auto" w:line="276" w:before="0" w:after="120"/>
        <w:rPr/>
      </w:pPr>
      <w:r>
        <w:rPr>
          <w:rFonts w:eastAsia="Arial" w:cs="Arial"/>
          <w:color w:val="222222"/>
          <w:sz w:val="21"/>
          <w:szCs w:val="21"/>
        </w:rPr>
        <w:t>LP Reserve (3%): 172,500,000 HBURN → goes to contract LP reserve</w:t>
      </w:r>
    </w:p>
    <w:p>
      <w:pPr>
        <w:pStyle w:val="Normal"/>
        <w:spacing w:lineRule="auto" w:line="276" w:before="0" w:after="120"/>
        <w:rPr/>
      </w:pPr>
      <w:r>
        <w:rPr>
          <w:rFonts w:eastAsia="Arial" w:cs="Arial"/>
          <w:color w:val="222222"/>
          <w:sz w:val="21"/>
          <w:szCs w:val="21"/>
        </w:rPr>
        <w:t>Alice receives (97%): 5,577,500,000 HBURN, split as:</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Instantly available (25%): 1,394,375,000 HBURN</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Vesting over 28 days (75%): 4,183,125,000 HBURN (~149,397,321 per day)</w:t>
      </w:r>
    </w:p>
    <w:p>
      <w:pPr>
        <w:pStyle w:val="Normal"/>
        <w:spacing w:before="200" w:after="120"/>
        <w:rPr/>
      </w:pPr>
      <w:r>
        <w:rPr>
          <w:rFonts w:eastAsia="Arial" w:cs="Arial"/>
          <w:b/>
          <w:bCs/>
          <w:color w:val="222222"/>
          <w:sz w:val="22"/>
          <w:szCs w:val="22"/>
        </w:rPr>
        <w:t>Her 5B TitanX is distributed as follows:</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1,750,000,000 permanently burned (35%)</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1,750,000,000 to DragonX Vault (35%)</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1,100,000,000 max-staked in treasury for 3,500 days (22%)</w:t>
      </w:r>
    </w:p>
    <w:p>
      <w:pPr>
        <w:pStyle w:val="Normal"/>
        <w:spacing w:lineRule="auto" w:line="276" w:before="0" w:after="120"/>
        <w:rPr/>
      </w:pPr>
      <w:r>
        <w:rPr>
          <w:rFonts w:eastAsia="Arial" w:cs="Arial"/>
          <w:color w:val="222222"/>
          <w:sz w:val="21"/>
          <w:szCs w:val="21"/>
        </w:rPr>
        <w:t xml:space="preserve">  • </w:t>
      </w:r>
      <w:r>
        <w:rPr>
          <w:rFonts w:eastAsia="Arial" w:cs="Arial"/>
          <w:color w:val="222222"/>
          <w:sz w:val="21"/>
          <w:szCs w:val="21"/>
        </w:rPr>
        <w:t>400,000,000 to Genesis contract LP fund (8%) — used for Fair Launch LP</w:t>
      </w:r>
    </w:p>
    <w:p>
      <w:pPr>
        <w:pStyle w:val="Normal"/>
        <w:spacing w:before="0" w:after="100"/>
        <w:rPr/>
      </w:pPr>
      <w:r>
        <w:rPr/>
      </w:r>
    </w:p>
    <w:p>
      <w:pPr>
        <w:pStyle w:val="Normal"/>
        <w:spacing w:lineRule="auto" w:line="276" w:before="0" w:after="120"/>
        <w:rPr/>
      </w:pPr>
      <w:r>
        <w:rPr>
          <w:rFonts w:eastAsia="Arial" w:cs="Arial"/>
          <w:b/>
          <w:bCs/>
          <w:color w:val="222222"/>
          <w:sz w:val="21"/>
          <w:szCs w:val="21"/>
        </w:rPr>
        <w:t xml:space="preserve">Compare: </w:t>
      </w:r>
      <w:r>
        <w:rPr>
          <w:rFonts w:eastAsia="Arial" w:cs="Arial"/>
          <w:color w:val="222222"/>
          <w:sz w:val="21"/>
          <w:szCs w:val="21"/>
        </w:rPr>
        <w:t>If Alice had waited until Week 4, the same 5B TitanX would only yield ~4,123,750 HBURN (after LP reserve) — that is ~1,453,750 HBURN less (26% fewer tokens). Early participation is significantly rewarded.</w:t>
      </w:r>
    </w:p>
    <w:p>
      <w:pPr>
        <w:pStyle w:val="Normal"/>
        <w:rPr/>
      </w:pPr>
      <w:r>
        <w:rPr/>
      </w:r>
      <w:r>
        <w:br w:type="page"/>
      </w:r>
    </w:p>
    <w:p>
      <w:pPr>
        <w:pStyle w:val="Heading1"/>
        <w:spacing w:before="0" w:after="200"/>
        <w:rPr/>
      </w:pPr>
      <w:r>
        <w:rPr>
          <w:rFonts w:eastAsia="Arial" w:cs="Arial" w:ascii="Arial" w:hAnsi="Arial"/>
          <w:b/>
          <w:bCs/>
          <w:color w:val="C41E3A"/>
          <w:sz w:val="32"/>
          <w:szCs w:val="32"/>
        </w:rPr>
        <w:t>7. Burn Epochs — Competing for ETH</w:t>
      </w:r>
    </w:p>
    <w:p>
      <w:pPr>
        <w:pStyle w:val="Normal"/>
        <w:spacing w:lineRule="auto" w:line="276" w:before="0" w:after="120"/>
        <w:rPr/>
      </w:pPr>
      <w:r>
        <w:rPr>
          <w:rFonts w:eastAsia="Arial" w:cs="Arial"/>
          <w:color w:val="222222"/>
          <w:sz w:val="21"/>
          <w:szCs w:val="21"/>
        </w:rPr>
        <w:t>After Genesis ends and the contract creates the LP automatically, the competitive phase begins. Every 8 days, a new epoch starts. Users burn TitanX (1x weight) or DragonX (2x weight) into the epoch pool. At epoch end, ETH rewards are distributed proportionally to weighted burns.</w:t>
      </w:r>
    </w:p>
    <w:p>
      <w:pPr>
        <w:pStyle w:val="Heading2"/>
        <w:spacing w:before="240" w:after="160"/>
        <w:rPr/>
      </w:pPr>
      <w:r>
        <w:rPr>
          <w:rFonts w:eastAsia="Arial" w:cs="Arial" w:ascii="Arial" w:hAnsi="Arial"/>
          <w:b/>
          <w:bCs/>
          <w:color w:val="1A1A2E"/>
          <w:sz w:val="26"/>
          <w:szCs w:val="26"/>
        </w:rPr>
        <w:t>Practical Example: Bob Competes in Epoch 5</w:t>
      </w:r>
    </w:p>
    <w:p>
      <w:pPr>
        <w:pStyle w:val="Normal"/>
        <w:spacing w:lineRule="auto" w:line="276" w:before="0" w:after="120"/>
        <w:rPr/>
      </w:pPr>
      <w:r>
        <w:rPr>
          <w:rFonts w:eastAsia="Arial" w:cs="Arial"/>
          <w:color w:val="222222"/>
          <w:sz w:val="21"/>
          <w:szCs w:val="21"/>
        </w:rPr>
        <w:t>The epoch pool contains 10 ETH. Bob has been participating since Epoch 1, building a 5-epoch streak (2.0x multiplier). He burns 100,000 DragonX.</w:t>
      </w:r>
    </w:p>
    <w:p>
      <w:pPr>
        <w:pStyle w:val="Normal"/>
        <w:spacing w:before="200" w:after="120"/>
        <w:rPr/>
      </w:pPr>
      <w:r>
        <w:rPr>
          <w:rFonts w:eastAsia="Arial" w:cs="Arial"/>
          <w:b/>
          <w:bCs/>
          <w:color w:val="222222"/>
          <w:sz w:val="22"/>
          <w:szCs w:val="22"/>
        </w:rPr>
        <w:t>Bob’s weighted burn:</w:t>
      </w:r>
    </w:p>
    <w:p>
      <w:pPr>
        <w:pStyle w:val="Normal"/>
        <w:spacing w:lineRule="auto" w:line="276" w:before="0" w:after="120"/>
        <w:rPr/>
      </w:pPr>
      <w:r>
        <w:rPr>
          <w:rFonts w:eastAsia="Arial" w:cs="Arial"/>
          <w:color w:val="222222"/>
          <w:sz w:val="21"/>
          <w:szCs w:val="21"/>
        </w:rPr>
        <w:t>DragonX weight: 2x, Streak multiplier: 2.0x</w:t>
      </w:r>
    </w:p>
    <w:p>
      <w:pPr>
        <w:pStyle w:val="Normal"/>
        <w:spacing w:lineRule="auto" w:line="276" w:before="0" w:after="120"/>
        <w:rPr/>
      </w:pPr>
      <w:r>
        <w:rPr>
          <w:rFonts w:eastAsia="Arial" w:cs="Arial"/>
          <w:color w:val="222222"/>
          <w:sz w:val="21"/>
          <w:szCs w:val="21"/>
        </w:rPr>
        <w:t>Weighted burn: 100,000 × 2 × 2.0 = 400,000 weighted units</w:t>
      </w:r>
    </w:p>
    <w:p>
      <w:pPr>
        <w:pStyle w:val="Normal"/>
        <w:spacing w:lineRule="auto" w:line="276" w:before="0" w:after="120"/>
        <w:rPr/>
      </w:pPr>
      <w:r>
        <w:rPr>
          <w:rFonts w:eastAsia="Arial" w:cs="Arial"/>
          <w:color w:val="222222"/>
          <w:sz w:val="21"/>
          <w:szCs w:val="21"/>
        </w:rPr>
        <w:t>If total weighted burns in the epoch are 2,000,000, Bob’s share is 400,000 / 2,000,000 = 20%. He receives 20% of the 80% burner pool = 1.6 ETH.</w:t>
      </w:r>
    </w:p>
    <w:p>
      <w:pPr>
        <w:pStyle w:val="Normal"/>
        <w:spacing w:lineRule="auto" w:line="276" w:before="0" w:after="120"/>
        <w:rPr/>
      </w:pPr>
      <w:r>
        <w:rPr>
          <w:rFonts w:eastAsia="Arial" w:cs="Arial"/>
          <w:b/>
          <w:bCs/>
          <w:color w:val="222222"/>
          <w:sz w:val="21"/>
          <w:szCs w:val="21"/>
        </w:rPr>
        <w:t xml:space="preserve">Without streak: </w:t>
      </w:r>
      <w:r>
        <w:rPr>
          <w:rFonts w:eastAsia="Arial" w:cs="Arial"/>
          <w:color w:val="222222"/>
          <w:sz w:val="21"/>
          <w:szCs w:val="21"/>
        </w:rPr>
        <w:t>Only 200,000 weighted → half the share → only 0.8 ETH. The streak literally doubles his rewards.</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500"/>
        <w:gridCol w:w="2000"/>
        <w:gridCol w:w="1999"/>
        <w:gridCol w:w="2861"/>
      </w:tblGrid>
      <w:tr>
        <w:trPr/>
        <w:tc>
          <w:tcPr>
            <w:tcW w:w="2500" w:type="dxa"/>
            <w:tcBorders>
              <w:top w:val="single" w:sz="2" w:space="0" w:color="CCCCCC"/>
              <w:start w:val="single" w:sz="2" w:space="0" w:color="CCCCCC"/>
              <w:bottom w:val="single" w:sz="2" w:space="0" w:color="CCCCCC"/>
              <w:end w:val="single" w:sz="2" w:space="0" w:color="CCCCCC"/>
            </w:tcBorders>
            <w:shd w:fill="1A1A2E" w:val="clear"/>
          </w:tcPr>
          <w:p>
            <w:pPr>
              <w:pStyle w:val="Normal"/>
              <w:jc w:val="start"/>
              <w:rPr/>
            </w:pPr>
            <w:r>
              <w:rPr>
                <w:rFonts w:eastAsia="Arial" w:cs="Arial"/>
                <w:b/>
                <w:bCs/>
                <w:color w:val="FFFFFF"/>
                <w:sz w:val="20"/>
                <w:szCs w:val="20"/>
              </w:rPr>
              <w:t>Consecutive Epochs</w:t>
            </w:r>
          </w:p>
        </w:tc>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jc w:val="center"/>
              <w:rPr/>
            </w:pPr>
            <w:r>
              <w:rPr>
                <w:rFonts w:eastAsia="Arial" w:cs="Arial"/>
                <w:b/>
                <w:bCs/>
                <w:color w:val="FFFFFF"/>
                <w:sz w:val="20"/>
                <w:szCs w:val="20"/>
              </w:rPr>
              <w:t>Multiplier</w:t>
            </w:r>
          </w:p>
        </w:tc>
        <w:tc>
          <w:tcPr>
            <w:tcW w:w="1999" w:type="dxa"/>
            <w:tcBorders>
              <w:top w:val="single" w:sz="2" w:space="0" w:color="CCCCCC"/>
              <w:start w:val="single" w:sz="2" w:space="0" w:color="CCCCCC"/>
              <w:bottom w:val="single" w:sz="2" w:space="0" w:color="CCCCCC"/>
              <w:end w:val="single" w:sz="2" w:space="0" w:color="CCCCCC"/>
            </w:tcBorders>
            <w:shd w:fill="1A1A2E" w:val="clear"/>
          </w:tcPr>
          <w:p>
            <w:pPr>
              <w:pStyle w:val="Normal"/>
              <w:jc w:val="center"/>
              <w:rPr/>
            </w:pPr>
            <w:r>
              <w:rPr>
                <w:rFonts w:eastAsia="Arial" w:cs="Arial"/>
                <w:b/>
                <w:bCs/>
                <w:color w:val="FFFFFF"/>
                <w:sz w:val="20"/>
                <w:szCs w:val="20"/>
              </w:rPr>
              <w:t>Timeframe</w:t>
            </w:r>
          </w:p>
        </w:tc>
        <w:tc>
          <w:tcPr>
            <w:tcW w:w="2861" w:type="dxa"/>
            <w:tcBorders>
              <w:top w:val="single" w:sz="2" w:space="0" w:color="CCCCCC"/>
              <w:start w:val="single" w:sz="2" w:space="0" w:color="CCCCCC"/>
              <w:bottom w:val="single" w:sz="2" w:space="0" w:color="CCCCCC"/>
              <w:end w:val="single" w:sz="2" w:space="0" w:color="CCCCCC"/>
            </w:tcBorders>
            <w:shd w:fill="1A1A2E" w:val="clear"/>
          </w:tcPr>
          <w:p>
            <w:pPr>
              <w:pStyle w:val="Normal"/>
              <w:jc w:val="center"/>
              <w:rPr/>
            </w:pPr>
            <w:r>
              <w:rPr>
                <w:rFonts w:eastAsia="Arial" w:cs="Arial"/>
                <w:b/>
                <w:bCs/>
                <w:color w:val="FFFFFF"/>
                <w:sz w:val="20"/>
                <w:szCs w:val="20"/>
              </w:rPr>
              <w:t>Reward vs. 1.0x</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222222"/>
                <w:sz w:val="20"/>
                <w:szCs w:val="20"/>
              </w:rPr>
              <w:t>1</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20"/>
                <w:szCs w:val="20"/>
              </w:rPr>
              <w:t>1.0x</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20"/>
                <w:szCs w:val="20"/>
              </w:rPr>
              <w:t>8 days</w:t>
            </w:r>
          </w:p>
        </w:tc>
        <w:tc>
          <w:tcPr>
            <w:tcW w:w="2861"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20"/>
                <w:szCs w:val="20"/>
              </w:rPr>
              <w:t>Baseline</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222222"/>
                <w:sz w:val="20"/>
                <w:szCs w:val="20"/>
              </w:rPr>
              <w:t>3</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20"/>
                <w:szCs w:val="20"/>
              </w:rPr>
              <w:t>1.4x</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20"/>
                <w:szCs w:val="20"/>
              </w:rPr>
              <w:t>24 days</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20"/>
                <w:szCs w:val="20"/>
              </w:rPr>
              <w:t>+40%</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222222"/>
                <w:sz w:val="20"/>
                <w:szCs w:val="20"/>
              </w:rPr>
              <w:t>5</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20"/>
                <w:szCs w:val="20"/>
              </w:rPr>
              <w:t>1.8x</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20"/>
                <w:szCs w:val="20"/>
              </w:rPr>
              <w:t>40 days</w:t>
            </w:r>
          </w:p>
        </w:tc>
        <w:tc>
          <w:tcPr>
            <w:tcW w:w="2861"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20"/>
                <w:szCs w:val="20"/>
              </w:rPr>
              <w:t>+80%</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jc w:val="start"/>
              <w:rPr/>
            </w:pPr>
            <w:r>
              <w:rPr>
                <w:rFonts w:eastAsia="Arial" w:cs="Arial"/>
                <w:b w:val="false"/>
                <w:bCs w:val="false"/>
                <w:color w:val="222222"/>
                <w:sz w:val="20"/>
                <w:szCs w:val="20"/>
              </w:rPr>
              <w:t>8</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20"/>
                <w:szCs w:val="20"/>
              </w:rPr>
              <w:t>2.4x</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20"/>
                <w:szCs w:val="20"/>
              </w:rPr>
              <w:t>64 days</w:t>
            </w:r>
          </w:p>
        </w:tc>
        <w:tc>
          <w:tcPr>
            <w:tcW w:w="2861" w:type="dxa"/>
            <w:tcBorders>
              <w:top w:val="single" w:sz="2" w:space="0" w:color="CCCCCC"/>
              <w:start w:val="single" w:sz="2" w:space="0" w:color="CCCCCC"/>
              <w:bottom w:val="single" w:sz="2" w:space="0" w:color="CCCCCC"/>
              <w:end w:val="single" w:sz="2" w:space="0" w:color="CCCCCC"/>
            </w:tcBorders>
            <w:shd w:fill="FFFFFF" w:val="clear"/>
          </w:tcPr>
          <w:p>
            <w:pPr>
              <w:pStyle w:val="Normal"/>
              <w:jc w:val="center"/>
              <w:rPr/>
            </w:pPr>
            <w:r>
              <w:rPr>
                <w:rFonts w:eastAsia="Arial" w:cs="Arial"/>
                <w:b w:val="false"/>
                <w:bCs w:val="false"/>
                <w:color w:val="222222"/>
                <w:sz w:val="20"/>
                <w:szCs w:val="20"/>
              </w:rPr>
              <w:t>+140%</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jc w:val="start"/>
              <w:rPr/>
            </w:pPr>
            <w:r>
              <w:rPr>
                <w:rFonts w:eastAsia="Arial" w:cs="Arial"/>
                <w:b w:val="false"/>
                <w:bCs w:val="false"/>
                <w:color w:val="222222"/>
                <w:sz w:val="20"/>
                <w:szCs w:val="20"/>
              </w:rPr>
              <w:t>11+</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20"/>
                <w:szCs w:val="20"/>
              </w:rPr>
              <w:t>3.0x (MAX)</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20"/>
                <w:szCs w:val="20"/>
              </w:rPr>
              <w:t>88+ days</w:t>
            </w:r>
          </w:p>
        </w:tc>
        <w:tc>
          <w:tcPr>
            <w:tcW w:w="2861" w:type="dxa"/>
            <w:tcBorders>
              <w:top w:val="single" w:sz="2" w:space="0" w:color="CCCCCC"/>
              <w:start w:val="single" w:sz="2" w:space="0" w:color="CCCCCC"/>
              <w:bottom w:val="single" w:sz="2" w:space="0" w:color="CCCCCC"/>
              <w:end w:val="single" w:sz="2" w:space="0" w:color="CCCCCC"/>
            </w:tcBorders>
            <w:shd w:fill="F5F5F5" w:val="clear"/>
          </w:tcPr>
          <w:p>
            <w:pPr>
              <w:pStyle w:val="Normal"/>
              <w:jc w:val="center"/>
              <w:rPr/>
            </w:pPr>
            <w:r>
              <w:rPr>
                <w:rFonts w:eastAsia="Arial" w:cs="Arial"/>
                <w:b w:val="false"/>
                <w:bCs w:val="false"/>
                <w:color w:val="222222"/>
                <w:sz w:val="20"/>
                <w:szCs w:val="20"/>
              </w:rPr>
              <w:t>+200%</w:t>
            </w:r>
          </w:p>
        </w:tc>
      </w:tr>
    </w:tbl>
    <w:p>
      <w:pPr>
        <w:pStyle w:val="Normal"/>
        <w:rPr/>
      </w:pPr>
      <w:r>
        <w:rPr/>
      </w:r>
      <w:r>
        <w:br w:type="page"/>
      </w:r>
    </w:p>
    <w:p>
      <w:pPr>
        <w:pStyle w:val="Heading1"/>
        <w:spacing w:before="0" w:after="200"/>
        <w:rPr/>
      </w:pPr>
      <w:r>
        <w:rPr>
          <w:rFonts w:eastAsia="Arial" w:cs="Arial" w:ascii="Arial" w:hAnsi="Arial"/>
          <w:b/>
          <w:bCs/>
          <w:color w:val="C41E3A"/>
          <w:sz w:val="32"/>
          <w:szCs w:val="32"/>
        </w:rPr>
        <w:t>8. Staking &amp; Real Yield</w:t>
      </w:r>
    </w:p>
    <w:p>
      <w:pPr>
        <w:pStyle w:val="Normal"/>
        <w:spacing w:lineRule="auto" w:line="276" w:before="0" w:after="120"/>
        <w:rPr/>
      </w:pPr>
      <w:r>
        <w:rPr>
          <w:rFonts w:eastAsia="Arial" w:cs="Arial"/>
          <w:color w:val="222222"/>
          <w:sz w:val="21"/>
          <w:szCs w:val="21"/>
        </w:rPr>
        <w:t>HBURN staking offers real ETH yield — not inflationary token rewards, but actual ETH from TitanX staking payouts and the 20% epoch allocation.</w:t>
      </w:r>
    </w:p>
    <w:p>
      <w:pPr>
        <w:pStyle w:val="Normal"/>
        <w:spacing w:lineRule="auto" w:line="276" w:before="0" w:after="120"/>
        <w:rPr/>
      </w:pPr>
      <w:r>
        <w:rPr>
          <w:rFonts w:eastAsia="Arial" w:cs="Arial"/>
          <w:b/>
          <w:bCs/>
          <w:color w:val="222222"/>
          <w:sz w:val="21"/>
          <w:szCs w:val="21"/>
        </w:rPr>
        <w:t xml:space="preserve">Share Calculation: </w:t>
      </w:r>
      <w:r>
        <w:rPr>
          <w:rFonts w:eastAsia="Arial" w:cs="Arial"/>
          <w:color w:val="222222"/>
          <w:sz w:val="21"/>
          <w:szCs w:val="21"/>
        </w:rPr>
        <w:t>Shares = Amount × Time Bonus × Fuel Bonus × Loyalty Bonus</w:t>
      </w:r>
    </w:p>
    <w:p>
      <w:pPr>
        <w:pStyle w:val="Heading2"/>
        <w:spacing w:before="240" w:after="160"/>
        <w:rPr/>
      </w:pPr>
      <w:r>
        <w:rPr>
          <w:rFonts w:eastAsia="Arial" w:cs="Arial" w:ascii="Arial" w:hAnsi="Arial"/>
          <w:b/>
          <w:bCs/>
          <w:color w:val="1A1A2E"/>
          <w:sz w:val="26"/>
          <w:szCs w:val="26"/>
        </w:rPr>
        <w:t>Practical Example: Carol Stakes for Gold Tier</w:t>
      </w:r>
    </w:p>
    <w:p>
      <w:pPr>
        <w:pStyle w:val="Normal"/>
        <w:spacing w:lineRule="auto" w:line="276" w:before="0" w:after="120"/>
        <w:rPr/>
      </w:pPr>
      <w:r>
        <w:rPr>
          <w:rFonts w:eastAsia="Arial" w:cs="Arial"/>
          <w:color w:val="222222"/>
          <w:sz w:val="21"/>
          <w:szCs w:val="21"/>
        </w:rPr>
        <w:t>Carol has 500,000 HBURN and stakes for 369 days (Gold tier). She also adds fuel by burning 200,000 TitanX. She has completed 1 previous stake (loyalty bonus: 1.1x).</w:t>
      </w:r>
    </w:p>
    <w:p>
      <w:pPr>
        <w:pStyle w:val="Normal"/>
        <w:spacing w:lineRule="auto" w:line="276" w:before="0" w:after="120"/>
        <w:rPr/>
      </w:pPr>
      <w:r>
        <w:rPr>
          <w:rFonts w:eastAsia="Arial" w:cs="Arial"/>
          <w:color w:val="222222"/>
          <w:sz w:val="21"/>
          <w:szCs w:val="21"/>
        </w:rPr>
        <w:t>Amount: 500,000 HBURN × Time bonus: 1.8x (Gold) × Fuel bonus: 1.25x × Loyalty: 1.1x = 1,237,500 shares.</w:t>
      </w:r>
    </w:p>
    <w:p>
      <w:pPr>
        <w:pStyle w:val="Normal"/>
        <w:spacing w:lineRule="auto" w:line="276" w:before="0" w:after="120"/>
        <w:rPr/>
      </w:pPr>
      <w:r>
        <w:rPr>
          <w:rFonts w:eastAsia="Arial" w:cs="Arial"/>
          <w:b/>
          <w:bCs/>
          <w:color w:val="222222"/>
          <w:sz w:val="21"/>
          <w:szCs w:val="21"/>
        </w:rPr>
        <w:t xml:space="preserve">Without optimization: </w:t>
      </w:r>
      <w:r>
        <w:rPr>
          <w:rFonts w:eastAsia="Arial" w:cs="Arial"/>
          <w:color w:val="222222"/>
          <w:sz w:val="21"/>
          <w:szCs w:val="21"/>
        </w:rPr>
        <w:t>A Bronze stake (28 days) without fuel or loyalty would yield only 500,000 shares. Carol’s optimized strategy gives her 2.475x more ETH rewards from the same initial HBURN investment.</w:t>
      </w:r>
    </w:p>
    <w:p>
      <w:pPr>
        <w:pStyle w:val="Heading2"/>
        <w:spacing w:before="240" w:after="160"/>
        <w:rPr/>
      </w:pPr>
      <w:r>
        <w:rPr>
          <w:rFonts w:eastAsia="Arial" w:cs="Arial" w:ascii="Arial" w:hAnsi="Arial"/>
          <w:b/>
          <w:bCs/>
          <w:color w:val="1A1A2E"/>
          <w:sz w:val="26"/>
          <w:szCs w:val="26"/>
        </w:rPr>
        <w:t>Penalty System</w:t>
      </w:r>
    </w:p>
    <w:tbl>
      <w:tblPr>
        <w:tblW w:w="9360" w:type="dxa"/>
        <w:jc w:val="start"/>
        <w:tblInd w:w="0" w:type="dxa"/>
        <w:tblLayout w:type="fixed"/>
        <w:tblCellMar>
          <w:top w:w="80" w:type="dxa"/>
          <w:start w:w="120" w:type="dxa"/>
          <w:bottom w:w="80" w:type="dxa"/>
          <w:end w:w="120" w:type="dxa"/>
        </w:tblCellMar>
      </w:tblPr>
      <w:tblGrid>
        <w:gridCol w:w="1500"/>
        <w:gridCol w:w="1999"/>
        <w:gridCol w:w="2201"/>
        <w:gridCol w:w="3660"/>
      </w:tblGrid>
      <w:tr>
        <w:trPr/>
        <w:tc>
          <w:tcPr>
            <w:tcW w:w="15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Maturity</w:t>
            </w:r>
          </w:p>
        </w:tc>
        <w:tc>
          <w:tcPr>
            <w:tcW w:w="19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Status</w:t>
            </w:r>
          </w:p>
        </w:tc>
        <w:tc>
          <w:tcPr>
            <w:tcW w:w="220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Penalty</w:t>
            </w:r>
          </w:p>
        </w:tc>
        <w:tc>
          <w:tcPr>
            <w:tcW w:w="36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What Happens</w:t>
            </w:r>
          </w:p>
        </w:tc>
      </w:tr>
      <w:tr>
        <w:trPr/>
        <w:tc>
          <w:tcPr>
            <w:tcW w:w="1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0-49%</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Locked</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Cannot unstake</w:t>
            </w:r>
          </w:p>
        </w:tc>
        <w:tc>
          <w:tcPr>
            <w:tcW w:w="36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Must wait</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50%</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Earliest exit</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~100%</w:t>
            </w:r>
          </w:p>
        </w:tc>
        <w:tc>
          <w:tcPr>
            <w:tcW w:w="36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Nearly all HBURN lost</w:t>
            </w:r>
          </w:p>
        </w:tc>
      </w:tr>
      <w:tr>
        <w:trPr/>
        <w:tc>
          <w:tcPr>
            <w:tcW w:w="1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75%</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Mid-maturity</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~50%</w:t>
            </w:r>
          </w:p>
        </w:tc>
        <w:tc>
          <w:tcPr>
            <w:tcW w:w="36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Half returned, half penalized</w:t>
            </w:r>
          </w:p>
        </w:tc>
      </w:tr>
      <w:tr>
        <w:trPr/>
        <w:tc>
          <w:tcPr>
            <w:tcW w:w="1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100%</w:t>
            </w:r>
          </w:p>
        </w:tc>
        <w:tc>
          <w:tcPr>
            <w:tcW w:w="19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Mature</w:t>
            </w:r>
          </w:p>
        </w:tc>
        <w:tc>
          <w:tcPr>
            <w:tcW w:w="22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0%</w:t>
            </w:r>
          </w:p>
        </w:tc>
        <w:tc>
          <w:tcPr>
            <w:tcW w:w="36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Full HBURN + ETH rewards</w:t>
            </w:r>
          </w:p>
        </w:tc>
      </w:tr>
      <w:tr>
        <w:trPr/>
        <w:tc>
          <w:tcPr>
            <w:tcW w:w="1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100%+7d</w:t>
            </w:r>
          </w:p>
        </w:tc>
        <w:tc>
          <w:tcPr>
            <w:tcW w:w="19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Grace period</w:t>
            </w:r>
          </w:p>
        </w:tc>
        <w:tc>
          <w:tcPr>
            <w:tcW w:w="22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0%</w:t>
            </w:r>
          </w:p>
        </w:tc>
        <w:tc>
          <w:tcPr>
            <w:tcW w:w="36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Optimal exit window</w:t>
            </w:r>
          </w:p>
        </w:tc>
      </w:tr>
    </w:tbl>
    <w:p>
      <w:pPr>
        <w:pStyle w:val="Normal"/>
        <w:spacing w:before="0" w:after="60"/>
        <w:rPr/>
      </w:pPr>
      <w:r>
        <w:rPr/>
      </w:r>
    </w:p>
    <w:p>
      <w:pPr>
        <w:pStyle w:val="Normal"/>
        <w:spacing w:lineRule="auto" w:line="276" w:before="0" w:after="120"/>
        <w:rPr/>
      </w:pPr>
      <w:r>
        <w:rPr>
          <w:rFonts w:eastAsia="Arial" w:cs="Arial"/>
          <w:color w:val="222222"/>
          <w:sz w:val="21"/>
          <w:szCs w:val="21"/>
        </w:rPr>
        <w:t>Penalty distribution: 50% of penalized HBURN is permanently burned (deflation), 50% stays in the staking contract (rewards remaining stakers).</w:t>
      </w:r>
    </w:p>
    <w:p>
      <w:pPr>
        <w:pStyle w:val="Normal"/>
        <w:rPr/>
      </w:pPr>
      <w:r>
        <w:rPr/>
      </w:r>
      <w:r>
        <w:br w:type="page"/>
      </w:r>
    </w:p>
    <w:p>
      <w:pPr>
        <w:pStyle w:val="Heading1"/>
        <w:spacing w:before="0" w:after="200"/>
        <w:rPr/>
      </w:pPr>
      <w:r>
        <w:rPr>
          <w:rFonts w:eastAsia="Arial" w:cs="Arial" w:ascii="Arial" w:hAnsi="Arial"/>
          <w:b/>
          <w:bCs/>
          <w:color w:val="C41E3A"/>
          <w:sz w:val="32"/>
          <w:szCs w:val="32"/>
        </w:rPr>
        <w:t>9. Tokenomics Deep Dive</w:t>
      </w:r>
    </w:p>
    <w:tbl>
      <w:tblPr>
        <w:tblW w:w="9360" w:type="dxa"/>
        <w:jc w:val="start"/>
        <w:tblInd w:w="0" w:type="dxa"/>
        <w:tblLayout w:type="fixed"/>
        <w:tblCellMar>
          <w:top w:w="80" w:type="dxa"/>
          <w:start w:w="120" w:type="dxa"/>
          <w:bottom w:w="80" w:type="dxa"/>
          <w:end w:w="120" w:type="dxa"/>
        </w:tblCellMar>
      </w:tblPr>
      <w:tblGrid>
        <w:gridCol w:w="3499"/>
        <w:gridCol w:w="5861"/>
      </w:tblGrid>
      <w:tr>
        <w:trPr/>
        <w:tc>
          <w:tcPr>
            <w:tcW w:w="34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Parameter</w:t>
            </w:r>
          </w:p>
        </w:tc>
        <w:tc>
          <w:tcPr>
            <w:tcW w:w="58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color w:val="FFFFFF"/>
                <w:sz w:val="20"/>
                <w:szCs w:val="20"/>
              </w:rPr>
              <w:t>Value</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Name</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HellBurn</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Ticker</w:t>
            </w:r>
          </w:p>
        </w:tc>
        <w:tc>
          <w:tcPr>
            <w:tcW w:w="5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HBURN</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Standard</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ERC-20 (Ethereum)</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Total Supply</w:t>
            </w:r>
          </w:p>
        </w:tc>
        <w:tc>
          <w:tcPr>
            <w:tcW w:w="5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Determined by Genesis (then permanently fixed)</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Inflation Rate</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0% — no further minting possible after Genesis</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LP Reserve</w:t>
            </w:r>
          </w:p>
        </w:tc>
        <w:tc>
          <w:tcPr>
            <w:tcW w:w="5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3% of minted HBURN → contract-created Uniswap V3 LP</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Admin Keys</w:t>
            </w:r>
          </w:p>
        </w:tc>
        <w:tc>
          <w:tcPr>
            <w:tcW w:w="5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color w:val="222222"/>
                <w:sz w:val="20"/>
                <w:szCs w:val="20"/>
              </w:rPr>
              <w:t>None — fully decentralized, no owner functions</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Deflationary Forces</w:t>
            </w:r>
          </w:p>
        </w:tc>
        <w:tc>
          <w:tcPr>
            <w:tcW w:w="5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color w:val="222222"/>
                <w:sz w:val="20"/>
                <w:szCs w:val="20"/>
              </w:rPr>
              <w:t>Buy &amp; Burn (20% of epoch ETH), penalties, fuel burns, LP fee burns</w:t>
            </w:r>
          </w:p>
        </w:tc>
      </w:tr>
    </w:tbl>
    <w:p>
      <w:pPr>
        <w:pStyle w:val="Heading2"/>
        <w:spacing w:before="240" w:after="160"/>
        <w:rPr/>
      </w:pPr>
      <w:r>
        <w:rPr>
          <w:rFonts w:eastAsia="Arial" w:cs="Arial" w:ascii="Arial" w:hAnsi="Arial"/>
          <w:b/>
          <w:bCs/>
          <w:color w:val="1A1A2E"/>
          <w:sz w:val="26"/>
          <w:szCs w:val="26"/>
        </w:rPr>
        <w:t>TitanX Distribution During Genesis</w:t>
      </w:r>
    </w:p>
    <w:tbl>
      <w:tblPr>
        <w:tblW w:w="9360" w:type="dxa"/>
        <w:jc w:val="start"/>
        <w:tblInd w:w="0" w:type="dxa"/>
        <w:tblLayout w:type="fixed"/>
        <w:tblCellMar>
          <w:top w:w="80" w:type="dxa"/>
          <w:start w:w="120" w:type="dxa"/>
          <w:bottom w:w="80" w:type="dxa"/>
          <w:end w:w="120" w:type="dxa"/>
        </w:tblCellMar>
      </w:tblPr>
      <w:tblGrid>
        <w:gridCol w:w="3499"/>
        <w:gridCol w:w="2000"/>
        <w:gridCol w:w="3861"/>
      </w:tblGrid>
      <w:tr>
        <w:trPr/>
        <w:tc>
          <w:tcPr>
            <w:tcW w:w="34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Destination</w:t>
            </w:r>
          </w:p>
        </w:tc>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Share</w:t>
            </w:r>
          </w:p>
        </w:tc>
        <w:tc>
          <w:tcPr>
            <w:tcW w:w="38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Purpose</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Permanent Burn</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35%</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Sent to dead address — gone forever</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DragonX Vault</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35%</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Buys &amp; locks DragonX</w:t>
            </w:r>
          </w:p>
        </w:tc>
      </w:tr>
      <w:tr>
        <w:trPr/>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Treasury</w:t>
            </w:r>
          </w:p>
        </w:tc>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22%</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Max-staked for 3,500 days → ETH yield</w:t>
            </w:r>
          </w:p>
        </w:tc>
      </w:tr>
      <w:tr>
        <w:trPr/>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Genesis Fund (LP)</w:t>
            </w:r>
          </w:p>
        </w:tc>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8%</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Stays in contract → swapped to WETH for LP</w:t>
            </w:r>
          </w:p>
        </w:tc>
      </w:tr>
    </w:tbl>
    <w:p>
      <w:pPr>
        <w:pStyle w:val="Heading2"/>
        <w:spacing w:before="240" w:after="160"/>
        <w:rPr/>
      </w:pPr>
      <w:r>
        <w:rPr>
          <w:rFonts w:eastAsia="Arial" w:cs="Arial" w:ascii="Arial" w:hAnsi="Arial"/>
          <w:b/>
          <w:bCs/>
          <w:color w:val="1A1A2E"/>
          <w:sz w:val="26"/>
          <w:szCs w:val="26"/>
        </w:rPr>
        <w:t>Supply Projection</w:t>
      </w:r>
    </w:p>
    <w:p>
      <w:pPr>
        <w:pStyle w:val="Normal"/>
        <w:spacing w:lineRule="auto" w:line="276" w:before="0" w:after="120"/>
        <w:rPr/>
      </w:pPr>
      <w:r>
        <w:rPr>
          <w:rFonts w:eastAsia="Arial" w:cs="Arial"/>
          <w:color w:val="222222"/>
          <w:sz w:val="21"/>
          <w:szCs w:val="21"/>
        </w:rPr>
        <w:t>HBURN is purely deflationary after Genesis. The supply can only decrease through four mechanisms: (1) Buy &amp; Burn: 20% of all epoch ETH is used to buy HBURN on Uniswap and burn it permanently. (2) Early unstake penalties: 50% of penalty is burned. (3) Fuel mechanism: TitanX/DragonX burned for fuel removes tokens from circulation. (4) LP fee burns: HBURN fees from the locked LP position are collected and burned.</w:t>
      </w:r>
    </w:p>
    <w:p>
      <w:pPr>
        <w:pStyle w:val="Normal"/>
        <w:rPr/>
      </w:pPr>
      <w:r>
        <w:rPr/>
      </w:r>
      <w:r>
        <w:br w:type="page"/>
      </w:r>
    </w:p>
    <w:p>
      <w:pPr>
        <w:pStyle w:val="Heading1"/>
        <w:spacing w:before="0" w:after="200"/>
        <w:rPr/>
      </w:pPr>
      <w:r>
        <w:rPr>
          <w:rFonts w:eastAsia="Arial" w:cs="Arial" w:ascii="Arial" w:hAnsi="Arial"/>
          <w:b/>
          <w:bCs/>
          <w:color w:val="C41E3A"/>
          <w:sz w:val="32"/>
          <w:szCs w:val="32"/>
        </w:rPr>
        <w:t>10. Day 888 Strategy — The Catalyst Event</w:t>
      </w:r>
    </w:p>
    <w:p>
      <w:pPr>
        <w:pStyle w:val="Normal"/>
        <w:spacing w:lineRule="auto" w:line="276" w:before="0" w:after="120"/>
        <w:rPr/>
      </w:pPr>
      <w:r>
        <w:rPr>
          <w:rFonts w:eastAsia="Arial" w:cs="Arial"/>
          <w:color w:val="222222"/>
          <w:sz w:val="21"/>
          <w:szCs w:val="21"/>
        </w:rPr>
        <w:t>TitanX Day 888 is the single largest payout event in the protocol’s history. Currently, approximately 727 ETH (~$2.39M) sits in the 888-Day Payout Pool, representing 50.6% of the total cycle reward pool.</w:t>
      </w:r>
    </w:p>
    <w:p>
      <w:pPr>
        <w:pStyle w:val="Normal"/>
        <w:spacing w:lineRule="auto" w:line="276" w:before="0" w:after="120"/>
        <w:rPr/>
      </w:pPr>
      <w:r>
        <w:rPr>
          <w:rFonts w:eastAsia="Arial" w:cs="Arial"/>
          <w:b/>
          <w:bCs/>
          <w:color w:val="222222"/>
          <w:sz w:val="21"/>
          <w:szCs w:val="21"/>
        </w:rPr>
        <w:t xml:space="preserve">HellBurn’s Strategy: </w:t>
      </w:r>
      <w:r>
        <w:rPr>
          <w:rFonts w:eastAsia="Arial" w:cs="Arial"/>
          <w:color w:val="222222"/>
          <w:sz w:val="21"/>
          <w:szCs w:val="21"/>
        </w:rPr>
        <w:t>Launch Genesis before Day 888. All collected TitanX is immediately max-staked to build the largest possible share allocation. When the 888 payout triggers, the HellBurn treasury receives its proportional ETH share. This ETH flows into the first Burn Epochs, creating an extremely attractive reward pool — a powerful marketing event.</w:t>
      </w:r>
    </w:p>
    <w:p>
      <w:pPr>
        <w:pStyle w:val="Normal"/>
        <w:spacing w:before="0" w:after="100"/>
        <w:rPr/>
      </w:pPr>
      <w:r>
        <w:rPr/>
      </w:r>
    </w:p>
    <w:tbl>
      <w:tblPr>
        <w:tblW w:w="9360" w:type="dxa"/>
        <w:jc w:val="start"/>
        <w:tblInd w:w="0" w:type="dxa"/>
        <w:tblLayout w:type="fixed"/>
        <w:tblCellMar>
          <w:top w:w="80" w:type="dxa"/>
          <w:start w:w="120" w:type="dxa"/>
          <w:bottom w:w="80" w:type="dxa"/>
          <w:end w:w="120" w:type="dxa"/>
        </w:tblCellMar>
      </w:tblPr>
      <w:tblGrid>
        <w:gridCol w:w="2000"/>
        <w:gridCol w:w="3000"/>
        <w:gridCol w:w="4360"/>
      </w:tblGrid>
      <w:tr>
        <w:trPr/>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Timeframe</w:t>
            </w:r>
          </w:p>
        </w:tc>
        <w:tc>
          <w:tcPr>
            <w:tcW w:w="3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Event</w:t>
            </w:r>
          </w:p>
        </w:tc>
        <w:tc>
          <w:tcPr>
            <w:tcW w:w="43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Action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~Day 852</w:t>
            </w:r>
          </w:p>
        </w:tc>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Contract Deployment</w:t>
            </w:r>
          </w:p>
        </w:tc>
        <w:tc>
          <w:tcPr>
            <w:tcW w:w="4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Deploy, audit, Fair Launch code verified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~Day 855</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Genesis Start</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28-day minting, TitanX immediately staked</w:t>
            </w:r>
          </w:p>
        </w:tc>
      </w:tr>
      <w:tr>
        <w:trPr/>
        <w:tc>
          <w:tcPr>
            <w:tcW w:w="2000" w:type="dxa"/>
            <w:tcBorders>
              <w:top w:val="single" w:sz="2" w:space="0" w:color="CCCCCC"/>
              <w:start w:val="single" w:sz="2" w:space="0" w:color="CCCCCC"/>
              <w:bottom w:val="single" w:sz="2" w:space="0" w:color="CCCCCC"/>
              <w:end w:val="single" w:sz="2" w:space="0" w:color="CCCCCC"/>
            </w:tcBorders>
            <w:shd w:fill="FFF3E0" w:val="clear"/>
          </w:tcPr>
          <w:p>
            <w:pPr>
              <w:pStyle w:val="Normal"/>
              <w:rPr/>
            </w:pPr>
            <w:r>
              <w:rPr>
                <w:rFonts w:eastAsia="Arial" w:cs="Arial"/>
                <w:b/>
                <w:bCs/>
                <w:color w:val="222222"/>
                <w:sz w:val="20"/>
                <w:szCs w:val="20"/>
              </w:rPr>
              <w:t>Day 888</w:t>
            </w:r>
          </w:p>
        </w:tc>
        <w:tc>
          <w:tcPr>
            <w:tcW w:w="3000" w:type="dxa"/>
            <w:tcBorders>
              <w:top w:val="single" w:sz="2" w:space="0" w:color="CCCCCC"/>
              <w:start w:val="single" w:sz="2" w:space="0" w:color="CCCCCC"/>
              <w:bottom w:val="single" w:sz="2" w:space="0" w:color="CCCCCC"/>
              <w:end w:val="single" w:sz="2" w:space="0" w:color="CCCCCC"/>
            </w:tcBorders>
            <w:shd w:fill="FFF3E0" w:val="clear"/>
          </w:tcPr>
          <w:p>
            <w:pPr>
              <w:pStyle w:val="Normal"/>
              <w:rPr/>
            </w:pPr>
            <w:r>
              <w:rPr>
                <w:rFonts w:eastAsia="Arial" w:cs="Arial"/>
                <w:b/>
                <w:bCs/>
                <w:color w:val="222222"/>
                <w:sz w:val="20"/>
                <w:szCs w:val="20"/>
              </w:rPr>
              <w:t>MEGA PAYOUT</w:t>
            </w:r>
          </w:p>
        </w:tc>
        <w:tc>
          <w:tcPr>
            <w:tcW w:w="4360" w:type="dxa"/>
            <w:tcBorders>
              <w:top w:val="single" w:sz="2" w:space="0" w:color="CCCCCC"/>
              <w:start w:val="single" w:sz="2" w:space="0" w:color="CCCCCC"/>
              <w:bottom w:val="single" w:sz="2" w:space="0" w:color="CCCCCC"/>
              <w:end w:val="single" w:sz="2" w:space="0" w:color="CCCCCC"/>
            </w:tcBorders>
            <w:shd w:fill="FFF3E0" w:val="clear"/>
          </w:tcPr>
          <w:p>
            <w:pPr>
              <w:pStyle w:val="Normal"/>
              <w:rPr/>
            </w:pPr>
            <w:r>
              <w:rPr>
                <w:rFonts w:eastAsia="Arial" w:cs="Arial"/>
                <w:b/>
                <w:bCs/>
                <w:color w:val="222222"/>
                <w:sz w:val="20"/>
                <w:szCs w:val="20"/>
              </w:rPr>
              <w:t>Treasury receives share of 727 ETH pool</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Day 888+</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Burn Cascade</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ETH buys &amp; burns TitanX, DragonX, HBURN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~Day 883</w:t>
            </w:r>
          </w:p>
        </w:tc>
        <w:tc>
          <w:tcPr>
            <w:tcW w:w="3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Genesis End</w:t>
            </w:r>
          </w:p>
        </w:tc>
        <w:tc>
          <w:tcPr>
            <w:tcW w:w="43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Contract auto-creates Uniswap LP (Fair Launch)</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~Day 896</w:t>
            </w:r>
          </w:p>
        </w:tc>
        <w:tc>
          <w:tcPr>
            <w:tcW w:w="3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Epoch 1</w:t>
            </w:r>
          </w:p>
        </w:tc>
        <w:tc>
          <w:tcPr>
            <w:tcW w:w="43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First Burn Epoch with massive ETH pool</w:t>
            </w:r>
          </w:p>
        </w:tc>
      </w:tr>
    </w:tbl>
    <w:p>
      <w:pPr>
        <w:pStyle w:val="Normal"/>
        <w:rPr/>
      </w:pPr>
      <w:r>
        <w:rPr/>
      </w:r>
      <w:r>
        <w:br w:type="page"/>
      </w:r>
    </w:p>
    <w:p>
      <w:pPr>
        <w:pStyle w:val="Heading1"/>
        <w:spacing w:before="0" w:after="200"/>
        <w:rPr/>
      </w:pPr>
      <w:r>
        <w:rPr>
          <w:rFonts w:eastAsia="Arial" w:cs="Arial" w:ascii="Arial" w:hAnsi="Arial"/>
          <w:b/>
          <w:bCs/>
          <w:color w:val="C41E3A"/>
          <w:sz w:val="32"/>
          <w:szCs w:val="32"/>
        </w:rPr>
        <w:t>11. Anti-Dump Mechanisms</w:t>
      </w:r>
    </w:p>
    <w:p>
      <w:pPr>
        <w:pStyle w:val="Normal"/>
        <w:spacing w:lineRule="auto" w:line="276" w:before="0" w:after="120"/>
        <w:rPr/>
      </w:pPr>
      <w:r>
        <w:rPr>
          <w:rFonts w:eastAsia="Arial" w:cs="Arial"/>
          <w:color w:val="222222"/>
          <w:sz w:val="21"/>
          <w:szCs w:val="21"/>
        </w:rPr>
        <w:t>HellBurn implements a five-layer anti-dump system that prevents the classic post-minting sell-off:</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Layer</w:t>
            </w:r>
          </w:p>
        </w:tc>
        <w:tc>
          <w:tcPr>
            <w:tcW w:w="34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Mechanism</w:t>
            </w:r>
          </w:p>
        </w:tc>
        <w:tc>
          <w:tcPr>
            <w:tcW w:w="38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Effect</w:t>
            </w:r>
          </w:p>
        </w:tc>
      </w:tr>
      <w:tr>
        <w:trPr/>
        <w:tc>
          <w:tcPr>
            <w:tcW w:w="2000" w:type="dxa"/>
            <w:tcBorders>
              <w:top w:val="single" w:sz="2" w:space="0" w:color="CCCCCC"/>
              <w:start w:val="single" w:sz="2" w:space="0" w:color="CCCCCC"/>
              <w:bottom w:val="single" w:sz="2" w:space="0" w:color="CCCCCC"/>
              <w:end w:val="single" w:sz="2" w:space="0" w:color="CCCCCC"/>
            </w:tcBorders>
            <w:shd w:fill="FFF3E0" w:val="clear"/>
          </w:tcPr>
          <w:p>
            <w:pPr>
              <w:pStyle w:val="Normal"/>
              <w:rPr/>
            </w:pPr>
            <w:r>
              <w:rPr>
                <w:rFonts w:eastAsia="Arial" w:cs="Arial"/>
                <w:b/>
                <w:bCs/>
                <w:color w:val="222222"/>
                <w:sz w:val="20"/>
                <w:szCs w:val="20"/>
              </w:rPr>
              <w:t>1. Fair Launch</w:t>
            </w:r>
          </w:p>
        </w:tc>
        <w:tc>
          <w:tcPr>
            <w:tcW w:w="3499" w:type="dxa"/>
            <w:tcBorders>
              <w:top w:val="single" w:sz="2" w:space="0" w:color="CCCCCC"/>
              <w:start w:val="single" w:sz="2" w:space="0" w:color="CCCCCC"/>
              <w:bottom w:val="single" w:sz="2" w:space="0" w:color="CCCCCC"/>
              <w:end w:val="single" w:sz="2" w:space="0" w:color="CCCCCC"/>
            </w:tcBorders>
            <w:shd w:fill="FFF3E0" w:val="clear"/>
          </w:tcPr>
          <w:p>
            <w:pPr>
              <w:pStyle w:val="Normal"/>
              <w:rPr/>
            </w:pPr>
            <w:r>
              <w:rPr>
                <w:rFonts w:eastAsia="Arial" w:cs="Arial"/>
                <w:b w:val="false"/>
                <w:bCs w:val="false"/>
                <w:color w:val="222222"/>
                <w:sz w:val="20"/>
                <w:szCs w:val="20"/>
              </w:rPr>
              <w:t>Contract-created LP, no insider tokens</w:t>
            </w:r>
          </w:p>
        </w:tc>
        <w:tc>
          <w:tcPr>
            <w:tcW w:w="3861" w:type="dxa"/>
            <w:tcBorders>
              <w:top w:val="single" w:sz="2" w:space="0" w:color="CCCCCC"/>
              <w:start w:val="single" w:sz="2" w:space="0" w:color="CCCCCC"/>
              <w:bottom w:val="single" w:sz="2" w:space="0" w:color="CCCCCC"/>
              <w:end w:val="single" w:sz="2" w:space="0" w:color="CCCCCC"/>
            </w:tcBorders>
            <w:shd w:fill="FFF3E0" w:val="clear"/>
          </w:tcPr>
          <w:p>
            <w:pPr>
              <w:pStyle w:val="Normal"/>
              <w:rPr/>
            </w:pPr>
            <w:r>
              <w:rPr>
                <w:rFonts w:eastAsia="Arial" w:cs="Arial"/>
                <w:b w:val="false"/>
                <w:bCs w:val="false"/>
                <w:color w:val="222222"/>
                <w:sz w:val="20"/>
                <w:szCs w:val="20"/>
              </w:rPr>
              <w:t>No pre-mine dump possible</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2. Vesting</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25% instant, 75% vested over 28 days</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No Day-1 massive dump possible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3. Penalties</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Locked until 50% maturity, sliding penalty</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Early exits cost up to 50% (burned)</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4. Loyalty</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1.1x bonus on restake, Phoenix at 3 restakes</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Incentivizes holding &amp; restaking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5. Buy &amp; Burn</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20% of all epoch ETH buys &amp; burns HBURN</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Constant buying pressure on market</w:t>
            </w:r>
          </w:p>
        </w:tc>
      </w:tr>
    </w:tbl>
    <w:p>
      <w:pPr>
        <w:pStyle w:val="Normal"/>
        <w:rPr/>
      </w:pPr>
      <w:r>
        <w:rPr/>
      </w:r>
      <w:r>
        <w:br w:type="page"/>
      </w:r>
    </w:p>
    <w:p>
      <w:pPr>
        <w:pStyle w:val="Heading1"/>
        <w:spacing w:before="0" w:after="200"/>
        <w:rPr/>
      </w:pPr>
      <w:r>
        <w:rPr>
          <w:rFonts w:eastAsia="Arial" w:cs="Arial" w:ascii="Arial" w:hAnsi="Arial"/>
          <w:b/>
          <w:bCs/>
          <w:color w:val="C41E3A"/>
          <w:sz w:val="32"/>
          <w:szCs w:val="32"/>
        </w:rPr>
        <w:t>12. 12-Month Projections</w:t>
      </w:r>
    </w:p>
    <w:p>
      <w:pPr>
        <w:pStyle w:val="Normal"/>
        <w:spacing w:lineRule="auto" w:line="276" w:before="0" w:after="120"/>
        <w:rPr/>
      </w:pPr>
      <w:r>
        <w:rPr>
          <w:rFonts w:eastAsia="Arial" w:cs="Arial"/>
          <w:b/>
          <w:bCs/>
          <w:color w:val="C41E3A"/>
          <w:sz w:val="21"/>
          <w:szCs w:val="21"/>
        </w:rPr>
        <w:t xml:space="preserve">IMPORTANT: </w:t>
      </w:r>
      <w:r>
        <w:rPr>
          <w:rFonts w:eastAsia="Arial" w:cs="Arial"/>
          <w:color w:val="222222"/>
          <w:sz w:val="21"/>
          <w:szCs w:val="21"/>
        </w:rPr>
        <w:t>The following projections are hypothetical scenarios for illustration only. They are NOT financial advice or guarantees. Actual results will depend on market conditions, adoption, and many unpredictable factors.</w:t>
      </w:r>
    </w:p>
    <w:p>
      <w:pPr>
        <w:pStyle w:val="Heading2"/>
        <w:spacing w:before="240" w:after="160"/>
        <w:rPr/>
      </w:pPr>
      <w:r>
        <w:rPr>
          <w:rFonts w:eastAsia="Arial" w:cs="Arial" w:ascii="Arial" w:hAnsi="Arial"/>
          <w:b/>
          <w:bCs/>
          <w:color w:val="1A1A2E"/>
          <w:sz w:val="26"/>
          <w:szCs w:val="26"/>
        </w:rPr>
        <w:t>Assumptions</w:t>
      </w:r>
    </w:p>
    <w:tbl>
      <w:tblPr>
        <w:tblW w:w="9360" w:type="dxa"/>
        <w:jc w:val="start"/>
        <w:tblInd w:w="0" w:type="dxa"/>
        <w:tblLayout w:type="fixed"/>
        <w:tblCellMar>
          <w:top w:w="80" w:type="dxa"/>
          <w:start w:w="120" w:type="dxa"/>
          <w:bottom w:w="80" w:type="dxa"/>
          <w:end w:w="120" w:type="dxa"/>
        </w:tblCellMar>
      </w:tblPr>
      <w:tblGrid>
        <w:gridCol w:w="2500"/>
        <w:gridCol w:w="2299"/>
        <w:gridCol w:w="2300"/>
        <w:gridCol w:w="2261"/>
      </w:tblGrid>
      <w:tr>
        <w:trPr/>
        <w:tc>
          <w:tcPr>
            <w:tcW w:w="25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19"/>
                <w:szCs w:val="19"/>
              </w:rPr>
              <w:t>Factor</w:t>
            </w:r>
          </w:p>
        </w:tc>
        <w:tc>
          <w:tcPr>
            <w:tcW w:w="22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19"/>
                <w:szCs w:val="19"/>
              </w:rPr>
              <w:t>Best Case</w:t>
            </w:r>
          </w:p>
        </w:tc>
        <w:tc>
          <w:tcPr>
            <w:tcW w:w="23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19"/>
                <w:szCs w:val="19"/>
              </w:rPr>
              <w:t>Base Case</w:t>
            </w:r>
          </w:p>
        </w:tc>
        <w:tc>
          <w:tcPr>
            <w:tcW w:w="22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19"/>
                <w:szCs w:val="19"/>
              </w:rPr>
              <w:t>Worst Case</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Genesis Participation</w:t>
            </w:r>
          </w:p>
        </w:tc>
        <w:tc>
          <w:tcPr>
            <w:tcW w:w="22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200B+ TitanX</w:t>
            </w:r>
          </w:p>
        </w:tc>
        <w:tc>
          <w:tcPr>
            <w:tcW w:w="23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50-100B TitanX</w:t>
            </w:r>
          </w:p>
        </w:tc>
        <w:tc>
          <w:tcPr>
            <w:tcW w:w="22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&lt;20B TitanX</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19"/>
                <w:szCs w:val="19"/>
              </w:rPr>
              <w:t>Epoch Participation</w:t>
            </w:r>
          </w:p>
        </w:tc>
        <w:tc>
          <w:tcPr>
            <w:tcW w:w="22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19"/>
                <w:szCs w:val="19"/>
              </w:rPr>
              <w:t>500+ burners</w:t>
            </w:r>
          </w:p>
        </w:tc>
        <w:tc>
          <w:tcPr>
            <w:tcW w:w="23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19"/>
                <w:szCs w:val="19"/>
              </w:rPr>
              <w:t>100-300 burners</w:t>
            </w:r>
          </w:p>
        </w:tc>
        <w:tc>
          <w:tcPr>
            <w:tcW w:w="22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19"/>
                <w:szCs w:val="19"/>
              </w:rPr>
              <w:t>&lt;50 burners</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Market Conditions</w:t>
            </w:r>
          </w:p>
        </w:tc>
        <w:tc>
          <w:tcPr>
            <w:tcW w:w="22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Bull, ETH &gt;$5K</w:t>
            </w:r>
          </w:p>
        </w:tc>
        <w:tc>
          <w:tcPr>
            <w:tcW w:w="23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Sideways, ETH $2-4K</w:t>
            </w:r>
          </w:p>
        </w:tc>
        <w:tc>
          <w:tcPr>
            <w:tcW w:w="22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Bear, ETH &lt;$2K</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19"/>
                <w:szCs w:val="19"/>
              </w:rPr>
              <w:t>Day 888 Impact</w:t>
            </w:r>
          </w:p>
        </w:tc>
        <w:tc>
          <w:tcPr>
            <w:tcW w:w="22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19"/>
                <w:szCs w:val="19"/>
              </w:rPr>
              <w:t>Viral catalyst</w:t>
            </w:r>
          </w:p>
        </w:tc>
        <w:tc>
          <w:tcPr>
            <w:tcW w:w="23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19"/>
                <w:szCs w:val="19"/>
              </w:rPr>
              <w:t>Moderate attention</w:t>
            </w:r>
          </w:p>
        </w:tc>
        <w:tc>
          <w:tcPr>
            <w:tcW w:w="22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19"/>
                <w:szCs w:val="19"/>
              </w:rPr>
              <w:t>Overshadowed</w:t>
            </w:r>
          </w:p>
        </w:tc>
      </w:tr>
      <w:tr>
        <w:trPr/>
        <w:tc>
          <w:tcPr>
            <w:tcW w:w="25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Streak Adoption</w:t>
            </w:r>
          </w:p>
        </w:tc>
        <w:tc>
          <w:tcPr>
            <w:tcW w:w="22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&gt;60% maintain</w:t>
            </w:r>
          </w:p>
        </w:tc>
        <w:tc>
          <w:tcPr>
            <w:tcW w:w="23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30-50% maintain</w:t>
            </w:r>
          </w:p>
        </w:tc>
        <w:tc>
          <w:tcPr>
            <w:tcW w:w="22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19"/>
                <w:szCs w:val="19"/>
              </w:rPr>
              <w:t>&lt;20% maintain</w:t>
            </w:r>
          </w:p>
        </w:tc>
      </w:tr>
    </w:tbl>
    <w:p>
      <w:pPr>
        <w:pStyle w:val="Heading2"/>
        <w:spacing w:before="240" w:after="160"/>
        <w:rPr/>
      </w:pPr>
      <w:r>
        <w:rPr>
          <w:rFonts w:eastAsia="Arial" w:cs="Arial" w:ascii="Arial" w:hAnsi="Arial"/>
          <w:b/>
          <w:bCs/>
          <w:color w:val="1A1A2E"/>
          <w:sz w:val="26"/>
          <w:szCs w:val="26"/>
        </w:rPr>
        <w:t>Scenario Summaries</w:t>
      </w:r>
    </w:p>
    <w:p>
      <w:pPr>
        <w:pStyle w:val="Normal"/>
        <w:spacing w:lineRule="auto" w:line="276" w:before="0" w:after="120"/>
        <w:rPr/>
      </w:pPr>
      <w:r>
        <w:rPr>
          <w:rFonts w:eastAsia="Arial" w:cs="Arial"/>
          <w:b/>
          <w:bCs/>
          <w:color w:val="222222"/>
          <w:sz w:val="21"/>
          <w:szCs w:val="21"/>
        </w:rPr>
        <w:t xml:space="preserve">Best Case (50x in 12 months): </w:t>
      </w:r>
      <w:r>
        <w:rPr>
          <w:rFonts w:eastAsia="Arial" w:cs="Arial"/>
          <w:color w:val="222222"/>
          <w:sz w:val="21"/>
          <w:szCs w:val="21"/>
        </w:rPr>
        <w:t>Bull market, strong community, viral Day 888, high streak adoption, dramatic supply reduction via Buy &amp; Burn.</w:t>
      </w:r>
    </w:p>
    <w:p>
      <w:pPr>
        <w:pStyle w:val="Normal"/>
        <w:spacing w:lineRule="auto" w:line="276" w:before="0" w:after="120"/>
        <w:rPr/>
      </w:pPr>
      <w:r>
        <w:rPr>
          <w:rFonts w:eastAsia="Arial" w:cs="Arial"/>
          <w:b/>
          <w:bCs/>
          <w:color w:val="222222"/>
          <w:sz w:val="21"/>
          <w:szCs w:val="21"/>
        </w:rPr>
        <w:t xml:space="preserve">Base Case (12x in 12 months): </w:t>
      </w:r>
      <w:r>
        <w:rPr>
          <w:rFonts w:eastAsia="Arial" w:cs="Arial"/>
          <w:color w:val="222222"/>
          <w:sz w:val="21"/>
          <w:szCs w:val="21"/>
        </w:rPr>
        <w:t>Solid core community, 50-100B TitanX genesis, steady epoch participation, organic growth.</w:t>
      </w:r>
    </w:p>
    <w:p>
      <w:pPr>
        <w:pStyle w:val="Normal"/>
        <w:spacing w:lineRule="auto" w:line="276" w:before="0" w:after="120"/>
        <w:rPr/>
      </w:pPr>
      <w:r>
        <w:rPr>
          <w:rFonts w:eastAsia="Arial" w:cs="Arial"/>
          <w:b/>
          <w:bCs/>
          <w:color w:val="222222"/>
          <w:sz w:val="21"/>
          <w:szCs w:val="21"/>
        </w:rPr>
        <w:t xml:space="preserve">Worst Case (0.6x after 12 months): </w:t>
      </w:r>
      <w:r>
        <w:rPr>
          <w:rFonts w:eastAsia="Arial" w:cs="Arial"/>
          <w:color w:val="222222"/>
          <w:sz w:val="21"/>
          <w:szCs w:val="21"/>
        </w:rPr>
        <w:t>Bear market, low participation, but deflationary mechanics provide structural floor.</w:t>
      </w:r>
    </w:p>
    <w:p>
      <w:pPr>
        <w:pStyle w:val="Normal"/>
        <w:spacing w:before="0" w:after="60"/>
        <w:rPr/>
      </w:pPr>
      <w:r>
        <w:rPr/>
      </w:r>
    </w:p>
    <w:p>
      <w:pPr>
        <w:pStyle w:val="Normal"/>
        <w:spacing w:lineRule="auto" w:line="276" w:before="0" w:after="120"/>
        <w:rPr/>
      </w:pPr>
      <w:r>
        <w:rPr>
          <w:rFonts w:eastAsia="Arial" w:cs="Arial"/>
          <w:i/>
          <w:iCs/>
          <w:color w:val="222222"/>
          <w:sz w:val="21"/>
          <w:szCs w:val="21"/>
        </w:rPr>
        <w:t>Note: Values are relative (normalized to 1.00 at launch). Actual price depends on initial market cap, liquidity depth, and the Fair Launch pool ratio.</w:t>
      </w:r>
    </w:p>
    <w:p>
      <w:pPr>
        <w:pStyle w:val="Normal"/>
        <w:rPr/>
      </w:pPr>
      <w:r>
        <w:rPr/>
      </w:r>
      <w:r>
        <w:br w:type="page"/>
      </w:r>
    </w:p>
    <w:p>
      <w:pPr>
        <w:pStyle w:val="Heading1"/>
        <w:spacing w:before="0" w:after="200"/>
        <w:rPr/>
      </w:pPr>
      <w:r>
        <w:rPr>
          <w:rFonts w:eastAsia="Arial" w:cs="Arial" w:ascii="Arial" w:hAnsi="Arial"/>
          <w:b/>
          <w:bCs/>
          <w:color w:val="C41E3A"/>
          <w:sz w:val="32"/>
          <w:szCs w:val="32"/>
        </w:rPr>
        <w:t>13. Roadmap</w:t>
      </w:r>
    </w:p>
    <w:tbl>
      <w:tblPr>
        <w:tblW w:w="9360" w:type="dxa"/>
        <w:jc w:val="start"/>
        <w:tblInd w:w="0" w:type="dxa"/>
        <w:tblLayout w:type="fixed"/>
        <w:tblCellMar>
          <w:top w:w="80" w:type="dxa"/>
          <w:start w:w="120" w:type="dxa"/>
          <w:bottom w:w="80" w:type="dxa"/>
          <w:end w:w="120" w:type="dxa"/>
        </w:tblCellMar>
      </w:tblPr>
      <w:tblGrid>
        <w:gridCol w:w="1799"/>
        <w:gridCol w:w="2001"/>
        <w:gridCol w:w="5560"/>
      </w:tblGrid>
      <w:tr>
        <w:trPr/>
        <w:tc>
          <w:tcPr>
            <w:tcW w:w="17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Phase</w:t>
            </w:r>
          </w:p>
        </w:tc>
        <w:tc>
          <w:tcPr>
            <w:tcW w:w="200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Timeframe</w:t>
            </w:r>
          </w:p>
        </w:tc>
        <w:tc>
          <w:tcPr>
            <w:tcW w:w="556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Milestones</w:t>
            </w:r>
          </w:p>
        </w:tc>
      </w:tr>
      <w:tr>
        <w:trPr/>
        <w:tc>
          <w:tcPr>
            <w:tcW w:w="1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Phase 0</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March 2026</w:t>
            </w:r>
          </w:p>
        </w:tc>
        <w:tc>
          <w:tcPr>
            <w:tcW w:w="5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Smart Contract Development, Internal Testing, Community Building</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Phase 1</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Before Day 888</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Deployment, Audit (incl. Fair Launch Delta-Audit), Genesis Launch</w:t>
            </w:r>
          </w:p>
        </w:tc>
      </w:tr>
      <w:tr>
        <w:trPr/>
        <w:tc>
          <w:tcPr>
            <w:tcW w:w="1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Phase 2</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Day 888</w:t>
            </w:r>
          </w:p>
        </w:tc>
        <w:tc>
          <w:tcPr>
            <w:tcW w:w="5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Payout Capture, Burn Cascade, Marketing Push</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Phase 3</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Day 888+</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Auto LP Creation (Fair Launch), Epoch 1, UI Launch, Community Growth</w:t>
            </w:r>
          </w:p>
        </w:tc>
      </w:tr>
      <w:tr>
        <w:trPr/>
        <w:tc>
          <w:tcPr>
            <w:tcW w:w="17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Phase 4</w:t>
            </w:r>
          </w:p>
        </w:tc>
        <w:tc>
          <w:tcPr>
            <w:tcW w:w="200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Q3 2026</w:t>
            </w:r>
          </w:p>
        </w:tc>
        <w:tc>
          <w:tcPr>
            <w:tcW w:w="556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Cross-Ecosystem Integrations, Partnerships, Governance</w:t>
            </w:r>
          </w:p>
        </w:tc>
      </w:tr>
      <w:tr>
        <w:trPr/>
        <w:tc>
          <w:tcPr>
            <w:tcW w:w="17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Phase 5</w:t>
            </w:r>
          </w:p>
        </w:tc>
        <w:tc>
          <w:tcPr>
            <w:tcW w:w="200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Q4 2026+</w:t>
            </w:r>
          </w:p>
        </w:tc>
        <w:tc>
          <w:tcPr>
            <w:tcW w:w="556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Multi-Chain Expansion, Advanced Gamification</w:t>
            </w:r>
          </w:p>
        </w:tc>
      </w:tr>
    </w:tbl>
    <w:p>
      <w:pPr>
        <w:pStyle w:val="Normal"/>
        <w:rPr/>
      </w:pPr>
      <w:r>
        <w:rPr/>
      </w:r>
      <w:r>
        <w:br w:type="page"/>
      </w:r>
    </w:p>
    <w:p>
      <w:pPr>
        <w:pStyle w:val="Heading1"/>
        <w:spacing w:before="0" w:after="200"/>
        <w:rPr/>
      </w:pPr>
      <w:r>
        <w:rPr>
          <w:rFonts w:eastAsia="Arial" w:cs="Arial" w:ascii="Arial" w:hAnsi="Arial"/>
          <w:b/>
          <w:bCs/>
          <w:color w:val="C41E3A"/>
          <w:sz w:val="32"/>
          <w:szCs w:val="32"/>
        </w:rPr>
        <w:t>14. Risks &amp; Disclaimers</w:t>
      </w:r>
    </w:p>
    <w:tbl>
      <w:tblPr>
        <w:tblW w:w="9360" w:type="dxa"/>
        <w:jc w:val="start"/>
        <w:tblInd w:w="0" w:type="dxa"/>
        <w:tblLayout w:type="fixed"/>
        <w:tblCellMar>
          <w:top w:w="80" w:type="dxa"/>
          <w:start w:w="120" w:type="dxa"/>
          <w:bottom w:w="80" w:type="dxa"/>
          <w:end w:w="120" w:type="dxa"/>
        </w:tblCellMar>
      </w:tblPr>
      <w:tblGrid>
        <w:gridCol w:w="2000"/>
        <w:gridCol w:w="3499"/>
        <w:gridCol w:w="3861"/>
      </w:tblGrid>
      <w:tr>
        <w:trPr/>
        <w:tc>
          <w:tcPr>
            <w:tcW w:w="2000"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Risk Category</w:t>
            </w:r>
          </w:p>
        </w:tc>
        <w:tc>
          <w:tcPr>
            <w:tcW w:w="3499"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Description</w:t>
            </w:r>
          </w:p>
        </w:tc>
        <w:tc>
          <w:tcPr>
            <w:tcW w:w="3861" w:type="dxa"/>
            <w:tcBorders>
              <w:top w:val="single" w:sz="2" w:space="0" w:color="CCCCCC"/>
              <w:start w:val="single" w:sz="2" w:space="0" w:color="CCCCCC"/>
              <w:bottom w:val="single" w:sz="2" w:space="0" w:color="CCCCCC"/>
              <w:end w:val="single" w:sz="2" w:space="0" w:color="CCCCCC"/>
            </w:tcBorders>
            <w:shd w:fill="1A1A2E" w:val="clear"/>
          </w:tcPr>
          <w:p>
            <w:pPr>
              <w:pStyle w:val="Normal"/>
              <w:rPr/>
            </w:pPr>
            <w:r>
              <w:rPr>
                <w:rFonts w:eastAsia="Arial" w:cs="Arial"/>
                <w:b/>
                <w:bCs/>
                <w:color w:val="FFFFFF"/>
                <w:sz w:val="20"/>
                <w:szCs w:val="20"/>
              </w:rPr>
              <w:t>Mitigation</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Smart Contract</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Despite testing and audits, contracts may have bugs</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Extensive testing, Slither, SkyWolf audit (incl. Fair Launch delta-audit)</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Market Risk</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Crypto is extremely volatile</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Deflationary mechanics provide structural support</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Dependency</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HellBurn depends on TitanX protocol</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Diversified burns (TitanX + DragonX)</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Liquidity</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Initial LP may be thin</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Auto-scaling with Genesis + founder liquidity boost</w:t>
            </w:r>
          </w:p>
        </w:tc>
      </w:tr>
      <w:tr>
        <w:trPr/>
        <w:tc>
          <w:tcPr>
            <w:tcW w:w="2000"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bCs/>
                <w:color w:val="222222"/>
                <w:sz w:val="20"/>
                <w:szCs w:val="20"/>
              </w:rPr>
              <w:t>Regulatory</w:t>
            </w:r>
          </w:p>
        </w:tc>
        <w:tc>
          <w:tcPr>
            <w:tcW w:w="3499"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DeFi regulation is evolving</w:t>
            </w:r>
          </w:p>
        </w:tc>
        <w:tc>
          <w:tcPr>
            <w:tcW w:w="3861" w:type="dxa"/>
            <w:tcBorders>
              <w:top w:val="single" w:sz="2" w:space="0" w:color="CCCCCC"/>
              <w:start w:val="single" w:sz="2" w:space="0" w:color="CCCCCC"/>
              <w:bottom w:val="single" w:sz="2" w:space="0" w:color="CCCCCC"/>
              <w:end w:val="single" w:sz="2" w:space="0" w:color="CCCCCC"/>
            </w:tcBorders>
            <w:shd w:fill="F5F5F5" w:val="clear"/>
          </w:tcPr>
          <w:p>
            <w:pPr>
              <w:pStyle w:val="Normal"/>
              <w:rPr/>
            </w:pPr>
            <w:r>
              <w:rPr>
                <w:rFonts w:eastAsia="Arial" w:cs="Arial"/>
                <w:b w:val="false"/>
                <w:bCs w:val="false"/>
                <w:color w:val="222222"/>
                <w:sz w:val="20"/>
                <w:szCs w:val="20"/>
              </w:rPr>
              <w:t>No admin keys, fully decentralized</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222222"/>
                <w:sz w:val="20"/>
                <w:szCs w:val="20"/>
              </w:rPr>
              <w:t>Adoption</w:t>
            </w:r>
          </w:p>
        </w:tc>
        <w:tc>
          <w:tcPr>
            <w:tcW w:w="3499"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Protocol needs active participants</w:t>
            </w:r>
          </w:p>
        </w:tc>
        <w:tc>
          <w:tcPr>
            <w:tcW w:w="3861"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222222"/>
                <w:sz w:val="20"/>
                <w:szCs w:val="20"/>
              </w:rPr>
              <w:t>Streak system incentivizes retention</w:t>
            </w:r>
          </w:p>
        </w:tc>
      </w:tr>
    </w:tbl>
    <w:p>
      <w:pPr>
        <w:pStyle w:val="Normal"/>
        <w:spacing w:before="0" w:after="400"/>
        <w:rPr/>
      </w:pPr>
      <w:r>
        <w:rPr/>
      </w:r>
    </w:p>
    <w:p>
      <w:pPr>
        <w:pStyle w:val="Normal"/>
        <w:spacing w:before="200" w:after="0"/>
        <w:jc w:val="center"/>
        <w:rPr/>
      </w:pPr>
      <w:r>
        <w:rPr>
          <w:rFonts w:eastAsia="Arial" w:cs="Arial"/>
          <w:b/>
          <w:bCs/>
          <w:color w:val="C41E3A"/>
          <w:sz w:val="28"/>
          <w:szCs w:val="28"/>
        </w:rPr>
        <w:t>HELLBURN — Burn to Earn. Compete to Win.</w:t>
      </w:r>
    </w:p>
    <w:p>
      <w:pPr>
        <w:pStyle w:val="Normal"/>
        <w:spacing w:before="0" w:after="100"/>
        <w:jc w:val="center"/>
        <w:rPr/>
      </w:pPr>
      <w:r>
        <w:rPr>
          <w:rFonts w:eastAsia="Arial" w:cs="Arial"/>
          <w:color w:val="D4A843"/>
          <w:sz w:val="22"/>
          <w:szCs w:val="22"/>
        </w:rPr>
        <w:t>Fair Launch. No Insider Tokens. Trustless Liquidity.</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00" w:right="120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5555"/>
        <w:sz w:val="16"/>
        <w:szCs w:val="16"/>
      </w:rPr>
      <w:t xml:space="preserve">Page </w:t>
    </w:r>
    <w:r>
      <w:rPr>
        <w:rFonts w:eastAsia="Arial" w:cs="Arial"/>
        <w:color w:val="D4A843"/>
        <w:sz w:val="22"/>
        <w:szCs w:val="22"/>
      </w:rPr>
      <w:fldChar w:fldCharType="begin"/>
    </w:r>
    <w:r>
      <w:rPr>
        <w:rFonts w:eastAsia="Arial" w:cs="Arial"/>
        <w:color w:val="D4A843"/>
        <w:sz w:val="22"/>
        <w:szCs w:val="22"/>
      </w:rPr>
      <w:instrText xml:space="preserve"> PAGE </w:instrText>
    </w:r>
    <w:r>
      <w:rPr>
        <w:rFonts w:eastAsia="Arial" w:cs="Arial"/>
        <w:color w:val="D4A843"/>
        <w:sz w:val="22"/>
        <w:szCs w:val="22"/>
      </w:rPr>
      <w:fldChar w:fldCharType="separate"/>
    </w:r>
    <w:r>
      <w:rPr>
        <w:rFonts w:eastAsia="Arial" w:cs="Arial"/>
        <w:color w:val="D4A843"/>
        <w:sz w:val="22"/>
        <w:szCs w:val="22"/>
      </w:rPr>
      <w:t>18</w:t>
    </w:r>
    <w:r>
      <w:rPr>
        <w:rFonts w:eastAsia="Arial" w:cs="Arial"/>
        <w:color w:val="D4A843"/>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555555"/>
        <w:sz w:val="16"/>
        <w:szCs w:val="16"/>
      </w:rPr>
      <w:t xml:space="preserve">Page </w:t>
    </w:r>
    <w:r>
      <w:rPr>
        <w:rFonts w:eastAsia="Arial" w:cs="Arial"/>
        <w:color w:val="D4A843"/>
        <w:sz w:val="22"/>
        <w:szCs w:val="22"/>
      </w:rPr>
      <w:fldChar w:fldCharType="begin"/>
    </w:r>
    <w:r>
      <w:rPr>
        <w:rFonts w:eastAsia="Arial" w:cs="Arial"/>
        <w:color w:val="D4A843"/>
        <w:sz w:val="22"/>
        <w:szCs w:val="22"/>
      </w:rPr>
      <w:instrText xml:space="preserve"> PAGE </w:instrText>
    </w:r>
    <w:r>
      <w:rPr>
        <w:rFonts w:eastAsia="Arial" w:cs="Arial"/>
        <w:color w:val="D4A843"/>
        <w:sz w:val="22"/>
        <w:szCs w:val="22"/>
      </w:rPr>
      <w:fldChar w:fldCharType="separate"/>
    </w:r>
    <w:r>
      <w:rPr>
        <w:rFonts w:eastAsia="Arial" w:cs="Arial"/>
        <w:color w:val="D4A843"/>
        <w:sz w:val="22"/>
        <w:szCs w:val="22"/>
      </w:rPr>
      <w:t>18</w:t>
    </w:r>
    <w:r>
      <w:rPr>
        <w:rFonts w:eastAsia="Arial" w:cs="Arial"/>
        <w:color w:val="D4A843"/>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555555"/>
        <w:sz w:val="16"/>
        <w:szCs w:val="16"/>
      </w:rPr>
      <w:t>HellBurn Whitepaper v3.0 — Fair Launch Edition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555555"/>
        <w:sz w:val="16"/>
        <w:szCs w:val="16"/>
      </w:rPr>
      <w:t>HellBurn Whitepaper v3.0 — Fair Launch Edition</w:t>
    </w:r>
  </w:p>
</w:hdr>
</file>

<file path=word/settings.xml><?xml version="1.0" encoding="utf-8"?>
<w:settings xmlns:w="http://schemas.openxmlformats.org/wordprocessingml/2006/main">
  <w:zoom w:percent="140"/>
  <w:displayBackgroundShape/>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de-AT"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de-AT" w:eastAsia="zh-CN" w:bidi="hi-IN"/>
    </w:rPr>
  </w:style>
  <w:style w:type="paragraph" w:styleId="Heading1">
    <w:name w:val="heading 1"/>
    <w:basedOn w:val="berschrift"/>
    <w:qFormat/>
    <w:pPr>
      <w:spacing w:before="360" w:after="200"/>
      <w:outlineLvl w:val="0"/>
    </w:pPr>
    <w:rPr>
      <w:rFonts w:ascii="Arial" w:hAnsi="Arial" w:eastAsia="Arial" w:cs="Arial"/>
      <w:b/>
      <w:bCs/>
      <w:color w:val="C41E3A"/>
      <w:sz w:val="32"/>
      <w:szCs w:val="32"/>
    </w:rPr>
  </w:style>
  <w:style w:type="paragraph" w:styleId="Heading2">
    <w:name w:val="heading 2"/>
    <w:basedOn w:val="berschrift"/>
    <w:qFormat/>
    <w:pPr>
      <w:spacing w:before="240" w:after="160"/>
      <w:outlineLvl w:val="1"/>
    </w:pPr>
    <w:rPr>
      <w:rFonts w:ascii="Arial" w:hAnsi="Arial" w:eastAsia="Arial" w:cs="Arial"/>
      <w:b/>
      <w:bCs/>
      <w:color w:val="1A1A2E"/>
      <w:sz w:val="26"/>
      <w:szCs w:val="26"/>
    </w:rPr>
  </w:style>
  <w:style w:type="paragraph" w:styleId="Heading3">
    <w:name w:val="heading 3"/>
    <w:basedOn w:val="berschrift"/>
    <w:qFormat/>
    <w:pPr/>
    <w:rPr>
      <w:color w:val="1F4D78"/>
      <w:sz w:val="24"/>
      <w:szCs w:val="24"/>
    </w:rPr>
  </w:style>
  <w:style w:type="paragraph" w:styleId="Heading4">
    <w:name w:val="heading 4"/>
    <w:basedOn w:val="berschrift"/>
    <w:qFormat/>
    <w:pPr/>
    <w:rPr>
      <w:i/>
      <w:iCs/>
      <w:color w:val="2E74B5"/>
    </w:rPr>
  </w:style>
  <w:style w:type="paragraph" w:styleId="Heading5">
    <w:name w:val="heading 5"/>
    <w:basedOn w:val="berschrift"/>
    <w:qFormat/>
    <w:pPr/>
    <w:rPr>
      <w:color w:val="2E74B5"/>
    </w:rPr>
  </w:style>
  <w:style w:type="paragraph" w:styleId="Heading6">
    <w:name w:val="heading 6"/>
    <w:basedOn w:val="berschrift"/>
    <w:qFormat/>
    <w:pPr/>
    <w:rPr>
      <w:color w:val="1F4D78"/>
    </w:rPr>
  </w:style>
  <w:style w:type="character" w:styleId="Hyperlink">
    <w:name w:val="Hyperlink"/>
    <w:uiPriority w:val="99"/>
    <w:unhideWhenUsed/>
    <w:rPr>
      <w:color w:val="0563C1"/>
      <w:u w:val="single"/>
    </w:rPr>
  </w:style>
  <w:style w:type="character" w:styleId="Funotenzeichen">
    <w:name w:val="Fußnotenzeichen"/>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berschrift">
    <w:name w:val="Übersch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Verzeichnis">
    <w:name w:val="Verzeichnis"/>
    <w:basedOn w:val="Normal"/>
    <w:qFormat/>
    <w:pPr>
      <w:suppressLineNumbers/>
    </w:pPr>
    <w:rPr>
      <w:rFonts w:cs="Arial"/>
    </w:rPr>
  </w:style>
  <w:style w:type="paragraph" w:styleId="Title">
    <w:name w:val="Title"/>
    <w:basedOn w:val="berschrift"/>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de-AT"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de-A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Kopf-Fuzeile">
    <w:name w:val="Kopf-/Fußzeile"/>
    <w:basedOn w:val="Normal"/>
    <w:qFormat/>
    <w:pPr/>
    <w:rPr/>
  </w:style>
  <w:style w:type="paragraph" w:styleId="Header">
    <w:name w:val="header"/>
    <w:basedOn w:val="Kopf-Fuzeile"/>
    <w:pPr/>
    <w:rPr/>
  </w:style>
  <w:style w:type="paragraph" w:styleId="Footer">
    <w:name w:val="footer"/>
    <w:basedOn w:val="Kopf-Fuzeil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1259</TotalTime>
  <Application>LibreOffice/26.2.0.3$Windows_X86_64 LibreOffice_project/620$Build-3</Application>
  <AppVersion>15.0000</AppVersion>
  <Pages>18</Pages>
  <Words>3068</Words>
  <Characters>16692</Characters>
  <CharactersWithSpaces>19440</CharactersWithSpaces>
  <Paragraphs>377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2026-03-04T10:44:30Z</dcterms:created>
  <dc:creator>Un-named</dc:creator>
  <dc:description/>
  <dc:language>de-AT</dc:language>
  <cp:lastModifiedBy/>
  <dcterms:modified xsi:type="dcterms:W3CDTF">2026-03-05T09:29:03Z</dcterms:modified>
  <cp:revision>2</cp:revision>
  <dc:subject/>
  <dc:title/>
</cp:coreProperties>
</file>