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auto">
    <v:background>
      <v:fill r:id="rId2" type="frame"/>
    </v:background>
  </w:background>
  <w:body>
    <w:p>
      <w:pPr>
        <w:pStyle w:val="Normal"/>
        <w:spacing w:before="0" w:after="240"/>
        <w:rPr/>
      </w:pPr>
      <w:r>
        <w:rPr/>
      </w:r>
    </w:p>
    <w:p>
      <w:pPr>
        <w:pStyle w:val="Normal"/>
        <w:spacing w:before="0" w:after="80"/>
        <w:jc w:val="center"/>
        <w:rPr/>
      </w:pPr>
      <w:r>
        <w:rPr>
          <w:rFonts w:eastAsia="Arial" w:cs="Arial"/>
          <w:sz w:val="72"/>
          <w:szCs w:val="72"/>
        </w:rPr>
        <w:t>🔥</w:t>
      </w:r>
    </w:p>
    <w:p>
      <w:pPr>
        <w:pStyle w:val="Normal"/>
        <w:spacing w:before="0" w:after="120"/>
        <w:jc w:val="center"/>
        <w:rPr/>
      </w:pPr>
      <w:r>
        <w:rPr>
          <w:rFonts w:eastAsia="Arial" w:cs="Arial"/>
          <w:b/>
          <w:bCs/>
          <w:color w:val="C0392B"/>
          <w:sz w:val="56"/>
          <w:szCs w:val="56"/>
        </w:rPr>
        <w:t>HellBurn's Vault</w:t>
      </w:r>
    </w:p>
    <w:p>
      <w:pPr>
        <w:pStyle w:val="Normal"/>
        <w:spacing w:before="0" w:after="80"/>
        <w:jc w:val="center"/>
        <w:rPr/>
      </w:pPr>
      <w:r>
        <w:rPr>
          <w:rFonts w:eastAsia="Arial" w:cs="Arial"/>
          <w:color w:val="1A1A2E"/>
          <w:sz w:val="28"/>
          <w:szCs w:val="28"/>
        </w:rPr>
        <w:t>NFT-Powered Deflationary Burn Vault</w:t>
      </w:r>
    </w:p>
    <w:p>
      <w:pPr>
        <w:pStyle w:val="Normal"/>
        <w:spacing w:before="0" w:after="80"/>
        <w:jc w:val="center"/>
        <w:rPr/>
      </w:pPr>
      <w:r>
        <w:rPr>
          <w:rFonts w:eastAsia="Arial" w:cs="Arial"/>
          <w:color w:val="7F8C8D"/>
          <w:sz w:val="22"/>
          <w:szCs w:val="22"/>
        </w:rPr>
        <w:t>Whitepaper v1.1</w:t>
      </w:r>
    </w:p>
    <w:p>
      <w:pPr>
        <w:pStyle w:val="Normal"/>
        <w:spacing w:before="0" w:after="80"/>
        <w:jc w:val="center"/>
        <w:rPr/>
      </w:pPr>
      <w:r>
        <w:rPr>
          <w:rFonts w:eastAsia="Arial" w:cs="Arial"/>
          <w:b/>
          <w:bCs/>
          <w:color w:val="F39C12"/>
          <w:sz w:val="20"/>
          <w:szCs w:val="20"/>
        </w:rPr>
        <w:t>Community Draft — Feedback Welcome</w:t>
      </w:r>
    </w:p>
    <w:p>
      <w:pPr>
        <w:pStyle w:val="Normal"/>
        <w:spacing w:before="0" w:after="400"/>
        <w:jc w:val="center"/>
        <w:rPr>
          <w:color w:val="auto"/>
        </w:rPr>
      </w:pPr>
      <w:r>
        <w:rPr>
          <w:rFonts w:eastAsia="Arial" w:cs="Arial"/>
          <w:color w:val="auto"/>
          <w:sz w:val="20"/>
          <w:szCs w:val="20"/>
        </w:rPr>
        <w:t>Built on HellBurn Protocol — Ethereum Mainnet</w:t>
      </w:r>
    </w:p>
    <w:p>
      <w:pPr>
        <w:pStyle w:val="Normal"/>
        <w:pBdr>
          <w:bottom w:val="single" w:sz="4" w:space="1" w:color="C0392B"/>
        </w:pBdr>
        <w:spacing w:before="200" w:after="200"/>
        <w:rPr/>
      </w:pPr>
      <w:r>
        <w:rPr/>
      </w:r>
    </w:p>
    <w:p>
      <w:pPr>
        <w:pStyle w:val="Normal"/>
        <w:spacing w:before="0" w:after="240"/>
        <w:rPr/>
      </w:pPr>
      <w:r>
        <w:rPr/>
      </w:r>
    </w:p>
    <w:p>
      <w:pPr>
        <w:pStyle w:val="Heading1"/>
        <w:spacing w:before="400" w:after="160"/>
        <w:rPr/>
      </w:pPr>
      <w:r>
        <w:rPr>
          <w:rFonts w:eastAsia="Arial" w:cs="Arial" w:ascii="Arial" w:hAnsi="Arial"/>
          <w:b/>
          <w:bCs/>
          <w:color w:val="1A1A2E"/>
          <w:sz w:val="36"/>
          <w:szCs w:val="36"/>
        </w:rPr>
        <w:t>1. Introduction</w:t>
      </w:r>
    </w:p>
    <w:p>
      <w:pPr>
        <w:pStyle w:val="Normal"/>
        <w:spacing w:before="80" w:after="120"/>
        <w:rPr/>
      </w:pPr>
      <w:r>
        <w:rPr>
          <w:rFonts w:eastAsia="Arial" w:cs="Arial"/>
          <w:b w:val="false"/>
          <w:bCs w:val="false"/>
          <w:i w:val="false"/>
          <w:iCs w:val="false"/>
          <w:color w:val="333333"/>
          <w:sz w:val="22"/>
          <w:szCs w:val="22"/>
        </w:rPr>
        <w:t>HellBurn's Vault is a new DeFi protocol built on the HellBurn ecosystem on Ethereum Mainnet. It combines four powerful concepts: NFT ownership, automatic ETH yield generation, deflationary burn mechanics, and community-driven burn milestones.</w:t>
      </w:r>
    </w:p>
    <w:p>
      <w:pPr>
        <w:pStyle w:val="Normal"/>
        <w:spacing w:before="80" w:after="120"/>
        <w:rPr/>
      </w:pPr>
      <w:r>
        <w:rPr>
          <w:rFonts w:eastAsia="Arial" w:cs="Arial"/>
          <w:b w:val="false"/>
          <w:bCs w:val="false"/>
          <w:i w:val="false"/>
          <w:iCs w:val="false"/>
          <w:color w:val="333333"/>
          <w:sz w:val="22"/>
          <w:szCs w:val="22"/>
        </w:rPr>
        <w:t>Mint an NFT with ETH. The Vault deploys that ETH across three yield-generating strategies. You receive proportional ETH rewards — passively, forever. The longer you hold, the more you earn.</w:t>
      </w:r>
    </w:p>
    <w:p>
      <w:pPr>
        <w:pStyle w:val="Normal"/>
        <w:spacing w:before="80" w:after="120"/>
        <w:rPr/>
      </w:pPr>
      <w:r>
        <w:rPr>
          <w:rFonts w:eastAsia="Arial" w:cs="Arial"/>
          <w:b w:val="false"/>
          <w:bCs w:val="false"/>
          <w:i w:val="false"/>
          <w:iCs w:val="false"/>
          <w:color w:val="333333"/>
          <w:sz w:val="22"/>
          <w:szCs w:val="22"/>
        </w:rPr>
        <w:t>HellBurn's Vault is fully trustless — no admin key, no pause function, no withdrawal mechanism. Immutable once deployed.</w:t>
      </w:r>
    </w:p>
    <w:p>
      <w:pPr>
        <w:pStyle w:val="Normal"/>
        <w:spacing w:before="0" w:after="120"/>
        <w:rPr/>
      </w:pPr>
      <w:r>
        <w:rPr/>
      </w:r>
    </w:p>
    <w:p>
      <w:pPr>
        <w:pStyle w:val="Heading1"/>
        <w:spacing w:before="400" w:after="160"/>
        <w:rPr/>
      </w:pPr>
      <w:r>
        <w:rPr>
          <w:rFonts w:eastAsia="Arial" w:cs="Arial" w:ascii="Arial" w:hAnsi="Arial"/>
          <w:b/>
          <w:bCs/>
          <w:color w:val="1A1A2E"/>
          <w:sz w:val="36"/>
          <w:szCs w:val="36"/>
        </w:rPr>
        <w:t>2. The Problem</w:t>
      </w:r>
    </w:p>
    <w:p>
      <w:pPr>
        <w:pStyle w:val="Normal"/>
        <w:spacing w:before="80" w:after="120"/>
        <w:rPr/>
      </w:pPr>
      <w:r>
        <w:rPr>
          <w:rFonts w:eastAsia="Arial" w:cs="Arial"/>
          <w:b w:val="false"/>
          <w:bCs w:val="false"/>
          <w:i w:val="false"/>
          <w:iCs w:val="false"/>
          <w:color w:val="333333"/>
          <w:sz w:val="22"/>
          <w:szCs w:val="22"/>
        </w:rPr>
        <w:t>Most DeFi protocols share the same challenges:</w:t>
      </w:r>
    </w:p>
    <w:p>
      <w:pPr>
        <w:pStyle w:val="ListParagraph"/>
        <w:numPr>
          <w:ilvl w:val="0"/>
          <w:numId w:val="3"/>
        </w:numPr>
        <w:spacing w:before="60" w:after="60"/>
        <w:rPr/>
      </w:pPr>
      <w:r>
        <w:rPr>
          <w:rFonts w:eastAsia="Arial" w:cs="Arial"/>
          <w:color w:val="333333"/>
          <w:sz w:val="22"/>
          <w:szCs w:val="22"/>
        </w:rPr>
        <w:t>Too complex — multiple tokens, multiple steps, manual management</w:t>
      </w:r>
    </w:p>
    <w:p>
      <w:pPr>
        <w:pStyle w:val="ListParagraph"/>
        <w:numPr>
          <w:ilvl w:val="0"/>
          <w:numId w:val="1"/>
        </w:numPr>
        <w:spacing w:before="60" w:after="60"/>
        <w:rPr/>
      </w:pPr>
      <w:r>
        <w:rPr>
          <w:rFonts w:eastAsia="Arial" w:cs="Arial"/>
          <w:color w:val="333333"/>
          <w:sz w:val="22"/>
          <w:szCs w:val="22"/>
        </w:rPr>
        <w:t>Passive income requires active participation</w:t>
      </w:r>
    </w:p>
    <w:p>
      <w:pPr>
        <w:pStyle w:val="ListParagraph"/>
        <w:numPr>
          <w:ilvl w:val="0"/>
          <w:numId w:val="1"/>
        </w:numPr>
        <w:spacing w:before="60" w:after="60"/>
        <w:rPr/>
      </w:pPr>
      <w:r>
        <w:rPr>
          <w:rFonts w:eastAsia="Arial" w:cs="Arial"/>
          <w:color w:val="333333"/>
          <w:sz w:val="22"/>
          <w:szCs w:val="22"/>
        </w:rPr>
        <w:t>No real deflationary pressure — supply grows, value dilutes</w:t>
      </w:r>
    </w:p>
    <w:p>
      <w:pPr>
        <w:pStyle w:val="ListParagraph"/>
        <w:numPr>
          <w:ilvl w:val="0"/>
          <w:numId w:val="1"/>
        </w:numPr>
        <w:spacing w:before="60" w:after="60"/>
        <w:rPr/>
      </w:pPr>
      <w:r>
        <w:rPr>
          <w:rFonts w:eastAsia="Arial" w:cs="Arial"/>
          <w:color w:val="333333"/>
          <w:sz w:val="22"/>
          <w:szCs w:val="22"/>
        </w:rPr>
        <w:t>No external capital inflow — protocols recycle existing capital</w:t>
      </w:r>
    </w:p>
    <w:p>
      <w:pPr>
        <w:pStyle w:val="ListParagraph"/>
        <w:numPr>
          <w:ilvl w:val="0"/>
          <w:numId w:val="1"/>
        </w:numPr>
        <w:spacing w:before="60" w:after="60"/>
        <w:rPr/>
      </w:pPr>
      <w:r>
        <w:rPr>
          <w:rFonts w:eastAsia="Arial" w:cs="Arial"/>
          <w:color w:val="333333"/>
          <w:sz w:val="22"/>
          <w:szCs w:val="22"/>
        </w:rPr>
        <w:t>No community incentive to actively drive protocol growth</w:t>
      </w:r>
    </w:p>
    <w:p>
      <w:pPr>
        <w:pStyle w:val="Normal"/>
        <w:spacing w:before="0" w:after="120"/>
        <w:rPr/>
      </w:pPr>
      <w:r>
        <w:rPr/>
      </w:r>
    </w:p>
    <w:p>
      <w:pPr>
        <w:pStyle w:val="Normal"/>
        <w:spacing w:before="80" w:after="120"/>
        <w:rPr/>
      </w:pPr>
      <w:r>
        <w:rPr>
          <w:rFonts w:eastAsia="Arial" w:cs="Arial"/>
          <w:b/>
          <w:bCs/>
          <w:i w:val="false"/>
          <w:iCs w:val="false"/>
          <w:color w:val="333333"/>
          <w:sz w:val="22"/>
          <w:szCs w:val="22"/>
        </w:rPr>
        <w:t>HellBurn's Vault solves all five problems in one product.</w:t>
      </w:r>
    </w:p>
    <w:p>
      <w:pPr>
        <w:pStyle w:val="Normal"/>
        <w:spacing w:before="0" w:after="120"/>
        <w:rPr/>
      </w:pPr>
      <w:r>
        <w:rPr/>
      </w:r>
    </w:p>
    <w:p>
      <w:pPr>
        <w:pStyle w:val="Heading1"/>
        <w:spacing w:before="400" w:after="160"/>
        <w:rPr/>
      </w:pPr>
      <w:r>
        <w:rPr>
          <w:rFonts w:eastAsia="Arial" w:cs="Arial" w:ascii="Arial" w:hAnsi="Arial"/>
          <w:b/>
          <w:bCs/>
          <w:color w:val="1A1A2E"/>
          <w:sz w:val="36"/>
          <w:szCs w:val="36"/>
        </w:rPr>
        <w:t>3. The Solution — HellBurn's Vault</w:t>
      </w:r>
    </w:p>
    <w:p>
      <w:pPr>
        <w:pStyle w:val="ListParagraph"/>
        <w:numPr>
          <w:ilvl w:val="0"/>
          <w:numId w:val="1"/>
        </w:numPr>
        <w:spacing w:before="60" w:after="60"/>
        <w:rPr/>
      </w:pPr>
      <w:r>
        <w:rPr>
          <w:rFonts w:eastAsia="Arial" w:cs="Arial"/>
          <w:color w:val="333333"/>
          <w:sz w:val="22"/>
          <w:szCs w:val="22"/>
        </w:rPr>
        <w:t>One action: mint an NFT with ETH — everything else is automatic</w:t>
      </w:r>
    </w:p>
    <w:p>
      <w:pPr>
        <w:pStyle w:val="ListParagraph"/>
        <w:numPr>
          <w:ilvl w:val="0"/>
          <w:numId w:val="1"/>
        </w:numPr>
        <w:spacing w:before="60" w:after="60"/>
        <w:rPr/>
      </w:pPr>
      <w:r>
        <w:rPr>
          <w:rFonts w:eastAsia="Arial" w:cs="Arial"/>
          <w:color w:val="333333"/>
          <w:sz w:val="22"/>
          <w:szCs w:val="22"/>
        </w:rPr>
        <w:t>Three yield sources: LP trading fees + dual ETH staking + burn pressure</w:t>
      </w:r>
    </w:p>
    <w:p>
      <w:pPr>
        <w:pStyle w:val="ListParagraph"/>
        <w:numPr>
          <w:ilvl w:val="0"/>
          <w:numId w:val="1"/>
        </w:numPr>
        <w:spacing w:before="60" w:after="60"/>
        <w:rPr/>
      </w:pPr>
      <w:r>
        <w:rPr>
          <w:rFonts w:eastAsia="Arial" w:cs="Arial"/>
          <w:color w:val="333333"/>
          <w:sz w:val="22"/>
          <w:szCs w:val="22"/>
        </w:rPr>
        <w:t>Loyalty boost: longer holding = higher yield share (up to 86%)</w:t>
      </w:r>
    </w:p>
    <w:p>
      <w:pPr>
        <w:pStyle w:val="ListParagraph"/>
        <w:numPr>
          <w:ilvl w:val="0"/>
          <w:numId w:val="1"/>
        </w:numPr>
        <w:spacing w:before="60" w:after="60"/>
        <w:rPr/>
      </w:pPr>
      <w:r>
        <w:rPr>
          <w:rFonts w:eastAsia="Arial" w:cs="Arial"/>
          <w:color w:val="333333"/>
          <w:sz w:val="22"/>
          <w:szCs w:val="22"/>
        </w:rPr>
        <w:t>Early Bird bonus: first minters in each tier receive +10% multiplier</w:t>
      </w:r>
    </w:p>
    <w:p>
      <w:pPr>
        <w:pStyle w:val="ListParagraph"/>
        <w:numPr>
          <w:ilvl w:val="0"/>
          <w:numId w:val="1"/>
        </w:numPr>
        <w:spacing w:before="60" w:after="60"/>
        <w:rPr/>
      </w:pPr>
      <w:r>
        <w:rPr>
          <w:rFonts w:eastAsia="Arial" w:cs="Arial"/>
          <w:color w:val="333333"/>
          <w:sz w:val="22"/>
          <w:szCs w:val="22"/>
        </w:rPr>
        <w:t>Reserve Pool: price floor protection for HBURN</w:t>
      </w:r>
    </w:p>
    <w:p>
      <w:pPr>
        <w:pStyle w:val="ListParagraph"/>
        <w:numPr>
          <w:ilvl w:val="0"/>
          <w:numId w:val="1"/>
        </w:numPr>
        <w:spacing w:before="60" w:after="60"/>
        <w:rPr/>
      </w:pPr>
      <w:r>
        <w:rPr>
          <w:rFonts w:eastAsia="Arial" w:cs="Arial"/>
          <w:color w:val="333333"/>
          <w:sz w:val="22"/>
          <w:szCs w:val="22"/>
        </w:rPr>
        <w:t>Burn Milestones: community events with ETH bonus payouts</w:t>
      </w:r>
    </w:p>
    <w:p>
      <w:pPr>
        <w:pStyle w:val="ListParagraph"/>
        <w:numPr>
          <w:ilvl w:val="0"/>
          <w:numId w:val="1"/>
        </w:numPr>
        <w:spacing w:before="60" w:after="60"/>
        <w:rPr/>
      </w:pPr>
      <w:r>
        <w:rPr>
          <w:rFonts w:eastAsia="Arial" w:cs="Arial"/>
          <w:color w:val="333333"/>
          <w:sz w:val="22"/>
          <w:szCs w:val="22"/>
        </w:rPr>
        <w:t>Fully trustless: no admin, no pause, no keys — ever</w:t>
      </w:r>
    </w:p>
    <w:p>
      <w:pPr>
        <w:pStyle w:val="ListParagraph"/>
        <w:numPr>
          <w:ilvl w:val="0"/>
          <w:numId w:val="1"/>
        </w:numPr>
        <w:spacing w:before="60" w:after="60"/>
        <w:rPr/>
      </w:pPr>
      <w:r>
        <w:rPr>
          <w:rFonts w:eastAsia="Arial" w:cs="Arial"/>
          <w:color w:val="333333"/>
          <w:sz w:val="22"/>
          <w:szCs w:val="22"/>
        </w:rPr>
        <w:t>Limited supply: maximum 10,000 NFTs total</w:t>
      </w:r>
    </w:p>
    <w:p>
      <w:pPr>
        <w:pStyle w:val="Normal"/>
        <w:spacing w:before="0" w:after="120"/>
        <w:rPr/>
      </w:pPr>
      <w:r>
        <w:rPr/>
      </w:r>
    </w:p>
    <w:p>
      <w:pPr>
        <w:pStyle w:val="Heading2"/>
        <w:spacing w:before="320" w:after="120"/>
        <w:rPr/>
      </w:pPr>
      <w:r>
        <w:rPr>
          <w:rFonts w:eastAsia="Arial" w:cs="Arial" w:ascii="Arial" w:hAnsi="Arial"/>
          <w:b/>
          <w:bCs/>
          <w:color w:val="C0392B"/>
          <w:sz w:val="28"/>
          <w:szCs w:val="28"/>
        </w:rPr>
        <w:t>How It Works — Step by Step</w:t>
      </w:r>
    </w:p>
    <w:tbl>
      <w:tblPr>
        <w:tblW w:w="9360" w:type="dxa"/>
        <w:jc w:val="start"/>
        <w:tblInd w:w="0" w:type="dxa"/>
        <w:tblLayout w:type="fixed"/>
        <w:tblCellMar>
          <w:top w:w="100" w:type="dxa"/>
          <w:start w:w="120" w:type="dxa"/>
          <w:bottom w:w="100" w:type="dxa"/>
          <w:end w:w="120" w:type="dxa"/>
        </w:tblCellMar>
      </w:tblPr>
      <w:tblGrid>
        <w:gridCol w:w="1199"/>
        <w:gridCol w:w="8161"/>
      </w:tblGrid>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1</w:t>
            </w:r>
          </w:p>
        </w:tc>
        <w:tc>
          <w:tcPr>
            <w:tcW w:w="8161" w:type="dxa"/>
            <w:tcBorders>
              <w:top w:val="single" w:sz="2" w:space="0" w:color="DDDDDD"/>
              <w:start w:val="single" w:sz="2" w:space="0" w:color="DDDDDD"/>
              <w:bottom w:val="single" w:sz="2" w:space="0" w:color="DDDDDD"/>
              <w:end w:val="single" w:sz="2" w:space="0" w:color="DDDDDD"/>
            </w:tcBorders>
            <w:shd w:fill="F8F9FA" w:val="clear"/>
            <w:tcMar>
              <w:start w:w="160" w:type="dxa"/>
            </w:tcMar>
          </w:tcPr>
          <w:p>
            <w:pPr>
              <w:pStyle w:val="Normal"/>
              <w:rPr/>
            </w:pPr>
            <w:r>
              <w:rPr>
                <w:rFonts w:eastAsia="Arial" w:cs="Arial"/>
                <w:color w:val="333333"/>
                <w:sz w:val="22"/>
                <w:szCs w:val="22"/>
              </w:rPr>
              <w:t>User chooses a tier and mints an NFT — Early Bird bonus applies to first minters</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2</w:t>
            </w:r>
          </w:p>
        </w:tc>
        <w:tc>
          <w:tcPr>
            <w:tcW w:w="8161" w:type="dxa"/>
            <w:tcBorders>
              <w:top w:val="single" w:sz="2" w:space="0" w:color="DDDDDD"/>
              <w:start w:val="single" w:sz="2" w:space="0" w:color="DDDDDD"/>
              <w:bottom w:val="single" w:sz="2" w:space="0" w:color="DDDDDD"/>
              <w:end w:val="single" w:sz="2" w:space="0" w:color="DDDDDD"/>
            </w:tcBorders>
            <w:shd w:fill="FFFFFF" w:val="clear"/>
            <w:tcMar>
              <w:start w:w="160" w:type="dxa"/>
            </w:tcMar>
          </w:tcPr>
          <w:p>
            <w:pPr>
              <w:pStyle w:val="Normal"/>
              <w:rPr/>
            </w:pPr>
            <w:r>
              <w:rPr>
                <w:rFonts w:eastAsia="Arial" w:cs="Arial"/>
                <w:color w:val="333333"/>
                <w:sz w:val="22"/>
                <w:szCs w:val="22"/>
              </w:rPr>
              <w:t>50% of ETH immediately buys HBURN on open market and burns it permanently</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3</w:t>
            </w:r>
          </w:p>
        </w:tc>
        <w:tc>
          <w:tcPr>
            <w:tcW w:w="8161" w:type="dxa"/>
            <w:tcBorders>
              <w:top w:val="single" w:sz="2" w:space="0" w:color="DDDDDD"/>
              <w:start w:val="single" w:sz="2" w:space="0" w:color="DDDDDD"/>
              <w:bottom w:val="single" w:sz="2" w:space="0" w:color="DDDDDD"/>
              <w:end w:val="single" w:sz="2" w:space="0" w:color="DDDDDD"/>
            </w:tcBorders>
            <w:shd w:fill="F8F9FA" w:val="clear"/>
            <w:tcMar>
              <w:start w:w="160" w:type="dxa"/>
            </w:tcMar>
          </w:tcPr>
          <w:p>
            <w:pPr>
              <w:pStyle w:val="Normal"/>
              <w:rPr/>
            </w:pPr>
            <w:r>
              <w:rPr>
                <w:rFonts w:eastAsia="Arial" w:cs="Arial"/>
                <w:color w:val="333333"/>
                <w:sz w:val="22"/>
                <w:szCs w:val="22"/>
              </w:rPr>
              <w:t>40% of ETH is deployed into HBURN/ETH Uniswap V3 Concentrated Liquidity pool</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4</w:t>
            </w:r>
          </w:p>
        </w:tc>
        <w:tc>
          <w:tcPr>
            <w:tcW w:w="8161" w:type="dxa"/>
            <w:tcBorders>
              <w:top w:val="single" w:sz="2" w:space="0" w:color="DDDDDD"/>
              <w:start w:val="single" w:sz="2" w:space="0" w:color="DDDDDD"/>
              <w:bottom w:val="single" w:sz="2" w:space="0" w:color="DDDDDD"/>
              <w:end w:val="single" w:sz="2" w:space="0" w:color="DDDDDD"/>
            </w:tcBorders>
            <w:shd w:fill="FFFFFF" w:val="clear"/>
            <w:tcMar>
              <w:start w:w="160" w:type="dxa"/>
            </w:tcMar>
          </w:tcPr>
          <w:p>
            <w:pPr>
              <w:pStyle w:val="Normal"/>
              <w:rPr/>
            </w:pPr>
            <w:r>
              <w:rPr>
                <w:rFonts w:eastAsia="Arial" w:cs="Arial"/>
                <w:color w:val="333333"/>
                <w:sz w:val="22"/>
                <w:szCs w:val="22"/>
              </w:rPr>
              <w:t>5% of ETH is staked via Lido (stETH) — generating ~4% APY</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5</w:t>
            </w:r>
          </w:p>
        </w:tc>
        <w:tc>
          <w:tcPr>
            <w:tcW w:w="8161" w:type="dxa"/>
            <w:tcBorders>
              <w:top w:val="single" w:sz="2" w:space="0" w:color="DDDDDD"/>
              <w:start w:val="single" w:sz="2" w:space="0" w:color="DDDDDD"/>
              <w:bottom w:val="single" w:sz="2" w:space="0" w:color="DDDDDD"/>
              <w:end w:val="single" w:sz="2" w:space="0" w:color="DDDDDD"/>
            </w:tcBorders>
            <w:shd w:fill="F8F9FA" w:val="clear"/>
            <w:tcMar>
              <w:start w:w="160" w:type="dxa"/>
            </w:tcMar>
          </w:tcPr>
          <w:p>
            <w:pPr>
              <w:pStyle w:val="Normal"/>
              <w:rPr/>
            </w:pPr>
            <w:r>
              <w:rPr>
                <w:rFonts w:eastAsia="Arial" w:cs="Arial"/>
                <w:color w:val="333333"/>
                <w:sz w:val="22"/>
                <w:szCs w:val="22"/>
              </w:rPr>
              <w:t>5% of ETH is staked via RocketPool (rETH) — generating ~4% APY</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6</w:t>
            </w:r>
          </w:p>
        </w:tc>
        <w:tc>
          <w:tcPr>
            <w:tcW w:w="8161" w:type="dxa"/>
            <w:tcBorders>
              <w:top w:val="single" w:sz="2" w:space="0" w:color="DDDDDD"/>
              <w:start w:val="single" w:sz="2" w:space="0" w:color="DDDDDD"/>
              <w:bottom w:val="single" w:sz="2" w:space="0" w:color="DDDDDD"/>
              <w:end w:val="single" w:sz="2" w:space="0" w:color="DDDDDD"/>
            </w:tcBorders>
            <w:shd w:fill="FFFFFF" w:val="clear"/>
            <w:tcMar>
              <w:start w:w="160" w:type="dxa"/>
            </w:tcMar>
          </w:tcPr>
          <w:p>
            <w:pPr>
              <w:pStyle w:val="Normal"/>
              <w:rPr/>
            </w:pPr>
            <w:r>
              <w:rPr>
                <w:rFonts w:eastAsia="Arial" w:cs="Arial"/>
                <w:color w:val="333333"/>
                <w:sz w:val="22"/>
                <w:szCs w:val="22"/>
              </w:rPr>
              <w:t>Permissionless rebalancer can be called by anyone when LP drifts outside range</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7</w:t>
            </w:r>
          </w:p>
        </w:tc>
        <w:tc>
          <w:tcPr>
            <w:tcW w:w="8161" w:type="dxa"/>
            <w:tcBorders>
              <w:top w:val="single" w:sz="2" w:space="0" w:color="DDDDDD"/>
              <w:start w:val="single" w:sz="2" w:space="0" w:color="DDDDDD"/>
              <w:bottom w:val="single" w:sz="2" w:space="0" w:color="DDDDDD"/>
              <w:end w:val="single" w:sz="2" w:space="0" w:color="DDDDDD"/>
            </w:tcBorders>
            <w:shd w:fill="F8F9FA" w:val="clear"/>
            <w:tcMar>
              <w:start w:w="160" w:type="dxa"/>
            </w:tcMar>
          </w:tcPr>
          <w:p>
            <w:pPr>
              <w:pStyle w:val="Normal"/>
              <w:rPr/>
            </w:pPr>
            <w:r>
              <w:rPr>
                <w:rFonts w:eastAsia="Arial" w:cs="Arial"/>
                <w:color w:val="333333"/>
                <w:sz w:val="22"/>
                <w:szCs w:val="22"/>
              </w:rPr>
              <w:t>All yield (LP fees + stETH + rETH) is continuously collected by the Vault</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8</w:t>
            </w:r>
          </w:p>
        </w:tc>
        <w:tc>
          <w:tcPr>
            <w:tcW w:w="8161" w:type="dxa"/>
            <w:tcBorders>
              <w:top w:val="single" w:sz="2" w:space="0" w:color="DDDDDD"/>
              <w:start w:val="single" w:sz="2" w:space="0" w:color="DDDDDD"/>
              <w:bottom w:val="single" w:sz="2" w:space="0" w:color="DDDDDD"/>
              <w:end w:val="single" w:sz="2" w:space="0" w:color="DDDDDD"/>
            </w:tcBorders>
            <w:shd w:fill="FFFFFF" w:val="clear"/>
            <w:tcMar>
              <w:start w:w="160" w:type="dxa"/>
            </w:tcMar>
          </w:tcPr>
          <w:p>
            <w:pPr>
              <w:pStyle w:val="Normal"/>
              <w:rPr/>
            </w:pPr>
            <w:r>
              <w:rPr>
                <w:rFonts w:eastAsia="Arial" w:cs="Arial"/>
                <w:color w:val="333333"/>
                <w:sz w:val="22"/>
                <w:szCs w:val="22"/>
              </w:rPr>
              <w:t>80–86% of yield is distributed to NFT holders (tier × loyalty multiplier)</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9</w:t>
            </w:r>
          </w:p>
        </w:tc>
        <w:tc>
          <w:tcPr>
            <w:tcW w:w="8161" w:type="dxa"/>
            <w:tcBorders>
              <w:top w:val="single" w:sz="2" w:space="0" w:color="DDDDDD"/>
              <w:start w:val="single" w:sz="2" w:space="0" w:color="DDDDDD"/>
              <w:bottom w:val="single" w:sz="2" w:space="0" w:color="DDDDDD"/>
              <w:end w:val="single" w:sz="2" w:space="0" w:color="DDDDDD"/>
            </w:tcBorders>
            <w:shd w:fill="F8F9FA" w:val="clear"/>
            <w:tcMar>
              <w:start w:w="160" w:type="dxa"/>
            </w:tcMar>
          </w:tcPr>
          <w:p>
            <w:pPr>
              <w:pStyle w:val="Normal"/>
              <w:rPr/>
            </w:pPr>
            <w:r>
              <w:rPr>
                <w:rFonts w:eastAsia="Arial" w:cs="Arial"/>
                <w:color w:val="333333"/>
                <w:sz w:val="22"/>
                <w:szCs w:val="22"/>
              </w:rPr>
              <w:t>15% of yield re-enters BuyAndBurn — buying and burning more HBURN</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10</w:t>
            </w:r>
          </w:p>
        </w:tc>
        <w:tc>
          <w:tcPr>
            <w:tcW w:w="8161" w:type="dxa"/>
            <w:tcBorders>
              <w:top w:val="single" w:sz="2" w:space="0" w:color="DDDDDD"/>
              <w:start w:val="single" w:sz="2" w:space="0" w:color="DDDDDD"/>
              <w:bottom w:val="single" w:sz="2" w:space="0" w:color="DDDDDD"/>
              <w:end w:val="single" w:sz="2" w:space="0" w:color="DDDDDD"/>
            </w:tcBorders>
            <w:shd w:fill="FFFFFF" w:val="clear"/>
            <w:tcMar>
              <w:start w:w="160" w:type="dxa"/>
            </w:tcMar>
          </w:tcPr>
          <w:p>
            <w:pPr>
              <w:pStyle w:val="Normal"/>
              <w:rPr/>
            </w:pPr>
            <w:r>
              <w:rPr>
                <w:rFonts w:eastAsia="Arial" w:cs="Arial"/>
                <w:color w:val="333333"/>
                <w:sz w:val="22"/>
                <w:szCs w:val="22"/>
              </w:rPr>
              <w:t>5% of yield flows into Reserve Pool — deployed when HBURN drops below threshold</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11</w:t>
            </w:r>
          </w:p>
        </w:tc>
        <w:tc>
          <w:tcPr>
            <w:tcW w:w="8161" w:type="dxa"/>
            <w:tcBorders>
              <w:top w:val="single" w:sz="2" w:space="0" w:color="DDDDDD"/>
              <w:start w:val="single" w:sz="2" w:space="0" w:color="DDDDDD"/>
              <w:bottom w:val="single" w:sz="2" w:space="0" w:color="DDDDDD"/>
              <w:end w:val="single" w:sz="2" w:space="0" w:color="DDDDDD"/>
            </w:tcBorders>
            <w:shd w:fill="F8F9FA" w:val="clear"/>
            <w:tcMar>
              <w:start w:w="160" w:type="dxa"/>
            </w:tcMar>
          </w:tcPr>
          <w:p>
            <w:pPr>
              <w:pStyle w:val="Normal"/>
              <w:rPr/>
            </w:pPr>
            <w:r>
              <w:rPr>
                <w:rFonts w:eastAsia="Arial" w:cs="Arial"/>
                <w:color w:val="333333"/>
                <w:sz w:val="22"/>
                <w:szCs w:val="22"/>
              </w:rPr>
              <w:t>When burn milestones are reached, bonus ETH payouts are triggered automatically</w:t>
            </w:r>
          </w:p>
        </w:tc>
      </w:tr>
    </w:tbl>
    <w:p>
      <w:pPr>
        <w:pStyle w:val="Normal"/>
        <w:spacing w:before="0" w:after="120"/>
        <w:rPr/>
      </w:pPr>
      <w:r>
        <w:rPr/>
      </w:r>
    </w:p>
    <w:p>
      <w:pPr>
        <w:pStyle w:val="Heading1"/>
        <w:spacing w:before="400" w:after="160"/>
        <w:rPr/>
      </w:pPr>
      <w:r>
        <w:rPr>
          <w:rFonts w:eastAsia="Arial" w:cs="Arial" w:ascii="Arial" w:hAnsi="Arial"/>
          <w:b/>
          <w:bCs/>
          <w:color w:val="1A1A2E"/>
          <w:sz w:val="36"/>
          <w:szCs w:val="36"/>
        </w:rPr>
        <w:t>4. NFT Tier System</w:t>
      </w:r>
    </w:p>
    <w:p>
      <w:pPr>
        <w:pStyle w:val="Normal"/>
        <w:spacing w:before="80" w:after="120"/>
        <w:rPr/>
      </w:pPr>
      <w:r>
        <w:rPr>
          <w:rFonts w:eastAsia="Arial" w:cs="Arial"/>
          <w:b w:val="false"/>
          <w:bCs w:val="false"/>
          <w:i w:val="false"/>
          <w:iCs w:val="false"/>
          <w:color w:val="333333"/>
          <w:sz w:val="22"/>
          <w:szCs w:val="22"/>
        </w:rPr>
        <w:t>Four tiers with limited supply, proportional multipliers, and Early Bird bonus for first minters. Maximum 5 NFTs per tier per wallet prevents single-wallet dominance.</w:t>
      </w:r>
    </w:p>
    <w:p>
      <w:pPr>
        <w:pStyle w:val="Normal"/>
        <w:spacing w:before="0" w:after="120"/>
        <w:rPr/>
      </w:pPr>
      <w:r>
        <w:rPr/>
      </w:r>
    </w:p>
    <w:tbl>
      <w:tblPr>
        <w:tblW w:w="9360" w:type="dxa"/>
        <w:jc w:val="start"/>
        <w:tblInd w:w="0" w:type="dxa"/>
        <w:tblLayout w:type="fixed"/>
        <w:tblCellMar>
          <w:top w:w="100" w:type="dxa"/>
          <w:start w:w="100" w:type="dxa"/>
          <w:bottom w:w="100" w:type="dxa"/>
          <w:end w:w="100" w:type="dxa"/>
        </w:tblCellMar>
      </w:tblPr>
      <w:tblGrid>
        <w:gridCol w:w="1300"/>
        <w:gridCol w:w="1099"/>
        <w:gridCol w:w="1200"/>
        <w:gridCol w:w="1001"/>
        <w:gridCol w:w="1299"/>
        <w:gridCol w:w="1661"/>
        <w:gridCol w:w="1800"/>
      </w:tblGrid>
      <w:tr>
        <w:trPr>
          <w:tblHeader w:val="true"/>
        </w:trPr>
        <w:tc>
          <w:tcPr>
            <w:tcW w:w="13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Tier</w:t>
            </w:r>
          </w:p>
        </w:tc>
        <w:tc>
          <w:tcPr>
            <w:tcW w:w="1099"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Mint Price</w:t>
            </w:r>
          </w:p>
        </w:tc>
        <w:tc>
          <w:tcPr>
            <w:tcW w:w="12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Max Supply</w:t>
            </w:r>
          </w:p>
        </w:tc>
        <w:tc>
          <w:tcPr>
            <w:tcW w:w="1001"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Max/Wallet</w:t>
            </w:r>
          </w:p>
        </w:tc>
        <w:tc>
          <w:tcPr>
            <w:tcW w:w="1299"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Multiplier</w:t>
            </w:r>
          </w:p>
        </w:tc>
        <w:tc>
          <w:tcPr>
            <w:tcW w:w="1661"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Early Bird</w:t>
            </w:r>
          </w:p>
        </w:tc>
        <w:tc>
          <w:tcPr>
            <w:tcW w:w="18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Max Pool</w:t>
            </w:r>
          </w:p>
        </w:tc>
      </w:tr>
      <w:tr>
        <w:trPr/>
        <w:tc>
          <w:tcPr>
            <w:tcW w:w="13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 xml:space="preserve">🥉 </w:t>
            </w:r>
            <w:r>
              <w:rPr>
                <w:rFonts w:eastAsia="Arial" w:cs="Arial"/>
                <w:b/>
                <w:bCs/>
                <w:color w:val="C0392B"/>
                <w:sz w:val="20"/>
                <w:szCs w:val="20"/>
              </w:rPr>
              <w:t>Bronze</w:t>
            </w:r>
          </w:p>
        </w:tc>
        <w:tc>
          <w:tcPr>
            <w:tcW w:w="10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0.1 ETH</w:t>
            </w:r>
          </w:p>
        </w:tc>
        <w:tc>
          <w:tcPr>
            <w:tcW w:w="12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5,000</w:t>
            </w:r>
          </w:p>
        </w:tc>
        <w:tc>
          <w:tcPr>
            <w:tcW w:w="100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5</w:t>
            </w:r>
          </w:p>
        </w:tc>
        <w:tc>
          <w:tcPr>
            <w:tcW w:w="12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1x</w:t>
            </w:r>
          </w:p>
        </w:tc>
        <w:tc>
          <w:tcPr>
            <w:tcW w:w="16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+10% first 500</w:t>
            </w:r>
          </w:p>
        </w:tc>
        <w:tc>
          <w:tcPr>
            <w:tcW w:w="18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500 ETH</w:t>
            </w:r>
          </w:p>
        </w:tc>
      </w:tr>
      <w:tr>
        <w:trPr/>
        <w:tc>
          <w:tcPr>
            <w:tcW w:w="13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 xml:space="preserve">🥈 </w:t>
            </w:r>
            <w:r>
              <w:rPr>
                <w:rFonts w:eastAsia="Arial" w:cs="Arial"/>
                <w:b/>
                <w:bCs/>
                <w:color w:val="C0392B"/>
                <w:sz w:val="20"/>
                <w:szCs w:val="20"/>
              </w:rPr>
              <w:t>Silver</w:t>
            </w:r>
          </w:p>
        </w:tc>
        <w:tc>
          <w:tcPr>
            <w:tcW w:w="10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0.5 ETH</w:t>
            </w:r>
          </w:p>
        </w:tc>
        <w:tc>
          <w:tcPr>
            <w:tcW w:w="12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3,000</w:t>
            </w:r>
          </w:p>
        </w:tc>
        <w:tc>
          <w:tcPr>
            <w:tcW w:w="100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5</w:t>
            </w:r>
          </w:p>
        </w:tc>
        <w:tc>
          <w:tcPr>
            <w:tcW w:w="12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5x</w:t>
            </w:r>
          </w:p>
        </w:tc>
        <w:tc>
          <w:tcPr>
            <w:tcW w:w="166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+10% first 300</w:t>
            </w:r>
          </w:p>
        </w:tc>
        <w:tc>
          <w:tcPr>
            <w:tcW w:w="18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1,500 ETH</w:t>
            </w:r>
          </w:p>
        </w:tc>
      </w:tr>
      <w:tr>
        <w:trPr/>
        <w:tc>
          <w:tcPr>
            <w:tcW w:w="13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 xml:space="preserve">🥇 </w:t>
            </w:r>
            <w:r>
              <w:rPr>
                <w:rFonts w:eastAsia="Arial" w:cs="Arial"/>
                <w:b/>
                <w:bCs/>
                <w:color w:val="C0392B"/>
                <w:sz w:val="20"/>
                <w:szCs w:val="20"/>
              </w:rPr>
              <w:t>Gold</w:t>
            </w:r>
          </w:p>
        </w:tc>
        <w:tc>
          <w:tcPr>
            <w:tcW w:w="10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1.0 ETH</w:t>
            </w:r>
          </w:p>
        </w:tc>
        <w:tc>
          <w:tcPr>
            <w:tcW w:w="12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1,500</w:t>
            </w:r>
          </w:p>
        </w:tc>
        <w:tc>
          <w:tcPr>
            <w:tcW w:w="100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5</w:t>
            </w:r>
          </w:p>
        </w:tc>
        <w:tc>
          <w:tcPr>
            <w:tcW w:w="12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9x</w:t>
            </w:r>
          </w:p>
        </w:tc>
        <w:tc>
          <w:tcPr>
            <w:tcW w:w="16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+10% first 150</w:t>
            </w:r>
          </w:p>
        </w:tc>
        <w:tc>
          <w:tcPr>
            <w:tcW w:w="18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1,500 ETH</w:t>
            </w:r>
          </w:p>
        </w:tc>
      </w:tr>
      <w:tr>
        <w:trPr/>
        <w:tc>
          <w:tcPr>
            <w:tcW w:w="13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 xml:space="preserve">💎 </w:t>
            </w:r>
            <w:r>
              <w:rPr>
                <w:rFonts w:eastAsia="Arial" w:cs="Arial"/>
                <w:b/>
                <w:bCs/>
                <w:color w:val="C0392B"/>
                <w:sz w:val="20"/>
                <w:szCs w:val="20"/>
              </w:rPr>
              <w:t>Diamond</w:t>
            </w:r>
          </w:p>
        </w:tc>
        <w:tc>
          <w:tcPr>
            <w:tcW w:w="10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5.0 ETH</w:t>
            </w:r>
          </w:p>
        </w:tc>
        <w:tc>
          <w:tcPr>
            <w:tcW w:w="12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500</w:t>
            </w:r>
          </w:p>
        </w:tc>
        <w:tc>
          <w:tcPr>
            <w:tcW w:w="100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5</w:t>
            </w:r>
          </w:p>
        </w:tc>
        <w:tc>
          <w:tcPr>
            <w:tcW w:w="12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40x</w:t>
            </w:r>
          </w:p>
        </w:tc>
        <w:tc>
          <w:tcPr>
            <w:tcW w:w="166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+10% first 50</w:t>
            </w:r>
          </w:p>
        </w:tc>
        <w:tc>
          <w:tcPr>
            <w:tcW w:w="18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2,500 ETH</w:t>
            </w:r>
          </w:p>
        </w:tc>
      </w:tr>
      <w:tr>
        <w:trPr/>
        <w:tc>
          <w:tcPr>
            <w:tcW w:w="13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Total</w:t>
            </w:r>
          </w:p>
        </w:tc>
        <w:tc>
          <w:tcPr>
            <w:tcW w:w="10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
          </w:p>
        </w:tc>
        <w:tc>
          <w:tcPr>
            <w:tcW w:w="12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10,000</w:t>
            </w:r>
          </w:p>
        </w:tc>
        <w:tc>
          <w:tcPr>
            <w:tcW w:w="100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
          </w:p>
        </w:tc>
        <w:tc>
          <w:tcPr>
            <w:tcW w:w="12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
          </w:p>
        </w:tc>
        <w:tc>
          <w:tcPr>
            <w:tcW w:w="16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
          </w:p>
        </w:tc>
        <w:tc>
          <w:tcPr>
            <w:tcW w:w="18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6,000 ETH</w:t>
            </w:r>
          </w:p>
        </w:tc>
      </w:tr>
    </w:tbl>
    <w:p>
      <w:pPr>
        <w:pStyle w:val="Normal"/>
        <w:spacing w:before="0" w:after="12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DDDDDD"/>
              <w:start w:val="single" w:sz="2" w:space="0" w:color="DDDDDD"/>
              <w:bottom w:val="single" w:sz="2" w:space="0" w:color="DDDDDD"/>
              <w:end w:val="single" w:sz="2" w:space="0" w:color="DDDDDD"/>
            </w:tcBorders>
            <w:shd w:fill="E8F5E9" w:val="clear"/>
          </w:tcPr>
          <w:p>
            <w:pPr>
              <w:pStyle w:val="Normal"/>
              <w:rPr/>
            </w:pPr>
            <w:r>
              <w:rPr>
                <w:rFonts w:eastAsia="Arial" w:cs="Arial"/>
                <w:i/>
                <w:iCs/>
                <w:color w:val="1B5E20"/>
                <w:sz w:val="21"/>
                <w:szCs w:val="21"/>
              </w:rPr>
              <w:t xml:space="preserve">🚀 </w:t>
            </w:r>
            <w:r>
              <w:rPr>
                <w:rFonts w:eastAsia="Arial" w:cs="Arial"/>
                <w:i/>
                <w:iCs/>
                <w:color w:val="1B5E20"/>
                <w:sz w:val="21"/>
                <w:szCs w:val="21"/>
              </w:rPr>
              <w:t>Early Bird Bonus: The first minters in each tier receive a permanent +10% multiplier on top of their tier multiplier. This bonus is locked into the NFT at mint time and cannot be changed — it transfers with the NFT on secondary market sales.</w:t>
            </w:r>
          </w:p>
        </w:tc>
      </w:tr>
    </w:tbl>
    <w:p>
      <w:pPr>
        <w:pStyle w:val="Normal"/>
        <w:spacing w:before="0" w:after="120"/>
        <w:rPr/>
      </w:pPr>
      <w:r>
        <w:rPr/>
      </w:r>
    </w:p>
    <w:p>
      <w:pPr>
        <w:pStyle w:val="Heading1"/>
        <w:spacing w:before="400" w:after="160"/>
        <w:rPr/>
      </w:pPr>
      <w:r>
        <w:rPr>
          <w:rFonts w:eastAsia="Arial" w:cs="Arial" w:ascii="Arial" w:hAnsi="Arial"/>
          <w:b/>
          <w:bCs/>
          <w:color w:val="1A1A2E"/>
          <w:sz w:val="36"/>
          <w:szCs w:val="36"/>
        </w:rPr>
        <w:t>5. Loyalty Boost — Diamond Hands Rewarded</w:t>
      </w:r>
    </w:p>
    <w:p>
      <w:pPr>
        <w:pStyle w:val="Normal"/>
        <w:spacing w:before="80" w:after="120"/>
        <w:rPr/>
      </w:pPr>
      <w:r>
        <w:rPr>
          <w:rFonts w:eastAsia="Arial" w:cs="Arial"/>
          <w:b w:val="false"/>
          <w:bCs w:val="false"/>
          <w:i w:val="false"/>
          <w:iCs w:val="false"/>
          <w:color w:val="333333"/>
          <w:sz w:val="22"/>
          <w:szCs w:val="22"/>
        </w:rPr>
        <w:t>HellBurn's Vault rewards long-term holders with an increasing yield share. The loyalty multiplier is calculated on-chain based on the time elapsed since mint. It reduces selling pressure and aligns NFT holder incentives with long-term protocol success.</w:t>
      </w:r>
    </w:p>
    <w:p>
      <w:pPr>
        <w:pStyle w:val="Normal"/>
        <w:spacing w:before="0" w:after="120"/>
        <w:rPr/>
      </w:pPr>
      <w:r>
        <w:rPr/>
      </w:r>
    </w:p>
    <w:tbl>
      <w:tblPr>
        <w:tblW w:w="9360" w:type="dxa"/>
        <w:jc w:val="start"/>
        <w:tblInd w:w="0" w:type="dxa"/>
        <w:tblLayout w:type="fixed"/>
        <w:tblCellMar>
          <w:top w:w="100" w:type="dxa"/>
          <w:start w:w="100" w:type="dxa"/>
          <w:bottom w:w="100" w:type="dxa"/>
          <w:end w:w="100" w:type="dxa"/>
        </w:tblCellMar>
      </w:tblPr>
      <w:tblGrid>
        <w:gridCol w:w="3120"/>
        <w:gridCol w:w="3120"/>
        <w:gridCol w:w="3120"/>
      </w:tblGrid>
      <w:tr>
        <w:trPr>
          <w:tblHeader w:val="true"/>
        </w:trPr>
        <w:tc>
          <w:tcPr>
            <w:tcW w:w="312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Holding Period</w:t>
            </w:r>
          </w:p>
        </w:tc>
        <w:tc>
          <w:tcPr>
            <w:tcW w:w="312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Yield Share</w:t>
            </w:r>
          </w:p>
        </w:tc>
        <w:tc>
          <w:tcPr>
            <w:tcW w:w="312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Boost vs. Base</w:t>
            </w:r>
          </w:p>
        </w:tc>
      </w:tr>
      <w:tr>
        <w:trPr/>
        <w:tc>
          <w:tcPr>
            <w:tcW w:w="312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0 – 3 months</w:t>
            </w:r>
          </w:p>
        </w:tc>
        <w:tc>
          <w:tcPr>
            <w:tcW w:w="312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80%</w:t>
            </w:r>
          </w:p>
        </w:tc>
        <w:tc>
          <w:tcPr>
            <w:tcW w:w="312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Base</w:t>
            </w:r>
          </w:p>
        </w:tc>
      </w:tr>
      <w:tr>
        <w:trPr/>
        <w:tc>
          <w:tcPr>
            <w:tcW w:w="312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3 – 6 months</w:t>
            </w:r>
          </w:p>
        </w:tc>
        <w:tc>
          <w:tcPr>
            <w:tcW w:w="312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82%</w:t>
            </w:r>
          </w:p>
        </w:tc>
        <w:tc>
          <w:tcPr>
            <w:tcW w:w="312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+2%</w:t>
            </w:r>
          </w:p>
        </w:tc>
      </w:tr>
      <w:tr>
        <w:trPr/>
        <w:tc>
          <w:tcPr>
            <w:tcW w:w="312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6 – 12 months</w:t>
            </w:r>
          </w:p>
        </w:tc>
        <w:tc>
          <w:tcPr>
            <w:tcW w:w="312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84%</w:t>
            </w:r>
          </w:p>
        </w:tc>
        <w:tc>
          <w:tcPr>
            <w:tcW w:w="312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+4%</w:t>
            </w:r>
          </w:p>
        </w:tc>
      </w:tr>
      <w:tr>
        <w:trPr/>
        <w:tc>
          <w:tcPr>
            <w:tcW w:w="312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12+ months</w:t>
            </w:r>
          </w:p>
        </w:tc>
        <w:tc>
          <w:tcPr>
            <w:tcW w:w="312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86%</w:t>
            </w:r>
          </w:p>
        </w:tc>
        <w:tc>
          <w:tcPr>
            <w:tcW w:w="312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+6%</w:t>
            </w:r>
          </w:p>
        </w:tc>
      </w:tr>
    </w:tbl>
    <w:p>
      <w:pPr>
        <w:pStyle w:val="Normal"/>
        <w:spacing w:before="0" w:after="12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DDDDDD"/>
              <w:start w:val="single" w:sz="2" w:space="0" w:color="DDDDDD"/>
              <w:bottom w:val="single" w:sz="2" w:space="0" w:color="DDDDDD"/>
              <w:end w:val="single" w:sz="2" w:space="0" w:color="DDDDDD"/>
            </w:tcBorders>
            <w:shd w:fill="E3F2FD" w:val="clear"/>
          </w:tcPr>
          <w:p>
            <w:pPr>
              <w:pStyle w:val="Normal"/>
              <w:rPr/>
            </w:pPr>
            <w:r>
              <w:rPr>
                <w:rFonts w:eastAsia="Arial" w:cs="Arial"/>
                <w:i/>
                <w:iCs/>
                <w:color w:val="0D47A1"/>
                <w:sz w:val="21"/>
                <w:szCs w:val="21"/>
              </w:rPr>
              <w:t xml:space="preserve">ℹ️  </w:t>
            </w:r>
            <w:r>
              <w:rPr>
                <w:rFonts w:eastAsia="Arial" w:cs="Arial"/>
                <w:i/>
                <w:iCs/>
                <w:color w:val="0D47A1"/>
                <w:sz w:val="21"/>
                <w:szCs w:val="21"/>
              </w:rPr>
              <w:t>The loyalty boost applies to the NFT, not the wallet. If you sell your NFT, the new owner inherits the accumulated loyalty level — making aged NFTs more valuable on the secondary market.</w:t>
            </w:r>
          </w:p>
        </w:tc>
      </w:tr>
    </w:tbl>
    <w:p>
      <w:pPr>
        <w:pStyle w:val="Normal"/>
        <w:spacing w:before="0" w:after="120"/>
        <w:rPr/>
      </w:pPr>
      <w:r>
        <w:rPr/>
      </w:r>
    </w:p>
    <w:p>
      <w:pPr>
        <w:pStyle w:val="Heading1"/>
        <w:spacing w:before="400" w:after="160"/>
        <w:rPr/>
      </w:pPr>
      <w:r>
        <w:rPr>
          <w:rFonts w:eastAsia="Arial" w:cs="Arial" w:ascii="Arial" w:hAnsi="Arial"/>
          <w:b/>
          <w:bCs/>
          <w:color w:val="1A1A2E"/>
          <w:sz w:val="36"/>
          <w:szCs w:val="36"/>
        </w:rPr>
        <w:t>6. Tokenomics &amp; ETH Flow</w:t>
      </w:r>
    </w:p>
    <w:p>
      <w:pPr>
        <w:pStyle w:val="Heading2"/>
        <w:spacing w:before="320" w:after="120"/>
        <w:rPr/>
      </w:pPr>
      <w:r>
        <w:rPr>
          <w:rFonts w:eastAsia="Arial" w:cs="Arial" w:ascii="Arial" w:hAnsi="Arial"/>
          <w:b/>
          <w:bCs/>
          <w:color w:val="C0392B"/>
          <w:sz w:val="28"/>
          <w:szCs w:val="28"/>
        </w:rPr>
        <w:t>Mint ETH Allocation</w:t>
      </w:r>
    </w:p>
    <w:tbl>
      <w:tblPr>
        <w:tblW w:w="9360" w:type="dxa"/>
        <w:jc w:val="start"/>
        <w:tblInd w:w="0" w:type="dxa"/>
        <w:tblLayout w:type="fixed"/>
        <w:tblCellMar>
          <w:top w:w="100" w:type="dxa"/>
          <w:start w:w="100" w:type="dxa"/>
          <w:bottom w:w="100" w:type="dxa"/>
          <w:end w:w="100" w:type="dxa"/>
        </w:tblCellMar>
      </w:tblPr>
      <w:tblGrid>
        <w:gridCol w:w="999"/>
        <w:gridCol w:w="3561"/>
        <w:gridCol w:w="4800"/>
      </w:tblGrid>
      <w:tr>
        <w:trPr>
          <w:tblHeader w:val="true"/>
        </w:trPr>
        <w:tc>
          <w:tcPr>
            <w:tcW w:w="999"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Allocation</w:t>
            </w:r>
          </w:p>
        </w:tc>
        <w:tc>
          <w:tcPr>
            <w:tcW w:w="3561"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Destination</w:t>
            </w:r>
          </w:p>
        </w:tc>
        <w:tc>
          <w:tcPr>
            <w:tcW w:w="48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Purpose</w:t>
            </w:r>
          </w:p>
        </w:tc>
      </w:tr>
      <w:tr>
        <w:trPr/>
        <w:tc>
          <w:tcPr>
            <w:tcW w:w="9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50%</w:t>
            </w:r>
          </w:p>
        </w:tc>
        <w:tc>
          <w:tcPr>
            <w:tcW w:w="35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Buys &amp; burns HBURN permanently</w:t>
            </w:r>
          </w:p>
        </w:tc>
        <w:tc>
          <w:tcPr>
            <w:tcW w:w="48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Maximum deflationary pressure on HBURN supply</w:t>
            </w:r>
          </w:p>
        </w:tc>
      </w:tr>
      <w:tr>
        <w:trPr/>
        <w:tc>
          <w:tcPr>
            <w:tcW w:w="9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40%</w:t>
            </w:r>
          </w:p>
        </w:tc>
        <w:tc>
          <w:tcPr>
            <w:tcW w:w="356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HBURN/ETH Uniswap V3 Concentrated LP</w:t>
            </w:r>
          </w:p>
        </w:tc>
        <w:tc>
          <w:tcPr>
            <w:tcW w:w="48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Generates trading fee yield — permissionless rebalancer</w:t>
            </w:r>
          </w:p>
        </w:tc>
      </w:tr>
      <w:tr>
        <w:trPr/>
        <w:tc>
          <w:tcPr>
            <w:tcW w:w="9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5%</w:t>
            </w:r>
          </w:p>
        </w:tc>
        <w:tc>
          <w:tcPr>
            <w:tcW w:w="35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Lido Liquid Staking (stETH)</w:t>
            </w:r>
          </w:p>
        </w:tc>
        <w:tc>
          <w:tcPr>
            <w:tcW w:w="48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ETH staking yield — Lido (~4% APY)</w:t>
            </w:r>
          </w:p>
        </w:tc>
      </w:tr>
      <w:tr>
        <w:trPr/>
        <w:tc>
          <w:tcPr>
            <w:tcW w:w="9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5%</w:t>
            </w:r>
          </w:p>
        </w:tc>
        <w:tc>
          <w:tcPr>
            <w:tcW w:w="356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RocketPool Liquid Staking (rETH)</w:t>
            </w:r>
          </w:p>
        </w:tc>
        <w:tc>
          <w:tcPr>
            <w:tcW w:w="48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ETH staking yield — RocketPool (~4% APY)</w:t>
            </w:r>
          </w:p>
        </w:tc>
      </w:tr>
    </w:tbl>
    <w:p>
      <w:pPr>
        <w:pStyle w:val="Normal"/>
        <w:spacing w:before="0" w:after="120"/>
        <w:rPr/>
      </w:pPr>
      <w:r>
        <w:rPr/>
      </w:r>
    </w:p>
    <w:p>
      <w:pPr>
        <w:pStyle w:val="Heading2"/>
        <w:spacing w:before="320" w:after="120"/>
        <w:rPr/>
      </w:pPr>
      <w:r>
        <w:rPr>
          <w:rFonts w:eastAsia="Arial" w:cs="Arial" w:ascii="Arial" w:hAnsi="Arial"/>
          <w:b/>
          <w:bCs/>
          <w:color w:val="C0392B"/>
          <w:sz w:val="28"/>
          <w:szCs w:val="28"/>
        </w:rPr>
        <w:t>Yield Distribution</w:t>
      </w:r>
    </w:p>
    <w:p>
      <w:pPr>
        <w:pStyle w:val="Normal"/>
        <w:spacing w:before="80" w:after="120"/>
        <w:rPr/>
      </w:pPr>
      <w:r>
        <w:rPr>
          <w:rFonts w:eastAsia="Arial" w:cs="Arial"/>
          <w:b w:val="false"/>
          <w:bCs w:val="false"/>
          <w:i w:val="false"/>
          <w:iCs w:val="false"/>
          <w:color w:val="333333"/>
          <w:sz w:val="22"/>
          <w:szCs w:val="22"/>
        </w:rPr>
        <w:t>The 5% Reserve Pool is deployed automatically when HBURN drops below a predefined on-chain price threshold — no admin action required.</w:t>
      </w:r>
    </w:p>
    <w:p>
      <w:pPr>
        <w:pStyle w:val="Normal"/>
        <w:spacing w:before="0" w:after="120"/>
        <w:rPr/>
      </w:pPr>
      <w:r>
        <w:rPr/>
      </w:r>
    </w:p>
    <w:tbl>
      <w:tblPr>
        <w:tblW w:w="9360" w:type="dxa"/>
        <w:jc w:val="start"/>
        <w:tblInd w:w="0" w:type="dxa"/>
        <w:tblLayout w:type="fixed"/>
        <w:tblCellMar>
          <w:top w:w="100" w:type="dxa"/>
          <w:start w:w="100" w:type="dxa"/>
          <w:bottom w:w="100" w:type="dxa"/>
          <w:end w:w="100" w:type="dxa"/>
        </w:tblCellMar>
      </w:tblPr>
      <w:tblGrid>
        <w:gridCol w:w="1400"/>
        <w:gridCol w:w="1999"/>
        <w:gridCol w:w="5961"/>
      </w:tblGrid>
      <w:tr>
        <w:trPr>
          <w:tblHeader w:val="true"/>
        </w:trPr>
        <w:tc>
          <w:tcPr>
            <w:tcW w:w="14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Share</w:t>
            </w:r>
          </w:p>
        </w:tc>
        <w:tc>
          <w:tcPr>
            <w:tcW w:w="1999"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Recipient</w:t>
            </w:r>
          </w:p>
        </w:tc>
        <w:tc>
          <w:tcPr>
            <w:tcW w:w="5961"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Effect</w:t>
            </w:r>
          </w:p>
        </w:tc>
      </w:tr>
      <w:tr>
        <w:trPr/>
        <w:tc>
          <w:tcPr>
            <w:tcW w:w="14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80–86%</w:t>
            </w:r>
          </w:p>
        </w:tc>
        <w:tc>
          <w:tcPr>
            <w:tcW w:w="19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NFT Holders</w:t>
            </w:r>
          </w:p>
        </w:tc>
        <w:tc>
          <w:tcPr>
            <w:tcW w:w="59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Proportional to tier × loyalty multiplier — paid in ETH</w:t>
            </w:r>
          </w:p>
        </w:tc>
      </w:tr>
      <w:tr>
        <w:trPr/>
        <w:tc>
          <w:tcPr>
            <w:tcW w:w="14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15%</w:t>
            </w:r>
          </w:p>
        </w:tc>
        <w:tc>
          <w:tcPr>
            <w:tcW w:w="19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BuyAndBurn</w:t>
            </w:r>
          </w:p>
        </w:tc>
        <w:tc>
          <w:tcPr>
            <w:tcW w:w="596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Buys &amp; burns HBURN permanently — compounds deflation</w:t>
            </w:r>
          </w:p>
        </w:tc>
      </w:tr>
      <w:tr>
        <w:trPr/>
        <w:tc>
          <w:tcPr>
            <w:tcW w:w="14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5%</w:t>
            </w:r>
          </w:p>
        </w:tc>
        <w:tc>
          <w:tcPr>
            <w:tcW w:w="19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Reserve Pool</w:t>
            </w:r>
          </w:p>
        </w:tc>
        <w:tc>
          <w:tcPr>
            <w:tcW w:w="59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Price floor support — deployed when HBURN drops below threshold</w:t>
            </w:r>
          </w:p>
        </w:tc>
      </w:tr>
    </w:tbl>
    <w:p>
      <w:pPr>
        <w:pStyle w:val="Normal"/>
        <w:spacing w:before="0" w:after="120"/>
        <w:rPr/>
      </w:pPr>
      <w:r>
        <w:rPr/>
      </w:r>
    </w:p>
    <w:p>
      <w:pPr>
        <w:pStyle w:val="Heading2"/>
        <w:spacing w:before="320" w:after="120"/>
        <w:rPr/>
      </w:pPr>
      <w:r>
        <w:rPr>
          <w:rFonts w:eastAsia="Arial" w:cs="Arial" w:ascii="Arial" w:hAnsi="Arial"/>
          <w:b/>
          <w:bCs/>
          <w:color w:val="C0392B"/>
          <w:sz w:val="28"/>
          <w:szCs w:val="28"/>
        </w:rPr>
        <w:t>The Deflationary Loop</w:t>
      </w:r>
    </w:p>
    <w:tbl>
      <w:tblPr>
        <w:tblW w:w="9360" w:type="dxa"/>
        <w:jc w:val="start"/>
        <w:tblInd w:w="0" w:type="dxa"/>
        <w:tblLayout w:type="fixed"/>
        <w:tblCellMar>
          <w:top w:w="100" w:type="dxa"/>
          <w:start w:w="120" w:type="dxa"/>
          <w:bottom w:w="100" w:type="dxa"/>
          <w:end w:w="120" w:type="dxa"/>
        </w:tblCellMar>
      </w:tblPr>
      <w:tblGrid>
        <w:gridCol w:w="1199"/>
        <w:gridCol w:w="8161"/>
      </w:tblGrid>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1</w:t>
            </w:r>
          </w:p>
        </w:tc>
        <w:tc>
          <w:tcPr>
            <w:tcW w:w="8161" w:type="dxa"/>
            <w:tcBorders>
              <w:top w:val="single" w:sz="2" w:space="0" w:color="DDDDDD"/>
              <w:start w:val="single" w:sz="2" w:space="0" w:color="DDDDDD"/>
              <w:bottom w:val="single" w:sz="2" w:space="0" w:color="DDDDDD"/>
              <w:end w:val="single" w:sz="2" w:space="0" w:color="DDDDDD"/>
            </w:tcBorders>
            <w:shd w:fill="F8F9FA" w:val="clear"/>
            <w:tcMar>
              <w:start w:w="160" w:type="dxa"/>
            </w:tcMar>
          </w:tcPr>
          <w:p>
            <w:pPr>
              <w:pStyle w:val="Normal"/>
              <w:rPr/>
            </w:pPr>
            <w:r>
              <w:rPr>
                <w:rFonts w:eastAsia="Arial" w:cs="Arial"/>
                <w:color w:val="333333"/>
                <w:sz w:val="22"/>
                <w:szCs w:val="22"/>
              </w:rPr>
              <w:t>More NFT mints → more ETH into the Vault</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2</w:t>
            </w:r>
          </w:p>
        </w:tc>
        <w:tc>
          <w:tcPr>
            <w:tcW w:w="8161" w:type="dxa"/>
            <w:tcBorders>
              <w:top w:val="single" w:sz="2" w:space="0" w:color="DDDDDD"/>
              <w:start w:val="single" w:sz="2" w:space="0" w:color="DDDDDD"/>
              <w:bottom w:val="single" w:sz="2" w:space="0" w:color="DDDDDD"/>
              <w:end w:val="single" w:sz="2" w:space="0" w:color="DDDDDD"/>
            </w:tcBorders>
            <w:shd w:fill="FFFFFF" w:val="clear"/>
            <w:tcMar>
              <w:start w:w="160" w:type="dxa"/>
            </w:tcMar>
          </w:tcPr>
          <w:p>
            <w:pPr>
              <w:pStyle w:val="Normal"/>
              <w:rPr/>
            </w:pPr>
            <w:r>
              <w:rPr>
                <w:rFonts w:eastAsia="Arial" w:cs="Arial"/>
                <w:color w:val="333333"/>
                <w:sz w:val="22"/>
                <w:szCs w:val="22"/>
              </w:rPr>
              <w:t>More ETH → more HBURN bought and burned → supply decreases permanently</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3</w:t>
            </w:r>
          </w:p>
        </w:tc>
        <w:tc>
          <w:tcPr>
            <w:tcW w:w="8161" w:type="dxa"/>
            <w:tcBorders>
              <w:top w:val="single" w:sz="2" w:space="0" w:color="DDDDDD"/>
              <w:start w:val="single" w:sz="2" w:space="0" w:color="DDDDDD"/>
              <w:bottom w:val="single" w:sz="2" w:space="0" w:color="DDDDDD"/>
              <w:end w:val="single" w:sz="2" w:space="0" w:color="DDDDDD"/>
            </w:tcBorders>
            <w:shd w:fill="F8F9FA" w:val="clear"/>
            <w:tcMar>
              <w:start w:w="160" w:type="dxa"/>
            </w:tcMar>
          </w:tcPr>
          <w:p>
            <w:pPr>
              <w:pStyle w:val="Normal"/>
              <w:rPr/>
            </w:pPr>
            <w:r>
              <w:rPr>
                <w:rFonts w:eastAsia="Arial" w:cs="Arial"/>
                <w:color w:val="333333"/>
                <w:sz w:val="22"/>
                <w:szCs w:val="22"/>
              </w:rPr>
              <w:t>Lower supply → higher HBURN price → more valuable LP position</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4</w:t>
            </w:r>
          </w:p>
        </w:tc>
        <w:tc>
          <w:tcPr>
            <w:tcW w:w="8161" w:type="dxa"/>
            <w:tcBorders>
              <w:top w:val="single" w:sz="2" w:space="0" w:color="DDDDDD"/>
              <w:start w:val="single" w:sz="2" w:space="0" w:color="DDDDDD"/>
              <w:bottom w:val="single" w:sz="2" w:space="0" w:color="DDDDDD"/>
              <w:end w:val="single" w:sz="2" w:space="0" w:color="DDDDDD"/>
            </w:tcBorders>
            <w:shd w:fill="FFFFFF" w:val="clear"/>
            <w:tcMar>
              <w:start w:w="160" w:type="dxa"/>
            </w:tcMar>
          </w:tcPr>
          <w:p>
            <w:pPr>
              <w:pStyle w:val="Normal"/>
              <w:rPr/>
            </w:pPr>
            <w:r>
              <w:rPr>
                <w:rFonts w:eastAsia="Arial" w:cs="Arial"/>
                <w:color w:val="333333"/>
                <w:sz w:val="22"/>
                <w:szCs w:val="22"/>
              </w:rPr>
              <w:t>Higher HBURN price → more trading fees → more ETH yield for holders</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5</w:t>
            </w:r>
          </w:p>
        </w:tc>
        <w:tc>
          <w:tcPr>
            <w:tcW w:w="8161" w:type="dxa"/>
            <w:tcBorders>
              <w:top w:val="single" w:sz="2" w:space="0" w:color="DDDDDD"/>
              <w:start w:val="single" w:sz="2" w:space="0" w:color="DDDDDD"/>
              <w:bottom w:val="single" w:sz="2" w:space="0" w:color="DDDDDD"/>
              <w:end w:val="single" w:sz="2" w:space="0" w:color="DDDDDD"/>
            </w:tcBorders>
            <w:shd w:fill="F8F9FA" w:val="clear"/>
            <w:tcMar>
              <w:start w:w="160" w:type="dxa"/>
            </w:tcMar>
          </w:tcPr>
          <w:p>
            <w:pPr>
              <w:pStyle w:val="Normal"/>
              <w:rPr/>
            </w:pPr>
            <w:r>
              <w:rPr>
                <w:rFonts w:eastAsia="Arial" w:cs="Arial"/>
                <w:color w:val="333333"/>
                <w:sz w:val="22"/>
                <w:szCs w:val="22"/>
              </w:rPr>
              <w:t>Loyalty boost keeps holders long-term → less sell pressure → price stability</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6</w:t>
            </w:r>
          </w:p>
        </w:tc>
        <w:tc>
          <w:tcPr>
            <w:tcW w:w="8161" w:type="dxa"/>
            <w:tcBorders>
              <w:top w:val="single" w:sz="2" w:space="0" w:color="DDDDDD"/>
              <w:start w:val="single" w:sz="2" w:space="0" w:color="DDDDDD"/>
              <w:bottom w:val="single" w:sz="2" w:space="0" w:color="DDDDDD"/>
              <w:end w:val="single" w:sz="2" w:space="0" w:color="DDDDDD"/>
            </w:tcBorders>
            <w:shd w:fill="FFFFFF" w:val="clear"/>
            <w:tcMar>
              <w:start w:w="160" w:type="dxa"/>
            </w:tcMar>
          </w:tcPr>
          <w:p>
            <w:pPr>
              <w:pStyle w:val="Normal"/>
              <w:rPr/>
            </w:pPr>
            <w:r>
              <w:rPr>
                <w:rFonts w:eastAsia="Arial" w:cs="Arial"/>
                <w:color w:val="333333"/>
                <w:sz w:val="22"/>
                <w:szCs w:val="22"/>
              </w:rPr>
              <w:t>Reserve Pool activates on dips → price floor → LP fees protected</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7</w:t>
            </w:r>
          </w:p>
        </w:tc>
        <w:tc>
          <w:tcPr>
            <w:tcW w:w="8161" w:type="dxa"/>
            <w:tcBorders>
              <w:top w:val="single" w:sz="2" w:space="0" w:color="DDDDDD"/>
              <w:start w:val="single" w:sz="2" w:space="0" w:color="DDDDDD"/>
              <w:bottom w:val="single" w:sz="2" w:space="0" w:color="DDDDDD"/>
              <w:end w:val="single" w:sz="2" w:space="0" w:color="DDDDDD"/>
            </w:tcBorders>
            <w:shd w:fill="F8F9FA" w:val="clear"/>
            <w:tcMar>
              <w:start w:w="160" w:type="dxa"/>
            </w:tcMar>
          </w:tcPr>
          <w:p>
            <w:pPr>
              <w:pStyle w:val="Normal"/>
              <w:rPr/>
            </w:pPr>
            <w:r>
              <w:rPr>
                <w:rFonts w:eastAsia="Arial" w:cs="Arial"/>
                <w:color w:val="333333"/>
                <w:sz w:val="22"/>
                <w:szCs w:val="22"/>
              </w:rPr>
              <w:t>Burn milestones activate → community excitement → new minters attracted</w:t>
            </w:r>
          </w:p>
        </w:tc>
      </w:tr>
      <w:tr>
        <w:trPr/>
        <w:tc>
          <w:tcPr>
            <w:tcW w:w="1199" w:type="dxa"/>
            <w:tcBorders>
              <w:top w:val="single" w:sz="2" w:space="0" w:color="DDDDDD"/>
              <w:start w:val="single" w:sz="2" w:space="0" w:color="DDDDDD"/>
              <w:bottom w:val="single" w:sz="2" w:space="0" w:color="DDDDDD"/>
              <w:end w:val="single" w:sz="2" w:space="0" w:color="DDDDDD"/>
            </w:tcBorders>
            <w:shd w:fill="C0392B" w:val="clear"/>
          </w:tcPr>
          <w:p>
            <w:pPr>
              <w:pStyle w:val="Normal"/>
              <w:jc w:val="center"/>
              <w:rPr/>
            </w:pPr>
            <w:r>
              <w:rPr>
                <w:rFonts w:eastAsia="Arial" w:cs="Arial"/>
                <w:b/>
                <w:bCs/>
                <w:color w:val="FFFFFF"/>
                <w:sz w:val="26"/>
                <w:szCs w:val="26"/>
              </w:rPr>
              <w:t>8</w:t>
            </w:r>
          </w:p>
        </w:tc>
        <w:tc>
          <w:tcPr>
            <w:tcW w:w="8161" w:type="dxa"/>
            <w:tcBorders>
              <w:top w:val="single" w:sz="2" w:space="0" w:color="DDDDDD"/>
              <w:start w:val="single" w:sz="2" w:space="0" w:color="DDDDDD"/>
              <w:bottom w:val="single" w:sz="2" w:space="0" w:color="DDDDDD"/>
              <w:end w:val="single" w:sz="2" w:space="0" w:color="DDDDDD"/>
            </w:tcBorders>
            <w:shd w:fill="FFFFFF" w:val="clear"/>
            <w:tcMar>
              <w:start w:w="160" w:type="dxa"/>
            </w:tcMar>
          </w:tcPr>
          <w:p>
            <w:pPr>
              <w:pStyle w:val="Normal"/>
              <w:rPr/>
            </w:pPr>
            <w:r>
              <w:rPr>
                <w:rFonts w:eastAsia="Arial" w:cs="Arial"/>
                <w:color w:val="333333"/>
                <w:sz w:val="22"/>
                <w:szCs w:val="22"/>
              </w:rPr>
              <w:t>Cycle compounds — stronger with every new participant</w:t>
            </w:r>
          </w:p>
        </w:tc>
      </w:tr>
    </w:tbl>
    <w:p>
      <w:pPr>
        <w:pStyle w:val="Normal"/>
        <w:spacing w:before="0" w:after="120"/>
        <w:rPr/>
      </w:pPr>
      <w:r>
        <w:rPr/>
      </w:r>
    </w:p>
    <w:p>
      <w:pPr>
        <w:pStyle w:val="Heading1"/>
        <w:spacing w:before="400" w:after="160"/>
        <w:rPr/>
      </w:pPr>
      <w:r>
        <w:rPr>
          <w:rFonts w:eastAsia="Arial" w:cs="Arial" w:ascii="Arial" w:hAnsi="Arial"/>
          <w:b/>
          <w:bCs/>
          <w:color w:val="1A1A2E"/>
          <w:sz w:val="36"/>
          <w:szCs w:val="36"/>
        </w:rPr>
        <w:t>7. Burn Milestones — Community Events</w:t>
      </w:r>
    </w:p>
    <w:p>
      <w:pPr>
        <w:pStyle w:val="Normal"/>
        <w:spacing w:before="80" w:after="120"/>
        <w:rPr/>
      </w:pPr>
      <w:r>
        <w:rPr>
          <w:rFonts w:eastAsia="Arial" w:cs="Arial"/>
          <w:b w:val="false"/>
          <w:bCs w:val="false"/>
          <w:i w:val="false"/>
          <w:iCs w:val="false"/>
          <w:color w:val="333333"/>
          <w:sz w:val="22"/>
          <w:szCs w:val="22"/>
        </w:rPr>
        <w:t>HellBurn's Vault tracks total HBURN burned on-chain. When predefined milestones are reached, the contract automatically triggers a special ETH bonus payout to all current NFT holders. These events create community excitement, incentivise active HBURN burning, and reward long-term holders.</w:t>
      </w:r>
    </w:p>
    <w:p>
      <w:pPr>
        <w:pStyle w:val="Normal"/>
        <w:spacing w:before="0" w:after="120"/>
        <w:rPr/>
      </w:pPr>
      <w:r>
        <w:rPr/>
      </w:r>
    </w:p>
    <w:tbl>
      <w:tblPr>
        <w:tblW w:w="9360" w:type="dxa"/>
        <w:jc w:val="start"/>
        <w:tblInd w:w="0" w:type="dxa"/>
        <w:tblLayout w:type="fixed"/>
        <w:tblCellMar>
          <w:top w:w="100" w:type="dxa"/>
          <w:start w:w="100" w:type="dxa"/>
          <w:bottom w:w="100" w:type="dxa"/>
          <w:end w:w="100" w:type="dxa"/>
        </w:tblCellMar>
      </w:tblPr>
      <w:tblGrid>
        <w:gridCol w:w="2000"/>
        <w:gridCol w:w="2000"/>
        <w:gridCol w:w="5360"/>
      </w:tblGrid>
      <w:tr>
        <w:trPr>
          <w:tblHeader w:val="true"/>
        </w:trPr>
        <w:tc>
          <w:tcPr>
            <w:tcW w:w="20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Milestone</w:t>
            </w:r>
          </w:p>
        </w:tc>
        <w:tc>
          <w:tcPr>
            <w:tcW w:w="20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HBURN Burned</w:t>
            </w:r>
          </w:p>
        </w:tc>
        <w:tc>
          <w:tcPr>
            <w:tcW w:w="536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Bonus</w:t>
            </w:r>
          </w:p>
        </w:tc>
      </w:tr>
      <w:tr>
        <w:trPr/>
        <w:tc>
          <w:tcPr>
            <w:tcW w:w="20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 xml:space="preserve">🔥 </w:t>
            </w:r>
            <w:r>
              <w:rPr>
                <w:rFonts w:eastAsia="Arial" w:cs="Arial"/>
                <w:b/>
                <w:bCs/>
                <w:color w:val="C0392B"/>
                <w:sz w:val="20"/>
                <w:szCs w:val="20"/>
              </w:rPr>
              <w:t>Ignition</w:t>
            </w:r>
          </w:p>
        </w:tc>
        <w:tc>
          <w:tcPr>
            <w:tcW w:w="20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100M HBURN</w:t>
            </w:r>
          </w:p>
        </w:tc>
        <w:tc>
          <w:tcPr>
            <w:tcW w:w="536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1x ETH bonus payout to all NFT holders</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 xml:space="preserve">🔥🔥 </w:t>
            </w:r>
            <w:r>
              <w:rPr>
                <w:rFonts w:eastAsia="Arial" w:cs="Arial"/>
                <w:b/>
                <w:bCs/>
                <w:color w:val="C0392B"/>
                <w:sz w:val="20"/>
                <w:szCs w:val="20"/>
              </w:rPr>
              <w:t>Inferno</w:t>
            </w:r>
          </w:p>
        </w:tc>
        <w:tc>
          <w:tcPr>
            <w:tcW w:w="20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500M HBURN</w:t>
            </w:r>
          </w:p>
        </w:tc>
        <w:tc>
          <w:tcPr>
            <w:tcW w:w="536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2x ETH bonus payout + commemorative NFT badge</w:t>
            </w:r>
          </w:p>
        </w:tc>
      </w:tr>
      <w:tr>
        <w:trPr/>
        <w:tc>
          <w:tcPr>
            <w:tcW w:w="20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 xml:space="preserve">🔥🔥🔥 </w:t>
            </w:r>
            <w:r>
              <w:rPr>
                <w:rFonts w:eastAsia="Arial" w:cs="Arial"/>
                <w:b/>
                <w:bCs/>
                <w:color w:val="C0392B"/>
                <w:sz w:val="20"/>
                <w:szCs w:val="20"/>
              </w:rPr>
              <w:t>Hell</w:t>
            </w:r>
          </w:p>
        </w:tc>
        <w:tc>
          <w:tcPr>
            <w:tcW w:w="20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1B HBURN</w:t>
            </w:r>
          </w:p>
        </w:tc>
        <w:tc>
          <w:tcPr>
            <w:tcW w:w="536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5x ETH bonus payout + exclusive Diamond airdrop</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 xml:space="preserve">💀 </w:t>
            </w:r>
            <w:r>
              <w:rPr>
                <w:rFonts w:eastAsia="Arial" w:cs="Arial"/>
                <w:b/>
                <w:bCs/>
                <w:color w:val="C0392B"/>
                <w:sz w:val="20"/>
                <w:szCs w:val="20"/>
              </w:rPr>
              <w:t>Armageddon</w:t>
            </w:r>
          </w:p>
        </w:tc>
        <w:tc>
          <w:tcPr>
            <w:tcW w:w="20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5B HBURN</w:t>
            </w:r>
          </w:p>
        </w:tc>
        <w:tc>
          <w:tcPr>
            <w:tcW w:w="536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10x ETH mega-payout — legendary on-chain event</w:t>
            </w:r>
          </w:p>
        </w:tc>
      </w:tr>
    </w:tbl>
    <w:p>
      <w:pPr>
        <w:pStyle w:val="Normal"/>
        <w:spacing w:before="0" w:after="12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DDDDDD"/>
              <w:start w:val="single" w:sz="2" w:space="0" w:color="DDDDDD"/>
              <w:bottom w:val="single" w:sz="2" w:space="0" w:color="DDDDDD"/>
              <w:end w:val="single" w:sz="2" w:space="0" w:color="DDDDDD"/>
            </w:tcBorders>
            <w:shd w:fill="FCE4EC" w:val="clear"/>
          </w:tcPr>
          <w:p>
            <w:pPr>
              <w:pStyle w:val="Normal"/>
              <w:rPr/>
            </w:pPr>
            <w:r>
              <w:rPr>
                <w:rFonts w:eastAsia="Arial" w:cs="Arial"/>
                <w:i/>
                <w:iCs/>
                <w:color w:val="880E4F"/>
                <w:sz w:val="21"/>
                <w:szCs w:val="21"/>
              </w:rPr>
              <w:t xml:space="preserve">🎯 </w:t>
            </w:r>
            <w:r>
              <w:rPr>
                <w:rFonts w:eastAsia="Arial" w:cs="Arial"/>
                <w:i/>
                <w:iCs/>
                <w:color w:val="880E4F"/>
                <w:sz w:val="21"/>
                <w:szCs w:val="21"/>
              </w:rPr>
              <w:t>Milestone bonus ETH is sourced from accumulated LP fees and staking yield reserves. The community can track progress in real-time on hellburn.win. Anyone burning HBURN in HellBurn Protocol Epochs contributes to reaching the next milestone.</w:t>
            </w:r>
          </w:p>
        </w:tc>
      </w:tr>
    </w:tbl>
    <w:p>
      <w:pPr>
        <w:pStyle w:val="Normal"/>
        <w:spacing w:before="0" w:after="120"/>
        <w:rPr/>
      </w:pPr>
      <w:r>
        <w:rPr/>
      </w:r>
    </w:p>
    <w:p>
      <w:pPr>
        <w:pStyle w:val="Heading1"/>
        <w:spacing w:before="400" w:after="160"/>
        <w:rPr/>
      </w:pPr>
      <w:r>
        <w:rPr>
          <w:rFonts w:eastAsia="Arial" w:cs="Arial" w:ascii="Arial" w:hAnsi="Arial"/>
          <w:b/>
          <w:bCs/>
          <w:color w:val="1A1A2E"/>
          <w:sz w:val="36"/>
          <w:szCs w:val="36"/>
        </w:rPr>
        <w:t>8. Trustless LP Management</w:t>
      </w:r>
    </w:p>
    <w:p>
      <w:pPr>
        <w:pStyle w:val="Normal"/>
        <w:spacing w:before="80" w:after="120"/>
        <w:rPr/>
      </w:pPr>
      <w:r>
        <w:rPr>
          <w:rFonts w:eastAsia="Arial" w:cs="Arial"/>
          <w:b w:val="false"/>
          <w:bCs w:val="false"/>
          <w:i w:val="false"/>
          <w:iCs w:val="false"/>
          <w:color w:val="333333"/>
          <w:sz w:val="22"/>
          <w:szCs w:val="22"/>
        </w:rPr>
        <w:t>The 40% LP allocation uses Uniswap V3 Concentrated Liquidity within a defined price range. This significantly increases capital efficiency and trading fee yield compared to standard full-range LP positions.</w:t>
      </w:r>
    </w:p>
    <w:p>
      <w:pPr>
        <w:pStyle w:val="Normal"/>
        <w:spacing w:before="0" w:after="120"/>
        <w:rPr/>
      </w:pPr>
      <w:r>
        <w:rPr/>
      </w:r>
    </w:p>
    <w:p>
      <w:pPr>
        <w:pStyle w:val="Normal"/>
        <w:spacing w:before="240" w:after="80"/>
        <w:rPr/>
      </w:pPr>
      <w:r>
        <w:rPr>
          <w:rFonts w:eastAsia="Arial" w:cs="Arial"/>
          <w:b/>
          <w:bCs/>
          <w:color w:val="1A1A2E"/>
          <w:sz w:val="24"/>
          <w:szCs w:val="24"/>
        </w:rPr>
        <w:t>Permissionless Rebalancing</w:t>
      </w:r>
    </w:p>
    <w:p>
      <w:pPr>
        <w:pStyle w:val="Normal"/>
        <w:spacing w:before="80" w:after="120"/>
        <w:rPr/>
      </w:pPr>
      <w:r>
        <w:rPr>
          <w:rFonts w:eastAsia="Arial" w:cs="Arial"/>
          <w:b w:val="false"/>
          <w:bCs w:val="false"/>
          <w:i w:val="false"/>
          <w:iCs w:val="false"/>
          <w:color w:val="333333"/>
          <w:sz w:val="22"/>
          <w:szCs w:val="22"/>
        </w:rPr>
        <w:t>When HBURN price moves outside the LP range, the position stops earning fees. HellBurn's Vault implements a permissionless rebalance function — a public function anyone can call to adjust the range. Callers receive a small ETH incentive to cover gas costs. No admin access. No central control. Same trustless pattern as finalizeEpoch() in HellBurn Protocol.</w:t>
      </w:r>
    </w:p>
    <w:p>
      <w:pPr>
        <w:pStyle w:val="Normal"/>
        <w:spacing w:before="0" w:after="12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DDDDDD"/>
              <w:start w:val="single" w:sz="2" w:space="0" w:color="DDDDDD"/>
              <w:bottom w:val="single" w:sz="2" w:space="0" w:color="DDDDDD"/>
              <w:end w:val="single" w:sz="2" w:space="0" w:color="DDDDDD"/>
            </w:tcBorders>
            <w:shd w:fill="FFF8E1" w:val="clear"/>
          </w:tcPr>
          <w:p>
            <w:pPr>
              <w:pStyle w:val="Normal"/>
              <w:rPr/>
            </w:pPr>
            <w:r>
              <w:rPr>
                <w:rFonts w:eastAsia="Arial" w:cs="Arial"/>
                <w:i/>
                <w:iCs/>
                <w:color w:val="5D4037"/>
                <w:sz w:val="21"/>
                <w:szCs w:val="21"/>
              </w:rPr>
              <w:t xml:space="preserve">⚠️  </w:t>
            </w:r>
            <w:r>
              <w:rPr>
                <w:rFonts w:eastAsia="Arial" w:cs="Arial"/>
                <w:i/>
                <w:iCs/>
                <w:color w:val="5D4037"/>
                <w:sz w:val="21"/>
                <w:szCs w:val="21"/>
              </w:rPr>
              <w:t>Impermanent Loss Notice: Concentrated Liquidity positions carry impermanent loss risk when price moves significantly outside range before rebalancing. The tight range strategy and permissionless rebalancer minimise this risk but cannot eliminate it entirely. See Section 11 for full risk disclosure.</w:t>
            </w:r>
          </w:p>
        </w:tc>
      </w:tr>
    </w:tbl>
    <w:p>
      <w:pPr>
        <w:pStyle w:val="Normal"/>
        <w:spacing w:before="0" w:after="120"/>
        <w:rPr/>
      </w:pPr>
      <w:r>
        <w:rPr/>
      </w:r>
    </w:p>
    <w:p>
      <w:pPr>
        <w:pStyle w:val="Heading1"/>
        <w:spacing w:before="400" w:after="160"/>
        <w:rPr/>
      </w:pPr>
      <w:r>
        <w:rPr>
          <w:rFonts w:eastAsia="Arial" w:cs="Arial" w:ascii="Arial" w:hAnsi="Arial"/>
          <w:b/>
          <w:bCs/>
          <w:color w:val="1A1A2E"/>
          <w:sz w:val="36"/>
          <w:szCs w:val="36"/>
        </w:rPr>
        <w:t>9. Break-Even &amp; Return Projection</w:t>
      </w:r>
    </w:p>
    <w:p>
      <w:pPr>
        <w:pStyle w:val="Normal"/>
        <w:spacing w:before="80" w:after="120"/>
        <w:rPr/>
      </w:pPr>
      <w:r>
        <w:rPr>
          <w:rFonts w:eastAsia="Arial" w:cs="Arial"/>
          <w:b w:val="false"/>
          <w:bCs w:val="false"/>
          <w:i w:val="false"/>
          <w:iCs w:val="false"/>
          <w:color w:val="333333"/>
          <w:sz w:val="22"/>
          <w:szCs w:val="22"/>
        </w:rPr>
        <w:t>Estimated break-even based on conservative 12% annual ETH yield. Actual yield varies depending on HBURN trading volume, LP fee tier, and staking APY. Loyalty boost and milestone payouts are not included in this baseline projection — they improve the effective return.</w:t>
      </w:r>
    </w:p>
    <w:p>
      <w:pPr>
        <w:pStyle w:val="Normal"/>
        <w:spacing w:before="0" w:after="120"/>
        <w:rPr/>
      </w:pPr>
      <w:r>
        <w:rPr/>
      </w:r>
    </w:p>
    <w:tbl>
      <w:tblPr>
        <w:tblW w:w="9360" w:type="dxa"/>
        <w:jc w:val="start"/>
        <w:tblInd w:w="0" w:type="dxa"/>
        <w:tblLayout w:type="fixed"/>
        <w:tblCellMar>
          <w:top w:w="100" w:type="dxa"/>
          <w:start w:w="100" w:type="dxa"/>
          <w:bottom w:w="100" w:type="dxa"/>
          <w:end w:w="100" w:type="dxa"/>
        </w:tblCellMar>
      </w:tblPr>
      <w:tblGrid>
        <w:gridCol w:w="1400"/>
        <w:gridCol w:w="1100"/>
        <w:gridCol w:w="2199"/>
        <w:gridCol w:w="1661"/>
        <w:gridCol w:w="3000"/>
      </w:tblGrid>
      <w:tr>
        <w:trPr>
          <w:tblHeader w:val="true"/>
        </w:trPr>
        <w:tc>
          <w:tcPr>
            <w:tcW w:w="14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Tier</w:t>
            </w:r>
          </w:p>
        </w:tc>
        <w:tc>
          <w:tcPr>
            <w:tcW w:w="11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Mint</w:t>
            </w:r>
          </w:p>
        </w:tc>
        <w:tc>
          <w:tcPr>
            <w:tcW w:w="2199"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Est. Annual Yield*</w:t>
            </w:r>
          </w:p>
        </w:tc>
        <w:tc>
          <w:tcPr>
            <w:tcW w:w="1661"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Break-Even</w:t>
            </w:r>
          </w:p>
        </w:tc>
        <w:tc>
          <w:tcPr>
            <w:tcW w:w="30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After 12 Months (Loyalty)</w:t>
            </w:r>
          </w:p>
        </w:tc>
      </w:tr>
      <w:tr>
        <w:trPr/>
        <w:tc>
          <w:tcPr>
            <w:tcW w:w="14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 xml:space="preserve">🥉 </w:t>
            </w:r>
            <w:r>
              <w:rPr>
                <w:rFonts w:eastAsia="Arial" w:cs="Arial"/>
                <w:b/>
                <w:bCs/>
                <w:color w:val="C0392B"/>
                <w:sz w:val="20"/>
                <w:szCs w:val="20"/>
              </w:rPr>
              <w:t>Bronze</w:t>
            </w:r>
          </w:p>
        </w:tc>
        <w:tc>
          <w:tcPr>
            <w:tcW w:w="11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0.1 ETH</w:t>
            </w:r>
          </w:p>
        </w:tc>
        <w:tc>
          <w:tcPr>
            <w:tcW w:w="21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~0.012 ETH (12%)</w:t>
            </w:r>
          </w:p>
        </w:tc>
        <w:tc>
          <w:tcPr>
            <w:tcW w:w="16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~8.5 yrs</w:t>
            </w:r>
          </w:p>
        </w:tc>
        <w:tc>
          <w:tcPr>
            <w:tcW w:w="30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84% yield share</w:t>
            </w:r>
          </w:p>
        </w:tc>
      </w:tr>
      <w:tr>
        <w:trPr/>
        <w:tc>
          <w:tcPr>
            <w:tcW w:w="14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 xml:space="preserve">🥈 </w:t>
            </w:r>
            <w:r>
              <w:rPr>
                <w:rFonts w:eastAsia="Arial" w:cs="Arial"/>
                <w:b/>
                <w:bCs/>
                <w:color w:val="C0392B"/>
                <w:sz w:val="20"/>
                <w:szCs w:val="20"/>
              </w:rPr>
              <w:t>Silver</w:t>
            </w:r>
          </w:p>
        </w:tc>
        <w:tc>
          <w:tcPr>
            <w:tcW w:w="11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0.5 ETH</w:t>
            </w:r>
          </w:p>
        </w:tc>
        <w:tc>
          <w:tcPr>
            <w:tcW w:w="21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~0.060 ETH (12%)</w:t>
            </w:r>
          </w:p>
        </w:tc>
        <w:tc>
          <w:tcPr>
            <w:tcW w:w="166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~8.5 yrs</w:t>
            </w:r>
          </w:p>
        </w:tc>
        <w:tc>
          <w:tcPr>
            <w:tcW w:w="30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84% yield share</w:t>
            </w:r>
          </w:p>
        </w:tc>
      </w:tr>
      <w:tr>
        <w:trPr/>
        <w:tc>
          <w:tcPr>
            <w:tcW w:w="14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 xml:space="preserve">🥇 </w:t>
            </w:r>
            <w:r>
              <w:rPr>
                <w:rFonts w:eastAsia="Arial" w:cs="Arial"/>
                <w:b/>
                <w:bCs/>
                <w:color w:val="C0392B"/>
                <w:sz w:val="20"/>
                <w:szCs w:val="20"/>
              </w:rPr>
              <w:t>Gold</w:t>
            </w:r>
          </w:p>
        </w:tc>
        <w:tc>
          <w:tcPr>
            <w:tcW w:w="11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1.0 ETH</w:t>
            </w:r>
          </w:p>
        </w:tc>
        <w:tc>
          <w:tcPr>
            <w:tcW w:w="21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~0.120 ETH (12%)</w:t>
            </w:r>
          </w:p>
        </w:tc>
        <w:tc>
          <w:tcPr>
            <w:tcW w:w="16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~8.5 yrs</w:t>
            </w:r>
          </w:p>
        </w:tc>
        <w:tc>
          <w:tcPr>
            <w:tcW w:w="30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84% yield share</w:t>
            </w:r>
          </w:p>
        </w:tc>
      </w:tr>
      <w:tr>
        <w:trPr/>
        <w:tc>
          <w:tcPr>
            <w:tcW w:w="14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 xml:space="preserve">💎 </w:t>
            </w:r>
            <w:r>
              <w:rPr>
                <w:rFonts w:eastAsia="Arial" w:cs="Arial"/>
                <w:b/>
                <w:bCs/>
                <w:color w:val="C0392B"/>
                <w:sz w:val="20"/>
                <w:szCs w:val="20"/>
              </w:rPr>
              <w:t>Diamond</w:t>
            </w:r>
          </w:p>
        </w:tc>
        <w:tc>
          <w:tcPr>
            <w:tcW w:w="11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5.0 ETH</w:t>
            </w:r>
          </w:p>
        </w:tc>
        <w:tc>
          <w:tcPr>
            <w:tcW w:w="21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~0.600 ETH (12%)</w:t>
            </w:r>
          </w:p>
        </w:tc>
        <w:tc>
          <w:tcPr>
            <w:tcW w:w="166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~8.5 yrs</w:t>
            </w:r>
          </w:p>
        </w:tc>
        <w:tc>
          <w:tcPr>
            <w:tcW w:w="30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84% yield share</w:t>
            </w:r>
          </w:p>
        </w:tc>
      </w:tr>
    </w:tbl>
    <w:p>
      <w:pPr>
        <w:pStyle w:val="Normal"/>
        <w:spacing w:before="0" w:after="120"/>
        <w:rPr/>
      </w:pPr>
      <w:r>
        <w:rPr/>
      </w:r>
    </w:p>
    <w:p>
      <w:pPr>
        <w:pStyle w:val="Normal"/>
        <w:spacing w:before="80" w:after="120"/>
        <w:rPr/>
      </w:pPr>
      <w:r>
        <w:rPr>
          <w:rFonts w:eastAsia="Arial" w:cs="Arial"/>
          <w:b w:val="false"/>
          <w:bCs w:val="false"/>
          <w:i/>
          <w:iCs/>
          <w:color w:val="7F8C8D"/>
          <w:sz w:val="22"/>
          <w:szCs w:val="22"/>
        </w:rPr>
        <w:t>* The NFT itself retains and likely appreciates in value. Early Bird NFTs (with +10% bonus) and aged NFTs (with loyalty boost) command premium prices on secondary markets.</w:t>
      </w:r>
    </w:p>
    <w:p>
      <w:pPr>
        <w:pStyle w:val="Normal"/>
        <w:spacing w:before="0" w:after="120"/>
        <w:rPr>
          <w:rFonts w:ascii="Arial" w:hAnsi="Arial" w:eastAsia="Arial" w:cs="Arial"/>
          <w:b/>
          <w:bCs/>
          <w:color w:val="1A1A2E"/>
          <w:sz w:val="36"/>
          <w:szCs w:val="36"/>
        </w:rPr>
      </w:pPr>
      <w:r>
        <w:rPr/>
      </w:r>
    </w:p>
    <w:p>
      <w:pPr>
        <w:pStyle w:val="Heading1"/>
        <w:spacing w:before="400" w:after="160"/>
        <w:rPr/>
      </w:pPr>
      <w:r>
        <w:rPr>
          <w:rFonts w:eastAsia="Arial" w:cs="Arial" w:ascii="Arial" w:hAnsi="Arial"/>
          <w:b/>
          <w:bCs/>
          <w:color w:val="1A1A2E"/>
          <w:sz w:val="36"/>
          <w:szCs w:val="36"/>
        </w:rPr>
        <w:t>1</w:t>
      </w:r>
      <w:r>
        <w:rPr>
          <w:rFonts w:eastAsia="Arial" w:cs="Arial" w:ascii="Arial" w:hAnsi="Arial"/>
          <w:b/>
          <w:bCs/>
          <w:color w:val="1A1A2E"/>
          <w:sz w:val="36"/>
          <w:szCs w:val="36"/>
        </w:rPr>
        <w:t>0</w:t>
      </w:r>
      <w:r>
        <w:rPr>
          <w:rFonts w:eastAsia="Arial" w:cs="Arial" w:ascii="Arial" w:hAnsi="Arial"/>
          <w:b/>
          <w:bCs/>
          <w:color w:val="1A1A2E"/>
          <w:sz w:val="36"/>
          <w:szCs w:val="36"/>
        </w:rPr>
        <w:t>. Risk Disclosure</w:t>
      </w:r>
    </w:p>
    <w:tbl>
      <w:tblPr>
        <w:tblW w:w="9360" w:type="dxa"/>
        <w:jc w:val="start"/>
        <w:tblInd w:w="0" w:type="dxa"/>
        <w:tblLayout w:type="fixed"/>
        <w:tblCellMar>
          <w:top w:w="100" w:type="dxa"/>
          <w:start w:w="100" w:type="dxa"/>
          <w:bottom w:w="100" w:type="dxa"/>
          <w:end w:w="100" w:type="dxa"/>
        </w:tblCellMar>
      </w:tblPr>
      <w:tblGrid>
        <w:gridCol w:w="2199"/>
        <w:gridCol w:w="1161"/>
        <w:gridCol w:w="6000"/>
      </w:tblGrid>
      <w:tr>
        <w:trPr>
          <w:tblHeader w:val="true"/>
        </w:trPr>
        <w:tc>
          <w:tcPr>
            <w:tcW w:w="2199"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Risk</w:t>
            </w:r>
          </w:p>
        </w:tc>
        <w:tc>
          <w:tcPr>
            <w:tcW w:w="1161"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Severity</w:t>
            </w:r>
          </w:p>
        </w:tc>
        <w:tc>
          <w:tcPr>
            <w:tcW w:w="60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Mitigation</w:t>
            </w:r>
          </w:p>
        </w:tc>
      </w:tr>
      <w:tr>
        <w:trPr/>
        <w:tc>
          <w:tcPr>
            <w:tcW w:w="21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Impermanent Loss</w:t>
            </w:r>
          </w:p>
        </w:tc>
        <w:tc>
          <w:tcPr>
            <w:tcW w:w="11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Medium</w:t>
            </w:r>
          </w:p>
        </w:tc>
        <w:tc>
          <w:tcPr>
            <w:tcW w:w="60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Concentrated Liquidity + permissionless rebalancer minimises IL significantly</w:t>
            </w:r>
          </w:p>
        </w:tc>
      </w:tr>
      <w:tr>
        <w:trPr/>
        <w:tc>
          <w:tcPr>
            <w:tcW w:w="21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Lido/RocketPool risk</w:t>
            </w:r>
          </w:p>
        </w:tc>
        <w:tc>
          <w:tcPr>
            <w:tcW w:w="116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Low</w:t>
            </w:r>
          </w:p>
        </w:tc>
        <w:tc>
          <w:tcPr>
            <w:tcW w:w="60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5% each — split across two providers; both battle-tested with $30B+ TVL combined</w:t>
            </w:r>
          </w:p>
        </w:tc>
      </w:tr>
      <w:tr>
        <w:trPr/>
        <w:tc>
          <w:tcPr>
            <w:tcW w:w="21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HBURN price volatility</w:t>
            </w:r>
          </w:p>
        </w:tc>
        <w:tc>
          <w:tcPr>
            <w:tcW w:w="11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Medium</w:t>
            </w:r>
          </w:p>
        </w:tc>
        <w:tc>
          <w:tcPr>
            <w:tcW w:w="60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Reserve Pool provides price floor support; Vault yield not dependent on HBURN price</w:t>
            </w:r>
          </w:p>
        </w:tc>
      </w:tr>
      <w:tr>
        <w:trPr/>
        <w:tc>
          <w:tcPr>
            <w:tcW w:w="21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Low trading volume</w:t>
            </w:r>
          </w:p>
        </w:tc>
        <w:tc>
          <w:tcPr>
            <w:tcW w:w="116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Medium</w:t>
            </w:r>
          </w:p>
        </w:tc>
        <w:tc>
          <w:tcPr>
            <w:tcW w:w="6000"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LP fees depend on HBURN volume — more adoption = more yield; milestones incentivise volume</w:t>
            </w:r>
          </w:p>
        </w:tc>
      </w:tr>
      <w:tr>
        <w:trPr/>
        <w:tc>
          <w:tcPr>
            <w:tcW w:w="21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All NFTs minted out</w:t>
            </w:r>
          </w:p>
        </w:tc>
        <w:tc>
          <w:tcPr>
            <w:tcW w:w="11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Low</w:t>
            </w:r>
          </w:p>
        </w:tc>
        <w:tc>
          <w:tcPr>
            <w:tcW w:w="6000"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Yield continues from LP fees + staking; secondary market ensures price discovery</w:t>
            </w:r>
          </w:p>
        </w:tc>
      </w:tr>
    </w:tbl>
    <w:p>
      <w:pPr>
        <w:pStyle w:val="Normal"/>
        <w:spacing w:before="0" w:after="120"/>
        <w:rPr/>
      </w:pPr>
      <w:r>
        <w:rPr/>
      </w:r>
    </w:p>
    <w:p>
      <w:pPr>
        <w:pStyle w:val="Heading1"/>
        <w:spacing w:before="400" w:after="160"/>
        <w:rPr/>
      </w:pPr>
      <w:r>
        <w:rPr>
          <w:rFonts w:eastAsia="Arial" w:cs="Arial" w:ascii="Arial" w:hAnsi="Arial"/>
          <w:b/>
          <w:bCs/>
          <w:color w:val="1A1A2E"/>
          <w:sz w:val="36"/>
          <w:szCs w:val="36"/>
        </w:rPr>
        <w:t>1</w:t>
      </w:r>
      <w:r>
        <w:rPr>
          <w:rFonts w:eastAsia="Arial" w:cs="Arial" w:ascii="Arial" w:hAnsi="Arial"/>
          <w:b/>
          <w:bCs/>
          <w:color w:val="1A1A2E"/>
          <w:sz w:val="36"/>
          <w:szCs w:val="36"/>
        </w:rPr>
        <w:t>1</w:t>
      </w:r>
      <w:r>
        <w:rPr>
          <w:rFonts w:eastAsia="Arial" w:cs="Arial" w:ascii="Arial" w:hAnsi="Arial"/>
          <w:b/>
          <w:bCs/>
          <w:color w:val="1A1A2E"/>
          <w:sz w:val="36"/>
          <w:szCs w:val="36"/>
        </w:rPr>
        <w:t>. Security &amp; Trustlessness</w:t>
      </w:r>
    </w:p>
    <w:p>
      <w:pPr>
        <w:pStyle w:val="ListParagraph"/>
        <w:numPr>
          <w:ilvl w:val="0"/>
          <w:numId w:val="1"/>
        </w:numPr>
        <w:spacing w:before="60" w:after="60"/>
        <w:rPr/>
      </w:pPr>
      <w:r>
        <w:rPr>
          <w:rFonts w:eastAsia="Arial" w:cs="Arial"/>
          <w:color w:val="333333"/>
          <w:sz w:val="22"/>
          <w:szCs w:val="22"/>
        </w:rPr>
        <w:t>No admin key — parameters immutable after deployment</w:t>
      </w:r>
    </w:p>
    <w:p>
      <w:pPr>
        <w:pStyle w:val="ListParagraph"/>
        <w:numPr>
          <w:ilvl w:val="0"/>
          <w:numId w:val="1"/>
        </w:numPr>
        <w:spacing w:before="60" w:after="60"/>
        <w:rPr/>
      </w:pPr>
      <w:r>
        <w:rPr>
          <w:rFonts w:eastAsia="Arial" w:cs="Arial"/>
          <w:color w:val="333333"/>
          <w:sz w:val="22"/>
          <w:szCs w:val="22"/>
        </w:rPr>
        <w:t>No pause function — protocol cannot be stopped</w:t>
      </w:r>
    </w:p>
    <w:p>
      <w:pPr>
        <w:pStyle w:val="ListParagraph"/>
        <w:numPr>
          <w:ilvl w:val="0"/>
          <w:numId w:val="1"/>
        </w:numPr>
        <w:spacing w:before="60" w:after="60"/>
        <w:rPr/>
      </w:pPr>
      <w:r>
        <w:rPr>
          <w:rFonts w:eastAsia="Arial" w:cs="Arial"/>
          <w:color w:val="333333"/>
          <w:sz w:val="22"/>
          <w:szCs w:val="22"/>
        </w:rPr>
        <w:t>No withdrawal function — assets in Vault are non-extractable</w:t>
      </w:r>
    </w:p>
    <w:p>
      <w:pPr>
        <w:pStyle w:val="ListParagraph"/>
        <w:numPr>
          <w:ilvl w:val="0"/>
          <w:numId w:val="1"/>
        </w:numPr>
        <w:spacing w:before="60" w:after="60"/>
        <w:rPr/>
      </w:pPr>
      <w:r>
        <w:rPr>
          <w:rFonts w:eastAsia="Arial" w:cs="Arial"/>
          <w:color w:val="333333"/>
          <w:sz w:val="22"/>
          <w:szCs w:val="22"/>
        </w:rPr>
        <w:t>Permissionless LP rebalancer — anyone can trigger, no one controls</w:t>
      </w:r>
    </w:p>
    <w:p>
      <w:pPr>
        <w:pStyle w:val="ListParagraph"/>
        <w:numPr>
          <w:ilvl w:val="0"/>
          <w:numId w:val="1"/>
        </w:numPr>
        <w:spacing w:before="60" w:after="60"/>
        <w:rPr/>
      </w:pPr>
      <w:r>
        <w:rPr>
          <w:rFonts w:eastAsia="Arial" w:cs="Arial"/>
          <w:color w:val="333333"/>
          <w:sz w:val="22"/>
          <w:szCs w:val="22"/>
        </w:rPr>
        <w:t>Permissionless milestone trigger — anyone can trigger bonus payouts</w:t>
      </w:r>
    </w:p>
    <w:p>
      <w:pPr>
        <w:pStyle w:val="ListParagraph"/>
        <w:numPr>
          <w:ilvl w:val="0"/>
          <w:numId w:val="1"/>
        </w:numPr>
        <w:spacing w:before="60" w:after="60"/>
        <w:rPr/>
      </w:pPr>
      <w:r>
        <w:rPr>
          <w:rFonts w:eastAsia="Arial" w:cs="Arial"/>
          <w:color w:val="333333"/>
          <w:sz w:val="22"/>
          <w:szCs w:val="22"/>
        </w:rPr>
        <w:t>Max 5 NFTs per tier per wallet — prevents single-wallet dominance</w:t>
      </w:r>
    </w:p>
    <w:p>
      <w:pPr>
        <w:pStyle w:val="ListParagraph"/>
        <w:numPr>
          <w:ilvl w:val="0"/>
          <w:numId w:val="1"/>
        </w:numPr>
        <w:spacing w:before="60" w:after="60"/>
        <w:rPr/>
      </w:pPr>
      <w:r>
        <w:rPr>
          <w:rFonts w:eastAsia="Arial" w:cs="Arial"/>
          <w:color w:val="333333"/>
          <w:sz w:val="22"/>
          <w:szCs w:val="22"/>
        </w:rPr>
        <w:t>SpyWolf Security audit before mainnet deployment</w:t>
      </w:r>
    </w:p>
    <w:p>
      <w:pPr>
        <w:pStyle w:val="ListParagraph"/>
        <w:numPr>
          <w:ilvl w:val="0"/>
          <w:numId w:val="1"/>
        </w:numPr>
        <w:spacing w:before="60" w:after="60"/>
        <w:rPr/>
      </w:pPr>
      <w:r>
        <w:rPr>
          <w:rFonts w:eastAsia="Arial" w:cs="Arial"/>
          <w:color w:val="333333"/>
          <w:sz w:val="22"/>
          <w:szCs w:val="22"/>
        </w:rPr>
        <w:t>Full source code verified on Etherscan</w:t>
      </w:r>
    </w:p>
    <w:p>
      <w:pPr>
        <w:pStyle w:val="Normal"/>
        <w:spacing w:before="0" w:after="120"/>
        <w:rPr/>
      </w:pPr>
      <w:r>
        <w:rPr/>
      </w:r>
    </w:p>
    <w:p>
      <w:pPr>
        <w:pStyle w:val="Heading1"/>
        <w:spacing w:before="400" w:after="160"/>
        <w:rPr/>
      </w:pPr>
      <w:r>
        <w:rPr>
          <w:rFonts w:eastAsia="Arial" w:cs="Arial" w:ascii="Arial" w:hAnsi="Arial"/>
          <w:b/>
          <w:bCs/>
          <w:color w:val="1A1A2E"/>
          <w:sz w:val="36"/>
          <w:szCs w:val="36"/>
        </w:rPr>
        <w:t>1</w:t>
      </w:r>
      <w:r>
        <w:rPr>
          <w:rFonts w:eastAsia="Arial" w:cs="Arial" w:ascii="Arial" w:hAnsi="Arial"/>
          <w:b/>
          <w:bCs/>
          <w:color w:val="1A1A2E"/>
          <w:sz w:val="36"/>
          <w:szCs w:val="36"/>
        </w:rPr>
        <w:t>2</w:t>
      </w:r>
      <w:r>
        <w:rPr>
          <w:rFonts w:eastAsia="Arial" w:cs="Arial" w:ascii="Arial" w:hAnsi="Arial"/>
          <w:b/>
          <w:bCs/>
          <w:color w:val="1A1A2E"/>
          <w:sz w:val="36"/>
          <w:szCs w:val="36"/>
        </w:rPr>
        <w:t>. NFT Transferability &amp; Secondary Market</w:t>
      </w:r>
    </w:p>
    <w:p>
      <w:pPr>
        <w:pStyle w:val="ListParagraph"/>
        <w:numPr>
          <w:ilvl w:val="0"/>
          <w:numId w:val="1"/>
        </w:numPr>
        <w:spacing w:before="60" w:after="60"/>
        <w:rPr/>
      </w:pPr>
      <w:r>
        <w:rPr>
          <w:rFonts w:eastAsia="Arial" w:cs="Arial"/>
          <w:color w:val="333333"/>
          <w:sz w:val="22"/>
          <w:szCs w:val="22"/>
        </w:rPr>
        <w:t>Fully transferable ERC-721 tokens</w:t>
      </w:r>
    </w:p>
    <w:p>
      <w:pPr>
        <w:pStyle w:val="ListParagraph"/>
        <w:numPr>
          <w:ilvl w:val="0"/>
          <w:numId w:val="1"/>
        </w:numPr>
        <w:spacing w:before="60" w:after="60"/>
        <w:rPr/>
      </w:pPr>
      <w:r>
        <w:rPr>
          <w:rFonts w:eastAsia="Arial" w:cs="Arial"/>
          <w:color w:val="333333"/>
          <w:sz w:val="22"/>
          <w:szCs w:val="22"/>
        </w:rPr>
        <w:t>Buyer inherits tier multiplier, Early Bird bonus, AND loyalty level</w:t>
      </w:r>
    </w:p>
    <w:p>
      <w:pPr>
        <w:pStyle w:val="ListParagraph"/>
        <w:numPr>
          <w:ilvl w:val="0"/>
          <w:numId w:val="1"/>
        </w:numPr>
        <w:spacing w:before="60" w:after="60"/>
        <w:rPr/>
      </w:pPr>
      <w:r>
        <w:rPr>
          <w:rFonts w:eastAsia="Arial" w:cs="Arial"/>
          <w:color w:val="333333"/>
          <w:sz w:val="22"/>
          <w:szCs w:val="22"/>
        </w:rPr>
        <w:t>Aged NFTs with high loyalty level command secondary market premium</w:t>
      </w:r>
    </w:p>
    <w:p>
      <w:pPr>
        <w:pStyle w:val="ListParagraph"/>
        <w:numPr>
          <w:ilvl w:val="0"/>
          <w:numId w:val="1"/>
        </w:numPr>
        <w:spacing w:before="60" w:after="60"/>
        <w:rPr/>
      </w:pPr>
      <w:r>
        <w:rPr>
          <w:rFonts w:eastAsia="Arial" w:cs="Arial"/>
          <w:color w:val="333333"/>
          <w:sz w:val="22"/>
          <w:szCs w:val="22"/>
        </w:rPr>
        <w:t>Early Bird NFTs (first 500/300/150/50 per tier) permanently distinguished</w:t>
      </w:r>
    </w:p>
    <w:p>
      <w:pPr>
        <w:pStyle w:val="ListParagraph"/>
        <w:numPr>
          <w:ilvl w:val="0"/>
          <w:numId w:val="1"/>
        </w:numPr>
        <w:spacing w:before="60" w:after="60"/>
        <w:rPr/>
      </w:pPr>
      <w:r>
        <w:rPr>
          <w:rFonts w:eastAsia="Arial" w:cs="Arial"/>
          <w:color w:val="333333"/>
          <w:sz w:val="22"/>
          <w:szCs w:val="22"/>
        </w:rPr>
        <w:t>Diamond NFTs (only 500 globally) expected to be most sought-after</w:t>
      </w:r>
    </w:p>
    <w:p>
      <w:pPr>
        <w:pStyle w:val="Normal"/>
        <w:spacing w:before="0" w:after="120"/>
        <w:rPr/>
      </w:pPr>
      <w:r>
        <w:rPr/>
      </w:r>
    </w:p>
    <w:p>
      <w:pPr>
        <w:pStyle w:val="Heading1"/>
        <w:spacing w:before="400" w:after="160"/>
        <w:rPr/>
      </w:pPr>
      <w:r>
        <w:rPr>
          <w:rFonts w:eastAsia="Arial" w:cs="Arial" w:ascii="Arial" w:hAnsi="Arial"/>
          <w:b/>
          <w:bCs/>
          <w:color w:val="1A1A2E"/>
          <w:sz w:val="36"/>
          <w:szCs w:val="36"/>
        </w:rPr>
        <w:t>1</w:t>
      </w:r>
      <w:r>
        <w:rPr>
          <w:rFonts w:eastAsia="Arial" w:cs="Arial" w:ascii="Arial" w:hAnsi="Arial"/>
          <w:b/>
          <w:bCs/>
          <w:color w:val="1A1A2E"/>
          <w:sz w:val="36"/>
          <w:szCs w:val="36"/>
        </w:rPr>
        <w:t>3</w:t>
      </w:r>
      <w:r>
        <w:rPr>
          <w:rFonts w:eastAsia="Arial" w:cs="Arial" w:ascii="Arial" w:hAnsi="Arial"/>
          <w:b/>
          <w:bCs/>
          <w:color w:val="1A1A2E"/>
          <w:sz w:val="36"/>
          <w:szCs w:val="36"/>
        </w:rPr>
        <w:t>. Roadmap</w:t>
      </w:r>
    </w:p>
    <w:tbl>
      <w:tblPr>
        <w:tblW w:w="9360" w:type="dxa"/>
        <w:jc w:val="start"/>
        <w:tblInd w:w="0" w:type="dxa"/>
        <w:tblLayout w:type="fixed"/>
        <w:tblCellMar>
          <w:top w:w="100" w:type="dxa"/>
          <w:start w:w="100" w:type="dxa"/>
          <w:bottom w:w="100" w:type="dxa"/>
          <w:end w:w="100" w:type="dxa"/>
        </w:tblCellMar>
      </w:tblPr>
      <w:tblGrid>
        <w:gridCol w:w="1799"/>
        <w:gridCol w:w="7561"/>
      </w:tblGrid>
      <w:tr>
        <w:trPr>
          <w:tblHeader w:val="true"/>
        </w:trPr>
        <w:tc>
          <w:tcPr>
            <w:tcW w:w="1799"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Phase</w:t>
            </w:r>
          </w:p>
        </w:tc>
        <w:tc>
          <w:tcPr>
            <w:tcW w:w="7561"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18"/>
                <w:szCs w:val="18"/>
              </w:rPr>
              <w:t>Milestone</w:t>
            </w:r>
          </w:p>
        </w:tc>
      </w:tr>
      <w:tr>
        <w:trPr/>
        <w:tc>
          <w:tcPr>
            <w:tcW w:w="17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Phase 1</w:t>
            </w:r>
          </w:p>
        </w:tc>
        <w:tc>
          <w:tcPr>
            <w:tcW w:w="75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Smart contract design &amp; architecture</w:t>
            </w:r>
          </w:p>
        </w:tc>
      </w:tr>
      <w:tr>
        <w:trPr/>
        <w:tc>
          <w:tcPr>
            <w:tcW w:w="17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Phase 2</w:t>
            </w:r>
          </w:p>
        </w:tc>
        <w:tc>
          <w:tcPr>
            <w:tcW w:w="756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Internal testing &amp; SpyWolf security audit</w:t>
            </w:r>
          </w:p>
        </w:tc>
      </w:tr>
      <w:tr>
        <w:trPr/>
        <w:tc>
          <w:tcPr>
            <w:tcW w:w="17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Phase 3</w:t>
            </w:r>
          </w:p>
        </w:tc>
        <w:tc>
          <w:tcPr>
            <w:tcW w:w="75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Testnet deployment &amp; community beta</w:t>
            </w:r>
          </w:p>
        </w:tc>
      </w:tr>
      <w:tr>
        <w:trPr/>
        <w:tc>
          <w:tcPr>
            <w:tcW w:w="17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Phase 4</w:t>
            </w:r>
          </w:p>
        </w:tc>
        <w:tc>
          <w:tcPr>
            <w:tcW w:w="756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Mainnet launch — NFT minting opens</w:t>
            </w:r>
          </w:p>
        </w:tc>
      </w:tr>
      <w:tr>
        <w:trPr/>
        <w:tc>
          <w:tcPr>
            <w:tcW w:w="17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Phase 5</w:t>
            </w:r>
          </w:p>
        </w:tc>
        <w:tc>
          <w:tcPr>
            <w:tcW w:w="75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First burn milestone event — community activation</w:t>
            </w:r>
          </w:p>
        </w:tc>
      </w:tr>
      <w:tr>
        <w:trPr/>
        <w:tc>
          <w:tcPr>
            <w:tcW w:w="1799"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bCs/>
                <w:color w:val="C0392B"/>
                <w:sz w:val="20"/>
                <w:szCs w:val="20"/>
              </w:rPr>
              <w:t>Phase 6</w:t>
            </w:r>
          </w:p>
        </w:tc>
        <w:tc>
          <w:tcPr>
            <w:tcW w:w="7561" w:type="dxa"/>
            <w:tcBorders>
              <w:top w:val="single" w:sz="2" w:space="0" w:color="DDDDDD"/>
              <w:start w:val="single" w:sz="2" w:space="0" w:color="DDDDDD"/>
              <w:bottom w:val="single" w:sz="2" w:space="0" w:color="DDDDDD"/>
              <w:end w:val="single" w:sz="2" w:space="0" w:color="DDDDDD"/>
            </w:tcBorders>
            <w:shd w:fill="FFFFFF" w:val="clear"/>
            <w:tcMar>
              <w:top w:w="80" w:type="dxa"/>
              <w:bottom w:w="80" w:type="dxa"/>
            </w:tcMar>
          </w:tcPr>
          <w:p>
            <w:pPr>
              <w:pStyle w:val="Normal"/>
              <w:rPr/>
            </w:pPr>
            <w:r>
              <w:rPr>
                <w:rFonts w:eastAsia="Arial" w:cs="Arial"/>
                <w:b w:val="false"/>
                <w:bCs w:val="false"/>
                <w:color w:val="333333"/>
                <w:sz w:val="20"/>
                <w:szCs w:val="20"/>
              </w:rPr>
              <w:t>Secondary NFT market &amp; DexScreener listing</w:t>
            </w:r>
          </w:p>
        </w:tc>
      </w:tr>
      <w:tr>
        <w:trPr/>
        <w:tc>
          <w:tcPr>
            <w:tcW w:w="1799"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bCs/>
                <w:color w:val="C0392B"/>
                <w:sz w:val="20"/>
                <w:szCs w:val="20"/>
              </w:rPr>
              <w:t>Phase 7</w:t>
            </w:r>
          </w:p>
        </w:tc>
        <w:tc>
          <w:tcPr>
            <w:tcW w:w="7561" w:type="dxa"/>
            <w:tcBorders>
              <w:top w:val="single" w:sz="2" w:space="0" w:color="DDDDDD"/>
              <w:start w:val="single" w:sz="2" w:space="0" w:color="DDDDDD"/>
              <w:bottom w:val="single" w:sz="2" w:space="0" w:color="DDDDDD"/>
              <w:end w:val="single" w:sz="2" w:space="0" w:color="DDDDDD"/>
            </w:tcBorders>
            <w:shd w:fill="F8F9FA" w:val="clear"/>
            <w:tcMar>
              <w:top w:w="80" w:type="dxa"/>
              <w:bottom w:w="80" w:type="dxa"/>
            </w:tcMar>
          </w:tcPr>
          <w:p>
            <w:pPr>
              <w:pStyle w:val="Normal"/>
              <w:rPr/>
            </w:pPr>
            <w:r>
              <w:rPr>
                <w:rFonts w:eastAsia="Arial" w:cs="Arial"/>
                <w:b w:val="false"/>
                <w:bCs w:val="false"/>
                <w:color w:val="333333"/>
                <w:sz w:val="20"/>
                <w:szCs w:val="20"/>
              </w:rPr>
              <w:t>Ecosystem integrations &amp; partnerships</w:t>
            </w:r>
          </w:p>
        </w:tc>
      </w:tr>
    </w:tbl>
    <w:p>
      <w:pPr>
        <w:pStyle w:val="Normal"/>
        <w:spacing w:before="0" w:after="120"/>
        <w:rPr/>
      </w:pPr>
      <w:r>
        <w:rPr/>
      </w:r>
    </w:p>
    <w:p>
      <w:pPr>
        <w:pStyle w:val="Heading1"/>
        <w:spacing w:before="400" w:after="160"/>
        <w:rPr/>
      </w:pPr>
      <w:r>
        <w:rPr>
          <w:rFonts w:eastAsia="Arial" w:cs="Arial" w:ascii="Arial" w:hAnsi="Arial"/>
          <w:b/>
          <w:bCs/>
          <w:color w:val="1A1A2E"/>
          <w:sz w:val="36"/>
          <w:szCs w:val="36"/>
        </w:rPr>
        <w:t>1</w:t>
      </w:r>
      <w:r>
        <w:rPr>
          <w:rFonts w:eastAsia="Arial" w:cs="Arial" w:ascii="Arial" w:hAnsi="Arial"/>
          <w:b/>
          <w:bCs/>
          <w:color w:val="1A1A2E"/>
          <w:sz w:val="36"/>
          <w:szCs w:val="36"/>
        </w:rPr>
        <w:t>4</w:t>
      </w:r>
      <w:r>
        <w:rPr>
          <w:rFonts w:eastAsia="Arial" w:cs="Arial" w:ascii="Arial" w:hAnsi="Arial"/>
          <w:b/>
          <w:bCs/>
          <w:color w:val="1A1A2E"/>
          <w:sz w:val="36"/>
          <w:szCs w:val="36"/>
        </w:rPr>
        <w:t>. Disclaimer</w:t>
      </w:r>
    </w:p>
    <w:p>
      <w:pPr>
        <w:pStyle w:val="Normal"/>
        <w:spacing w:before="80" w:after="120"/>
        <w:rPr>
          <w:color w:val="auto"/>
        </w:rPr>
      </w:pPr>
      <w:r>
        <w:rPr>
          <w:rFonts w:eastAsia="Arial" w:cs="Arial"/>
          <w:b w:val="false"/>
          <w:bCs w:val="false"/>
          <w:i w:val="false"/>
          <w:iCs w:val="false"/>
          <w:color w:val="auto"/>
          <w:sz w:val="22"/>
          <w:szCs w:val="22"/>
        </w:rPr>
        <w:t>This whitepaper is a community draft and subject to change based on feedback and technical development. It is for informational purposes only and does not constitute financial advice. DeFi protocols carry inherent risks including smart contract vulnerabilities, market volatility, impermanent loss, and liquidity risks. The estimated 12% APY is illustrative only and not guaranteed. Always conduct your own research (DYOR) before participating in any DeFi protocol.</w:t>
      </w:r>
    </w:p>
    <w:p>
      <w:pPr>
        <w:pStyle w:val="Normal"/>
        <w:spacing w:before="0" w:after="120"/>
        <w:rPr>
          <w:color w:val="auto"/>
        </w:rPr>
      </w:pPr>
      <w:r>
        <w:rPr>
          <w:color w:val="auto"/>
        </w:rPr>
      </w:r>
    </w:p>
    <w:p>
      <w:pPr>
        <w:pStyle w:val="Normal"/>
        <w:pBdr>
          <w:bottom w:val="single" w:sz="4" w:space="1" w:color="C0392B"/>
        </w:pBdr>
        <w:spacing w:before="200" w:after="200"/>
        <w:rPr>
          <w:color w:val="auto"/>
        </w:rPr>
      </w:pPr>
      <w:r>
        <w:rPr>
          <w:color w:val="auto"/>
        </w:rPr>
      </w:r>
    </w:p>
    <w:p>
      <w:pPr>
        <w:pStyle w:val="Normal"/>
        <w:spacing w:before="200" w:after="80"/>
        <w:jc w:val="center"/>
        <w:rPr/>
      </w:pPr>
      <w:r>
        <w:rPr>
          <w:rFonts w:eastAsia="Arial" w:cs="Arial"/>
          <w:b/>
          <w:bCs/>
          <w:color w:val="C0392B"/>
          <w:sz w:val="24"/>
          <w:szCs w:val="24"/>
        </w:rPr>
        <w:t xml:space="preserve">🔥 </w:t>
      </w:r>
      <w:r>
        <w:rPr>
          <w:rFonts w:eastAsia="Arial" w:cs="Arial"/>
          <w:b/>
          <w:bCs/>
          <w:color w:val="C0392B"/>
          <w:sz w:val="24"/>
          <w:szCs w:val="24"/>
        </w:rPr>
        <w:t>HellBurn's Vault — Burn to Earn. Forever.</w:t>
      </w:r>
    </w:p>
    <w:p>
      <w:pPr>
        <w:pStyle w:val="Normal"/>
        <w:spacing w:before="0" w:after="80"/>
        <w:jc w:val="center"/>
        <w:rPr>
          <w:color w:val="auto"/>
        </w:rPr>
      </w:pPr>
      <w:r>
        <w:rPr>
          <w:rFonts w:eastAsia="Arial" w:cs="Arial"/>
          <w:color w:val="auto"/>
          <w:sz w:val="18"/>
          <w:szCs w:val="18"/>
        </w:rPr>
        <w:t>hellburn.win  |  t.me/hellburn_titanx_crypto  |  @HellburnTitanX</w:t>
      </w:r>
    </w:p>
    <w:sectPr>
      <w:footerReference w:type="even" r:id="rId3"/>
      <w:footerReference w:type="default" r:id="rId4"/>
      <w:footerReference w:type="first" r:id="rId5"/>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7F8C8D"/>
        <w:sz w:val="16"/>
        <w:szCs w:val="16"/>
      </w:rPr>
      <w:t xml:space="preserve">HellBurn's Vault — Whitepaper v1.1    |    hellburn.win    |    </w:t>
    </w:r>
    <w:r>
      <w:rPr>
        <w:rFonts w:eastAsia="Arial" w:cs="Arial"/>
        <w:color w:val="7F8C8D"/>
        <w:sz w:val="18"/>
        <w:szCs w:val="18"/>
      </w:rPr>
      <w:fldChar w:fldCharType="begin"/>
    </w:r>
    <w:r>
      <w:rPr>
        <w:rFonts w:eastAsia="Arial" w:cs="Arial"/>
        <w:color w:val="7F8C8D"/>
        <w:sz w:val="18"/>
        <w:szCs w:val="18"/>
      </w:rPr>
      <w:instrText xml:space="preserve"> PAGE </w:instrText>
    </w:r>
    <w:r>
      <w:rPr>
        <w:rFonts w:eastAsia="Arial" w:cs="Arial"/>
        <w:color w:val="7F8C8D"/>
        <w:sz w:val="18"/>
        <w:szCs w:val="18"/>
      </w:rPr>
      <w:fldChar w:fldCharType="separate"/>
    </w:r>
    <w:r>
      <w:rPr>
        <w:rFonts w:eastAsia="Arial" w:cs="Arial"/>
        <w:color w:val="7F8C8D"/>
        <w:sz w:val="18"/>
        <w:szCs w:val="18"/>
      </w:rPr>
      <w:t>7</w:t>
    </w:r>
    <w:r>
      <w:rPr>
        <w:rFonts w:eastAsia="Arial" w:cs="Arial"/>
        <w:color w:val="7F8C8D"/>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7F8C8D"/>
        <w:sz w:val="16"/>
        <w:szCs w:val="16"/>
      </w:rPr>
      <w:t xml:space="preserve">HellBurn's Vault — Whitepaper v1.1    |    hellburn.win    |    </w:t>
    </w:r>
    <w:r>
      <w:rPr>
        <w:rFonts w:eastAsia="Arial" w:cs="Arial"/>
        <w:color w:val="7F8C8D"/>
        <w:sz w:val="18"/>
        <w:szCs w:val="18"/>
      </w:rPr>
      <w:fldChar w:fldCharType="begin"/>
    </w:r>
    <w:r>
      <w:rPr>
        <w:rFonts w:eastAsia="Arial" w:cs="Arial"/>
        <w:color w:val="7F8C8D"/>
        <w:sz w:val="18"/>
        <w:szCs w:val="18"/>
      </w:rPr>
      <w:instrText xml:space="preserve"> PAGE </w:instrText>
    </w:r>
    <w:r>
      <w:rPr>
        <w:rFonts w:eastAsia="Arial" w:cs="Arial"/>
        <w:color w:val="7F8C8D"/>
        <w:sz w:val="18"/>
        <w:szCs w:val="18"/>
      </w:rPr>
      <w:fldChar w:fldCharType="separate"/>
    </w:r>
    <w:r>
      <w:rPr>
        <w:rFonts w:eastAsia="Arial" w:cs="Arial"/>
        <w:color w:val="7F8C8D"/>
        <w:sz w:val="18"/>
        <w:szCs w:val="18"/>
      </w:rPr>
      <w:t>7</w:t>
    </w:r>
    <w:r>
      <w:rPr>
        <w:rFonts w:eastAsia="Arial" w:cs="Arial"/>
        <w:color w:val="7F8C8D"/>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isplayBackgroundShape/>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AT"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de-AT" w:eastAsia="zh-CN" w:bidi="hi-IN"/>
    </w:rPr>
  </w:style>
  <w:style w:type="paragraph" w:styleId="Heading1">
    <w:name w:val="heading 1"/>
    <w:basedOn w:val="berschrift"/>
    <w:qFormat/>
    <w:pPr>
      <w:spacing w:before="400" w:after="160"/>
      <w:outlineLvl w:val="0"/>
    </w:pPr>
    <w:rPr>
      <w:rFonts w:ascii="Arial" w:hAnsi="Arial" w:eastAsia="Arial" w:cs="Arial"/>
      <w:b/>
      <w:bCs/>
      <w:color w:val="1A1A2E"/>
      <w:sz w:val="36"/>
      <w:szCs w:val="36"/>
    </w:rPr>
  </w:style>
  <w:style w:type="paragraph" w:styleId="Heading2">
    <w:name w:val="heading 2"/>
    <w:basedOn w:val="berschrift"/>
    <w:qFormat/>
    <w:pPr>
      <w:spacing w:before="320" w:after="120"/>
      <w:outlineLvl w:val="1"/>
    </w:pPr>
    <w:rPr>
      <w:rFonts w:ascii="Arial" w:hAnsi="Arial" w:eastAsia="Arial" w:cs="Arial"/>
      <w:b/>
      <w:bCs/>
      <w:color w:val="C0392B"/>
      <w:sz w:val="28"/>
      <w:szCs w:val="28"/>
    </w:rPr>
  </w:style>
  <w:style w:type="paragraph" w:styleId="Heading3">
    <w:name w:val="heading 3"/>
    <w:basedOn w:val="berschrift"/>
    <w:qFormat/>
    <w:pPr/>
    <w:rPr>
      <w:color w:val="1F4D78"/>
      <w:sz w:val="24"/>
      <w:szCs w:val="24"/>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de-AT"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de-A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Kopf-Fuzeile">
    <w:name w:val="Kopf-/Fußzeile"/>
    <w:basedOn w:val="Normal"/>
    <w:qFormat/>
    <w:pPr/>
    <w:rPr/>
  </w:style>
  <w:style w:type="paragraph" w:styleId="Footer">
    <w:name w:val="footer"/>
    <w:basedOn w:val="Kopf-Fuzeil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LibreOffice/26.2.0.3$Windows_X86_64 LibreOffice_project/620$Build-3</Application>
  <AppVersion>15.0000</AppVersion>
  <Pages>7</Pages>
  <Words>1596</Words>
  <Characters>8572</Characters>
  <CharactersWithSpaces>9940</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2026-03-25T15:08:18Z</dcterms:created>
  <dc:creator>Un-named</dc:creator>
  <dc:description/>
  <dc:language>de-AT</dc:language>
  <cp:lastModifiedBy/>
  <dcterms:modified xsi:type="dcterms:W3CDTF">2026-03-25T17:17:15Z</dcterms:modified>
  <cp:revision>2</cp:revision>
  <dc:subject/>
  <dc:title/>
</cp:coreProperties>
</file>