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uto">
    <v:background>
      <v:fill r:id="rId2" type="frame"/>
    </v:background>
  </w:background>
  <w:body>
    <w:p>
      <w:pPr>
        <w:pStyle w:val="Normal"/>
        <w:spacing w:before="0" w:after="2000"/>
        <w:rPr/>
      </w:pPr>
      <w:r>
        <w:rPr/>
      </w:r>
    </w:p>
    <w:p>
      <w:pPr>
        <w:pStyle w:val="Normal"/>
        <w:spacing w:before="0" w:after="100"/>
        <w:jc w:val="center"/>
        <w:rPr/>
      </w:pPr>
      <w:r>
        <w:rPr>
          <w:rFonts w:eastAsia="Arial" w:cs="Arial"/>
          <w:b/>
          <w:bCs/>
          <w:color w:val="C41E3A"/>
          <w:sz w:val="72"/>
          <w:szCs w:val="72"/>
        </w:rPr>
        <w:t>HELLBURN</w:t>
      </w:r>
    </w:p>
    <w:p>
      <w:pPr>
        <w:pStyle w:val="Normal"/>
        <w:spacing w:before="0" w:after="200"/>
        <w:jc w:val="center"/>
        <w:rPr/>
      </w:pPr>
      <w:r>
        <w:rPr>
          <w:rFonts w:eastAsia="Arial" w:cs="Arial"/>
          <w:color w:val="555555"/>
          <w:sz w:val="24"/>
          <w:szCs w:val="24"/>
        </w:rPr>
        <w:t>KOMPETITIVES BURN-TO-EARN PROTOKOLL</w:t>
      </w:r>
    </w:p>
    <w:p>
      <w:pPr>
        <w:pStyle w:val="Normal"/>
        <w:spacing w:before="0" w:after="100"/>
        <w:jc w:val="center"/>
        <w:rPr/>
      </w:pPr>
      <w:r>
        <w:rPr>
          <w:rFonts w:eastAsia="Arial" w:cs="Arial"/>
          <w:color w:val="D4A843"/>
          <w:sz w:val="22"/>
          <w:szCs w:val="22"/>
        </w:rPr>
        <w:t>Built on TitanX  |  Burns DragonX  |  Real ETH Yield</w:t>
      </w:r>
    </w:p>
    <w:p>
      <w:pPr>
        <w:pStyle w:val="Normal"/>
        <w:spacing w:before="0" w:after="600"/>
        <w:rPr/>
      </w:pPr>
      <w:r>
        <w:rPr/>
      </w:r>
    </w:p>
    <w:p>
      <w:pPr>
        <w:pStyle w:val="Normal"/>
        <w:spacing w:before="0" w:after="60"/>
        <w:jc w:val="center"/>
        <w:rPr/>
      </w:pPr>
      <w:r>
        <w:rPr>
          <w:rFonts w:eastAsia="Arial" w:cs="Arial"/>
          <w:b/>
          <w:bCs/>
          <w:color w:val="1A1A2E"/>
          <w:sz w:val="28"/>
          <w:szCs w:val="28"/>
        </w:rPr>
        <w:t>WHITEPAPER v3.0 — Fair Launch Edition</w:t>
      </w:r>
    </w:p>
    <w:p>
      <w:pPr>
        <w:pStyle w:val="Normal"/>
        <w:jc w:val="center"/>
        <w:rPr/>
      </w:pPr>
      <w:r>
        <w:rPr>
          <w:rFonts w:eastAsia="Arial" w:cs="Arial"/>
          <w:color w:val="555555"/>
          <w:sz w:val="22"/>
          <w:szCs w:val="22"/>
        </w:rPr>
        <w:t>März 2026</w:t>
      </w:r>
    </w:p>
    <w:p>
      <w:pPr>
        <w:pStyle w:val="Normal"/>
        <w:rPr/>
      </w:pPr>
      <w:r>
        <w:rPr/>
      </w:r>
      <w:r>
        <w:br w:type="page"/>
      </w:r>
    </w:p>
    <w:p>
      <w:pPr>
        <w:pStyle w:val="Heading1"/>
        <w:spacing w:before="0" w:after="200"/>
        <w:rPr/>
      </w:pPr>
      <w:r>
        <w:rPr>
          <w:rFonts w:eastAsia="Arial" w:cs="Arial"/>
          <w:b/>
          <w:bCs/>
          <w:color w:val="C41E3A"/>
          <w:sz w:val="32"/>
          <w:szCs w:val="32"/>
        </w:rPr>
        <w:t>Haftungsausschluss</w:t>
      </w:r>
    </w:p>
    <w:p>
      <w:pPr>
        <w:pStyle w:val="Normal"/>
        <w:spacing w:lineRule="auto" w:line="276" w:before="0" w:after="120"/>
        <w:rPr/>
      </w:pPr>
      <w:r>
        <w:rPr>
          <w:rFonts w:eastAsia="Arial" w:cs="Arial"/>
          <w:i/>
          <w:iCs/>
          <w:color w:val="222222"/>
          <w:sz w:val="21"/>
          <w:szCs w:val="21"/>
        </w:rPr>
        <w:t>Dieses Dokument dient ausschließlich Informationszwecken und stellt keine Finanz-, Anlage- oder Rechtsberatung dar. Kryptowährungs- und DeFi-Investments bergen erhebliche Risiken, einschließlich des möglichen Totalverlusts des eingesetzten Kapitals. Smart Contracts können trotz Tests und Audits Schwachstellen enthalten. Vergangene Performance ähnlicher Protokolle garantiert keine zukünftigen Ergebnisse. Alle Prognosen in diesem Dokument sind hypothetische Szenarien basierend auf Annahmen, die möglicherweise nicht eintreten. Informiere dich immer eigenständig (DYOR) vor einer Teilnahme.</w:t>
      </w:r>
    </w:p>
    <w:p>
      <w:pPr>
        <w:pStyle w:val="Normal"/>
        <w:rPr/>
      </w:pPr>
      <w:r>
        <w:rPr/>
      </w:r>
      <w:r>
        <w:br w:type="page"/>
      </w:r>
    </w:p>
    <w:p>
      <w:pPr>
        <w:pStyle w:val="Heading1"/>
        <w:spacing w:before="0" w:after="200"/>
        <w:rPr/>
      </w:pPr>
      <w:r>
        <w:rPr>
          <w:rFonts w:eastAsia="Arial" w:cs="Arial"/>
          <w:b/>
          <w:bCs/>
          <w:color w:val="C41E3A"/>
          <w:sz w:val="32"/>
          <w:szCs w:val="32"/>
        </w:rPr>
        <w:t>Inhaltsverzeichnis</w:t>
      </w:r>
    </w:p>
    <w:p>
      <w:pPr>
        <w:pStyle w:val="Normal"/>
        <w:spacing w:before="0" w:after="80"/>
        <w:rPr/>
      </w:pPr>
      <w:r>
        <w:rPr>
          <w:rFonts w:eastAsia="Arial" w:cs="Arial"/>
          <w:b w:val="false"/>
          <w:bCs w:val="false"/>
          <w:color w:val="222222"/>
          <w:sz w:val="22"/>
          <w:szCs w:val="22"/>
        </w:rPr>
        <w:t>1. Zusammenfassung</w:t>
      </w:r>
    </w:p>
    <w:p>
      <w:pPr>
        <w:pStyle w:val="Normal"/>
        <w:spacing w:before="0" w:after="80"/>
        <w:rPr/>
      </w:pPr>
      <w:r>
        <w:rPr>
          <w:rFonts w:eastAsia="Arial" w:cs="Arial"/>
          <w:b w:val="false"/>
          <w:bCs w:val="false"/>
          <w:color w:val="222222"/>
          <w:sz w:val="22"/>
          <w:szCs w:val="22"/>
        </w:rPr>
        <w:t>2. Das Problem — Warum bestehende Protokolle scheitern</w:t>
      </w:r>
    </w:p>
    <w:p>
      <w:pPr>
        <w:pStyle w:val="Normal"/>
        <w:spacing w:before="0" w:after="80"/>
        <w:rPr/>
      </w:pPr>
      <w:r>
        <w:rPr>
          <w:rFonts w:eastAsia="Arial" w:cs="Arial"/>
          <w:b w:val="false"/>
          <w:bCs w:val="false"/>
          <w:color w:val="222222"/>
          <w:sz w:val="22"/>
          <w:szCs w:val="22"/>
        </w:rPr>
        <w:t>3. Die Lösung — HellBurns drei Innovationen</w:t>
      </w:r>
    </w:p>
    <w:p>
      <w:pPr>
        <w:pStyle w:val="Normal"/>
        <w:spacing w:before="0" w:after="80"/>
        <w:rPr/>
      </w:pPr>
      <w:r>
        <w:rPr>
          <w:rFonts w:eastAsia="Arial" w:cs="Arial"/>
          <w:b w:val="false"/>
          <w:bCs w:val="false"/>
          <w:color w:val="222222"/>
          <w:sz w:val="22"/>
          <w:szCs w:val="22"/>
        </w:rPr>
        <w:t>4. Das Deflations-Flywheel — Wie alles zusammenhängt</w:t>
      </w:r>
    </w:p>
    <w:p>
      <w:pPr>
        <w:pStyle w:val="Normal"/>
        <w:spacing w:before="0" w:after="80"/>
        <w:rPr/>
      </w:pPr>
      <w:r>
        <w:rPr>
          <w:rFonts w:eastAsia="Arial" w:cs="Arial"/>
          <w:b/>
          <w:bCs/>
          <w:color w:val="C41E3A"/>
          <w:sz w:val="22"/>
          <w:szCs w:val="22"/>
        </w:rPr>
        <w:t>5. Fair Launch Mechanismus — Trustless Liquidität (NEU)</w:t>
      </w:r>
    </w:p>
    <w:p>
      <w:pPr>
        <w:pStyle w:val="Normal"/>
        <w:spacing w:before="0" w:after="80"/>
        <w:rPr/>
      </w:pPr>
      <w:r>
        <w:rPr>
          <w:rFonts w:eastAsia="Arial" w:cs="Arial"/>
          <w:b w:val="false"/>
          <w:bCs w:val="false"/>
          <w:color w:val="222222"/>
          <w:sz w:val="22"/>
          <w:szCs w:val="22"/>
        </w:rPr>
        <w:t>6. Genesis-Phase — Dein Einstiegspunkt</w:t>
      </w:r>
    </w:p>
    <w:p>
      <w:pPr>
        <w:pStyle w:val="Normal"/>
        <w:spacing w:before="0" w:after="80"/>
        <w:rPr/>
      </w:pPr>
      <w:r>
        <w:rPr>
          <w:rFonts w:eastAsia="Arial" w:cs="Arial"/>
          <w:b w:val="false"/>
          <w:bCs w:val="false"/>
          <w:color w:val="222222"/>
          <w:sz w:val="22"/>
          <w:szCs w:val="22"/>
        </w:rPr>
        <w:t>7. Burn Epochs — Wettbewerb um ETH</w:t>
      </w:r>
    </w:p>
    <w:p>
      <w:pPr>
        <w:pStyle w:val="Normal"/>
        <w:spacing w:before="0" w:after="80"/>
        <w:rPr/>
      </w:pPr>
      <w:r>
        <w:rPr>
          <w:rFonts w:eastAsia="Arial" w:cs="Arial"/>
          <w:b w:val="false"/>
          <w:bCs w:val="false"/>
          <w:color w:val="222222"/>
          <w:sz w:val="22"/>
          <w:szCs w:val="22"/>
        </w:rPr>
        <w:t>8. Staking &amp; Real Yield</w:t>
      </w:r>
    </w:p>
    <w:p>
      <w:pPr>
        <w:pStyle w:val="Normal"/>
        <w:spacing w:before="0" w:after="80"/>
        <w:rPr/>
      </w:pPr>
      <w:r>
        <w:rPr>
          <w:rFonts w:eastAsia="Arial" w:cs="Arial"/>
          <w:b w:val="false"/>
          <w:bCs w:val="false"/>
          <w:color w:val="222222"/>
          <w:sz w:val="22"/>
          <w:szCs w:val="22"/>
        </w:rPr>
        <w:t>9. Tokenomics im Detail</w:t>
      </w:r>
    </w:p>
    <w:p>
      <w:pPr>
        <w:pStyle w:val="Normal"/>
        <w:spacing w:before="0" w:after="80"/>
        <w:rPr/>
      </w:pPr>
      <w:r>
        <w:rPr>
          <w:rFonts w:eastAsia="Arial" w:cs="Arial"/>
          <w:b w:val="false"/>
          <w:bCs w:val="false"/>
          <w:color w:val="222222"/>
          <w:sz w:val="22"/>
          <w:szCs w:val="22"/>
        </w:rPr>
        <w:t>10. Day-888-Strategie — Das Katalysator-Event</w:t>
      </w:r>
    </w:p>
    <w:p>
      <w:pPr>
        <w:pStyle w:val="Normal"/>
        <w:spacing w:before="0" w:after="80"/>
        <w:rPr/>
      </w:pPr>
      <w:r>
        <w:rPr>
          <w:rFonts w:eastAsia="Arial" w:cs="Arial"/>
          <w:b w:val="false"/>
          <w:bCs w:val="false"/>
          <w:color w:val="222222"/>
          <w:sz w:val="22"/>
          <w:szCs w:val="22"/>
        </w:rPr>
        <w:t>11. Anti-Dump-Mechanismen</w:t>
      </w:r>
    </w:p>
    <w:p>
      <w:pPr>
        <w:pStyle w:val="Normal"/>
        <w:spacing w:before="0" w:after="80"/>
        <w:rPr/>
      </w:pPr>
      <w:r>
        <w:rPr>
          <w:rFonts w:eastAsia="Arial" w:cs="Arial"/>
          <w:b w:val="false"/>
          <w:bCs w:val="false"/>
          <w:color w:val="222222"/>
          <w:sz w:val="22"/>
          <w:szCs w:val="22"/>
        </w:rPr>
        <w:t>12. 12-Monats-Prognosen</w:t>
      </w:r>
    </w:p>
    <w:p>
      <w:pPr>
        <w:pStyle w:val="Normal"/>
        <w:spacing w:before="0" w:after="80"/>
        <w:rPr/>
      </w:pPr>
      <w:r>
        <w:rPr>
          <w:rFonts w:eastAsia="Arial" w:cs="Arial"/>
          <w:b w:val="false"/>
          <w:bCs w:val="false"/>
          <w:color w:val="222222"/>
          <w:sz w:val="22"/>
          <w:szCs w:val="22"/>
        </w:rPr>
        <w:t>13. Roadmap</w:t>
      </w:r>
    </w:p>
    <w:p>
      <w:pPr>
        <w:pStyle w:val="Normal"/>
        <w:spacing w:before="0" w:after="80"/>
        <w:rPr/>
      </w:pPr>
      <w:r>
        <w:rPr>
          <w:rFonts w:eastAsia="Arial" w:cs="Arial"/>
          <w:b w:val="false"/>
          <w:bCs w:val="false"/>
          <w:color w:val="222222"/>
          <w:sz w:val="22"/>
          <w:szCs w:val="22"/>
        </w:rPr>
        <w:t>14. Risiken &amp; Haftungsausschluss</w:t>
      </w:r>
    </w:p>
    <w:p>
      <w:pPr>
        <w:pStyle w:val="Normal"/>
        <w:rPr/>
      </w:pPr>
      <w:r>
        <w:rPr/>
      </w:r>
      <w:r>
        <w:br w:type="page"/>
      </w:r>
    </w:p>
    <w:p>
      <w:pPr>
        <w:pStyle w:val="Heading1"/>
        <w:spacing w:before="0" w:after="200"/>
        <w:rPr/>
      </w:pPr>
      <w:r>
        <w:rPr>
          <w:rFonts w:eastAsia="Arial" w:cs="Arial"/>
          <w:b/>
          <w:bCs/>
          <w:color w:val="C41E3A"/>
          <w:sz w:val="32"/>
          <w:szCs w:val="32"/>
        </w:rPr>
        <w:t>1. Zusammenfassung</w:t>
      </w:r>
    </w:p>
    <w:p>
      <w:pPr>
        <w:pStyle w:val="Normal"/>
        <w:spacing w:lineRule="auto" w:line="276" w:before="0" w:after="120"/>
        <w:rPr/>
      </w:pPr>
      <w:r>
        <w:rPr>
          <w:rFonts w:eastAsia="Arial" w:cs="Arial"/>
          <w:color w:val="222222"/>
          <w:sz w:val="21"/>
          <w:szCs w:val="21"/>
        </w:rPr>
        <w:t>HellBurn ist das erste Competitive Burn-to-Earn Protocol im TitanX-Ökosystem. Es verbindet gamifiziertes, kompetitives Burning mit realem ETH-Yield und erzeugt perpetuellen Deflationsdruck auf TitanX und DragonX.</w:t>
      </w:r>
    </w:p>
    <w:p>
      <w:pPr>
        <w:pStyle w:val="Normal"/>
        <w:spacing w:lineRule="auto" w:line="276" w:before="0" w:after="120"/>
        <w:rPr/>
      </w:pPr>
      <w:r>
        <w:rPr>
          <w:rFonts w:eastAsia="Arial" w:cs="Arial"/>
          <w:color w:val="222222"/>
          <w:sz w:val="21"/>
          <w:szCs w:val="21"/>
        </w:rPr>
        <w:t>Während bestehende TitanX-Protokolle (DragonX, Helios, Hydra, B88) auf einmaliges Minting mit passivem Staking setzen, führt HellBurn ein neues Konzept ein: Burn Epochs — kompetitive 8-Tage-Zyklen, in denen Teilnehmer TitanX und DragonX verbrennen, um ETH-Rewards zu erhalten. Ein Streak-System belohnt konsistente Teilnahme mit bis zu 3x Multiplier.</w:t>
      </w:r>
    </w:p>
    <w:p>
      <w:pPr>
        <w:pStyle w:val="Normal"/>
        <w:spacing w:lineRule="auto" w:line="276" w:before="0" w:after="120"/>
        <w:rPr/>
      </w:pPr>
      <w:r>
        <w:rPr>
          <w:rFonts w:eastAsia="Arial" w:cs="Arial"/>
          <w:color w:val="222222"/>
          <w:sz w:val="21"/>
          <w:szCs w:val="21"/>
        </w:rPr>
        <w:t>Das Ergebnis: Ein selbstverstärkendes deflationäres Flywheel, das nicht nach der Minting-Phase endet, sondern dauerhaft läuft. HellBurn nutzt strategisch den historischen TitanX Day-888-Payout (~727 ETH, ~$2,39M) als Zündungs-Event.</w:t>
      </w:r>
    </w:p>
    <w:p>
      <w:pPr>
        <w:pStyle w:val="Normal"/>
        <w:spacing w:lineRule="auto" w:line="276" w:before="0" w:after="120"/>
        <w:rPr/>
      </w:pPr>
      <w:r>
        <w:rPr>
          <w:rFonts w:eastAsia="Arial" w:cs="Arial"/>
          <w:b/>
          <w:bCs/>
          <w:color w:val="C41E3A"/>
          <w:sz w:val="21"/>
          <w:szCs w:val="21"/>
        </w:rPr>
        <w:t xml:space="preserve">Neu in v3.0: </w:t>
      </w:r>
      <w:r>
        <w:rPr>
          <w:rFonts w:eastAsia="Arial" w:cs="Arial"/>
          <w:color w:val="222222"/>
          <w:sz w:val="21"/>
          <w:szCs w:val="21"/>
        </w:rPr>
        <w:t>HellBurn startet als echter Fair Launch. Die initiale Liquidität wird vollständig vom Smart Contract erstellt — kein Mensch berührt die LP-Tokens. Der Genesis-Contract wandelt akkumuliertes TitanX automatisch in WETH um und erstellt eine permanente, gesperrte Uniswap V3 Position. Kein Insider-Vorteil, kein Pre-Mine, vollständig on-chain verifizierbar.</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3498"/>
        <w:gridCol w:w="5862"/>
      </w:tblGrid>
      <w:tr>
        <w:trPr/>
        <w:tc>
          <w:tcPr>
            <w:tcW w:w="34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Parameter</w:t>
            </w:r>
          </w:p>
        </w:tc>
        <w:tc>
          <w:tcPr>
            <w:tcW w:w="586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Wert</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Token</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HBURN (ERC-20, Ethereum)</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Kernmechanik</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Kompetitive Burn Epochs + Payout Capture</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Burn-Ziele</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TitanX + DragonX (Dual Burn)</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Yield</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Realer ETH-Ertrag aus TitanX-Staking-Payouts</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Supply</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Fixiert — nur während 28-Tage-Genesis mintbar, dann permanent deaktiviert</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Initiale Liquidität</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Trustless — vom Smart Contract erstellt (Fair Launch)</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Admin Keys</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Keine — vollständig dezentralisiert</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Launch</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Vor TitanX Day 888 (~April 2026)</w:t>
            </w:r>
          </w:p>
        </w:tc>
      </w:tr>
    </w:tbl>
    <w:p>
      <w:pPr>
        <w:pStyle w:val="Normal"/>
        <w:rPr/>
      </w:pPr>
      <w:r>
        <w:rPr/>
      </w:r>
      <w:r>
        <w:br w:type="page"/>
      </w:r>
    </w:p>
    <w:p>
      <w:pPr>
        <w:pStyle w:val="Heading1"/>
        <w:spacing w:before="0" w:after="200"/>
        <w:rPr/>
      </w:pPr>
      <w:r>
        <w:rPr>
          <w:rFonts w:eastAsia="Arial" w:cs="Arial"/>
          <w:b/>
          <w:bCs/>
          <w:color w:val="C41E3A"/>
          <w:sz w:val="32"/>
          <w:szCs w:val="32"/>
        </w:rPr>
        <w:t>2. Das Problem — Warum bestehende Protokolle scheitern</w:t>
      </w:r>
    </w:p>
    <w:p>
      <w:pPr>
        <w:pStyle w:val="Heading2"/>
        <w:spacing w:before="240" w:after="160"/>
        <w:rPr/>
      </w:pPr>
      <w:r>
        <w:rPr>
          <w:rFonts w:eastAsia="Arial" w:cs="Arial"/>
          <w:b/>
          <w:bCs/>
          <w:color w:val="1A1A2E"/>
          <w:sz w:val="26"/>
          <w:szCs w:val="26"/>
        </w:rPr>
        <w:t>2.1 Einmaliger Deflationsdruck</w:t>
      </w:r>
    </w:p>
    <w:p>
      <w:pPr>
        <w:pStyle w:val="Normal"/>
        <w:spacing w:lineRule="auto" w:line="276" w:before="0" w:after="120"/>
        <w:rPr/>
      </w:pPr>
      <w:r>
        <w:rPr>
          <w:rFonts w:eastAsia="Arial" w:cs="Arial"/>
          <w:color w:val="222222"/>
          <w:sz w:val="21"/>
          <w:szCs w:val="21"/>
        </w:rPr>
        <w:t>Jedes TitanX-Projekt folgt demselben Muster: Eine Minting-Phase, in der TitanX geburnt wird, und danach — nichts mehr. Der Burn-Druck endet mit dem Minting. Deflation ist ein Einmal-Event.</w:t>
      </w:r>
    </w:p>
    <w:p>
      <w:pPr>
        <w:pStyle w:val="Normal"/>
        <w:spacing w:lineRule="auto" w:line="276" w:before="0" w:after="120"/>
        <w:rPr/>
      </w:pPr>
      <w:r>
        <w:rPr>
          <w:rFonts w:eastAsia="Arial" w:cs="Arial"/>
          <w:i/>
          <w:iCs/>
          <w:color w:val="222222"/>
          <w:sz w:val="21"/>
          <w:szCs w:val="21"/>
        </w:rPr>
        <w:t>Beispiel: Protokoll X hatte eine 14-tägige Minting-Phase, die 500B TitanX verbrannte. Beeindruckend — aber ab Tag 15 sank die Burn-Aktivität auf Null.</w:t>
      </w:r>
    </w:p>
    <w:p>
      <w:pPr>
        <w:pStyle w:val="Heading2"/>
        <w:spacing w:before="240" w:after="160"/>
        <w:rPr/>
      </w:pPr>
      <w:r>
        <w:rPr>
          <w:rFonts w:eastAsia="Arial" w:cs="Arial"/>
          <w:b/>
          <w:bCs/>
          <w:color w:val="1A1A2E"/>
          <w:sz w:val="26"/>
          <w:szCs w:val="26"/>
        </w:rPr>
        <w:t>2.2 Passives Staking ohne Engagement</w:t>
      </w:r>
    </w:p>
    <w:p>
      <w:pPr>
        <w:pStyle w:val="Normal"/>
        <w:spacing w:lineRule="auto" w:line="276" w:before="0" w:after="120"/>
        <w:rPr/>
      </w:pPr>
      <w:r>
        <w:rPr>
          <w:rFonts w:eastAsia="Arial" w:cs="Arial"/>
          <w:color w:val="222222"/>
          <w:sz w:val="21"/>
          <w:szCs w:val="21"/>
        </w:rPr>
        <w:t>Nach dem Minting staken User ihre Token und warten passiv. Es gibt keinen Anreiz, aktiv teilzunehmen. Das führt zu sinkendem Engagement und dem klassischen „Minten → Staken → Vergessen → Dumpen“-Zyklus.</w:t>
      </w:r>
    </w:p>
    <w:p>
      <w:pPr>
        <w:pStyle w:val="Heading2"/>
        <w:spacing w:before="240" w:after="160"/>
        <w:rPr/>
      </w:pPr>
      <w:r>
        <w:rPr>
          <w:rFonts w:eastAsia="Arial" w:cs="Arial"/>
          <w:b/>
          <w:bCs/>
          <w:color w:val="1A1A2E"/>
          <w:sz w:val="26"/>
          <w:szCs w:val="26"/>
        </w:rPr>
        <w:t>2.3 Fehlende Gamification</w:t>
      </w:r>
    </w:p>
    <w:p>
      <w:pPr>
        <w:pStyle w:val="Normal"/>
        <w:spacing w:lineRule="auto" w:line="276" w:before="0" w:after="120"/>
        <w:rPr/>
      </w:pPr>
      <w:r>
        <w:rPr>
          <w:rFonts w:eastAsia="Arial" w:cs="Arial"/>
          <w:color w:val="222222"/>
          <w:sz w:val="21"/>
          <w:szCs w:val="21"/>
        </w:rPr>
        <w:t>DeFi-Protokolle konkurrieren in einem übersättigten Markt. Ohne kompetitive Elemente fehlt der Grund, täglich zurückzukehren. Die erfolgreichsten DeFi-Protokolle (Curve Wars, Convex, GMX, Pendle) haben bewiesen, dass kompetitive Mechaniken die stärksten Retention-Treiber sind.</w:t>
      </w:r>
    </w:p>
    <w:p>
      <w:pPr>
        <w:pStyle w:val="Heading2"/>
        <w:spacing w:before="240" w:after="160"/>
        <w:rPr/>
      </w:pPr>
      <w:r>
        <w:rPr>
          <w:rFonts w:eastAsia="Arial" w:cs="Arial"/>
          <w:b/>
          <w:bCs/>
          <w:color w:val="1A1A2E"/>
          <w:sz w:val="26"/>
          <w:szCs w:val="26"/>
        </w:rPr>
        <w:t>2.4 Zentralisierte Liquiditätserstellung</w:t>
      </w:r>
    </w:p>
    <w:p>
      <w:pPr>
        <w:pStyle w:val="Normal"/>
        <w:spacing w:lineRule="auto" w:line="276" w:before="0" w:after="120"/>
        <w:rPr/>
      </w:pPr>
      <w:r>
        <w:rPr>
          <w:rFonts w:eastAsia="Arial" w:cs="Arial"/>
          <w:color w:val="222222"/>
          <w:sz w:val="21"/>
          <w:szCs w:val="21"/>
        </w:rPr>
        <w:t>Die meisten Protokolle verlassen sich darauf, dass der Gründer oder das Team den initialen Liquiditätspool manuell erstellt. Das erfordert Vertrauen: User müssen glauben, dass das Team den Pool tatsächlich erstellt, einen fairen Preis setzt und die LP-Tokens sperrt. Viele Projekte haben dieses Vertrauen missbraucht.</w:t>
      </w:r>
    </w:p>
    <w:p>
      <w:pPr>
        <w:pStyle w:val="Normal"/>
        <w:rPr/>
      </w:pPr>
      <w:r>
        <w:rPr/>
      </w:r>
      <w:r>
        <w:br w:type="page"/>
      </w:r>
    </w:p>
    <w:p>
      <w:pPr>
        <w:pStyle w:val="Heading1"/>
        <w:spacing w:before="0" w:after="200"/>
        <w:rPr/>
      </w:pPr>
      <w:r>
        <w:rPr>
          <w:rFonts w:eastAsia="Arial" w:cs="Arial"/>
          <w:b/>
          <w:bCs/>
          <w:color w:val="C41E3A"/>
          <w:sz w:val="32"/>
          <w:szCs w:val="32"/>
        </w:rPr>
        <w:t>3. Die Lösung — HellBurns drei Innovationen</w:t>
      </w:r>
    </w:p>
    <w:p>
      <w:pPr>
        <w:pStyle w:val="Heading2"/>
        <w:spacing w:before="240" w:after="160"/>
        <w:rPr/>
      </w:pPr>
      <w:r>
        <w:rPr>
          <w:rFonts w:eastAsia="Arial" w:cs="Arial"/>
          <w:b/>
          <w:bCs/>
          <w:color w:val="1A1A2E"/>
          <w:sz w:val="26"/>
          <w:szCs w:val="26"/>
        </w:rPr>
        <w:t>3.1 Burn Epochs: Perpetueller Deflationsdruck</w:t>
      </w:r>
    </w:p>
    <w:p>
      <w:pPr>
        <w:pStyle w:val="Normal"/>
        <w:spacing w:lineRule="auto" w:line="276" w:before="0" w:after="120"/>
        <w:rPr/>
      </w:pPr>
      <w:r>
        <w:rPr>
          <w:rFonts w:eastAsia="Arial" w:cs="Arial"/>
          <w:color w:val="222222"/>
          <w:sz w:val="21"/>
          <w:szCs w:val="21"/>
        </w:rPr>
        <w:t>Alle 8 Tage (synchron mit dem TitanX-Payout-Zyklus) startet eine neue Burn Epoch. User verbrennen TitanX und/oder DragonX in den Epoch-Pool. Am Ende werden ETH-Rewards proportional zum gewichteten Burn-Anteil verteilt.</w:t>
      </w:r>
    </w:p>
    <w:p>
      <w:pPr>
        <w:pStyle w:val="Normal"/>
        <w:spacing w:lineRule="auto" w:line="276" w:before="0" w:after="120"/>
        <w:rPr/>
      </w:pPr>
      <w:r>
        <w:rPr>
          <w:rFonts w:eastAsia="Arial" w:cs="Arial"/>
          <w:color w:val="222222"/>
          <w:sz w:val="21"/>
          <w:szCs w:val="21"/>
        </w:rPr>
        <w:t>Der entscheidende Punkt: Burning hört nie auf. Solange ETH-Rewards fließen, gibt es immer einen Anreiz zu burnen. Die Deflation ist permanent, nicht zeitlich begrenzt.</w:t>
      </w:r>
    </w:p>
    <w:p>
      <w:pPr>
        <w:pStyle w:val="Heading2"/>
        <w:spacing w:before="240" w:after="160"/>
        <w:rPr/>
      </w:pPr>
      <w:r>
        <w:rPr>
          <w:rFonts w:eastAsia="Arial" w:cs="Arial"/>
          <w:b/>
          <w:bCs/>
          <w:color w:val="1A1A2E"/>
          <w:sz w:val="26"/>
          <w:szCs w:val="26"/>
        </w:rPr>
        <w:t>3.2 Streak-System: Game Theory als Retention</w:t>
      </w:r>
    </w:p>
    <w:p>
      <w:pPr>
        <w:pStyle w:val="Normal"/>
        <w:spacing w:lineRule="auto" w:line="276" w:before="0" w:after="120"/>
        <w:rPr/>
      </w:pPr>
      <w:r>
        <w:rPr>
          <w:rFonts w:eastAsia="Arial" w:cs="Arial"/>
          <w:color w:val="222222"/>
          <w:sz w:val="21"/>
          <w:szCs w:val="21"/>
        </w:rPr>
        <w:t>Konsekutive Epoch-Teilnahme baut einen Streak auf. Jede weitere Epoch erhöht den Multiplier um +0.2x, bis max. 3.0x nach 11 Epochs (~88 Tage). Eine verpasste Epoch setzt den Streak komplett auf 1.0x zurück.</w:t>
      </w:r>
    </w:p>
    <w:p>
      <w:pPr>
        <w:pStyle w:val="Normal"/>
        <w:spacing w:lineRule="auto" w:line="276" w:before="0" w:after="120"/>
        <w:rPr/>
      </w:pPr>
      <w:r>
        <w:rPr>
          <w:rFonts w:eastAsia="Arial" w:cs="Arial"/>
          <w:color w:val="222222"/>
          <w:sz w:val="21"/>
          <w:szCs w:val="21"/>
        </w:rPr>
        <w:t>Warum das funktioniert: Ein User mit 2.4x Streak (8 konsekutive Epochs) bräuchte 8 weitere Epochs zum Wiederaufbau. Die Angst vor dem Streak-Verlust hält Teilnehmer aktiv — genau das treibt den perpetuellen Burn.</w:t>
      </w:r>
    </w:p>
    <w:p>
      <w:pPr>
        <w:pStyle w:val="Heading2"/>
        <w:spacing w:before="240" w:after="160"/>
        <w:rPr/>
      </w:pPr>
      <w:r>
        <w:rPr>
          <w:rFonts w:eastAsia="Arial" w:cs="Arial"/>
          <w:b/>
          <w:bCs/>
          <w:color w:val="1A1A2E"/>
          <w:sz w:val="26"/>
          <w:szCs w:val="26"/>
        </w:rPr>
        <w:t>3.3 Burn-to-Boost Staking („Fuel“)</w:t>
      </w:r>
    </w:p>
    <w:p>
      <w:pPr>
        <w:pStyle w:val="Normal"/>
        <w:spacing w:lineRule="auto" w:line="276" w:before="0" w:after="120"/>
        <w:rPr/>
      </w:pPr>
      <w:r>
        <w:rPr>
          <w:rFonts w:eastAsia="Arial" w:cs="Arial"/>
          <w:color w:val="222222"/>
          <w:sz w:val="21"/>
          <w:szCs w:val="21"/>
        </w:rPr>
        <w:t>Staker können ihre Shares aktiv erhöhen, indem sie TitanX/DragonX als „Fuel“ verbrennen. DragonX gibt 2x Fuel. Maximum: +50% Shares. Dreifacher Deflationsdruck: Minting + Epochs + Fuel.</w:t>
      </w:r>
    </w:p>
    <w:p>
      <w:pPr>
        <w:pStyle w:val="Normal"/>
        <w:rPr/>
      </w:pPr>
      <w:r>
        <w:rPr/>
      </w:r>
      <w:r>
        <w:br w:type="page"/>
      </w:r>
    </w:p>
    <w:p>
      <w:pPr>
        <w:pStyle w:val="Heading1"/>
        <w:spacing w:before="0" w:after="200"/>
        <w:rPr/>
      </w:pPr>
      <w:r>
        <w:rPr>
          <w:rFonts w:eastAsia="Arial" w:cs="Arial"/>
          <w:b/>
          <w:bCs/>
          <w:color w:val="C41E3A"/>
          <w:sz w:val="32"/>
          <w:szCs w:val="32"/>
        </w:rPr>
        <w:t>4. Das Deflations-Flywheel</w:t>
      </w:r>
    </w:p>
    <w:p>
      <w:pPr>
        <w:pStyle w:val="Normal"/>
        <w:spacing w:lineRule="auto" w:line="276" w:before="0" w:after="120"/>
        <w:rPr/>
      </w:pPr>
      <w:r>
        <w:rPr>
          <w:rFonts w:eastAsia="Arial" w:cs="Arial"/>
          <w:color w:val="222222"/>
          <w:sz w:val="21"/>
          <w:szCs w:val="21"/>
        </w:rPr>
        <w:t>Der selbstverstärkende Kreislauf, der permanenten Deflationsdruck erzeugt:</w:t>
      </w:r>
    </w:p>
    <w:p>
      <w:pPr>
        <w:pStyle w:val="Normal"/>
        <w:spacing w:lineRule="auto" w:line="276" w:before="0" w:after="120"/>
        <w:rPr/>
      </w:pPr>
      <w:r>
        <w:rPr>
          <w:rFonts w:eastAsia="Arial" w:cs="Arial"/>
          <w:b/>
          <w:bCs/>
          <w:color w:val="C41E3A"/>
          <w:sz w:val="21"/>
          <w:szCs w:val="21"/>
        </w:rPr>
        <w:t xml:space="preserve">Schritt 1: </w:t>
      </w:r>
      <w:r>
        <w:rPr>
          <w:rFonts w:eastAsia="Arial" w:cs="Arial"/>
          <w:color w:val="222222"/>
          <w:sz w:val="21"/>
          <w:szCs w:val="21"/>
        </w:rPr>
        <w:t>User verbrennen TitanX/DragonX (via Genesis, Epochs oder Fuel)</w:t>
      </w:r>
    </w:p>
    <w:p>
      <w:pPr>
        <w:pStyle w:val="Normal"/>
        <w:spacing w:lineRule="auto" w:line="276" w:before="0" w:after="120"/>
        <w:rPr/>
      </w:pPr>
      <w:r>
        <w:rPr>
          <w:rFonts w:eastAsia="Arial" w:cs="Arial"/>
          <w:b/>
          <w:bCs/>
          <w:color w:val="C41E3A"/>
          <w:sz w:val="21"/>
          <w:szCs w:val="21"/>
        </w:rPr>
        <w:t xml:space="preserve">Schritt 2: </w:t>
      </w:r>
      <w:r>
        <w:rPr>
          <w:rFonts w:eastAsia="Arial" w:cs="Arial"/>
          <w:color w:val="222222"/>
          <w:sz w:val="21"/>
          <w:szCs w:val="21"/>
        </w:rPr>
        <w:t>35% permanent geburnt, 35% DragonX-Vault, 22% Treasury Max-Stake (3.500 Tage), 8% akkumuliert im Genesis-Contract für LP-Erstellung</w:t>
      </w:r>
    </w:p>
    <w:p>
      <w:pPr>
        <w:pStyle w:val="Normal"/>
        <w:spacing w:lineRule="auto" w:line="276" w:before="0" w:after="120"/>
        <w:rPr/>
      </w:pPr>
      <w:r>
        <w:rPr>
          <w:rFonts w:eastAsia="Arial" w:cs="Arial"/>
          <w:b/>
          <w:bCs/>
          <w:color w:val="C41E3A"/>
          <w:sz w:val="21"/>
          <w:szCs w:val="21"/>
        </w:rPr>
        <w:t xml:space="preserve">Schritt 3: </w:t>
      </w:r>
      <w:r>
        <w:rPr>
          <w:rFonts w:eastAsia="Arial" w:cs="Arial"/>
          <w:color w:val="222222"/>
          <w:sz w:val="21"/>
          <w:szCs w:val="21"/>
        </w:rPr>
        <w:t>Gestaktes TitanX generiert ETH bei jedem Payout-Zyklus (8/28/90/369/888 Tage)</w:t>
      </w:r>
    </w:p>
    <w:p>
      <w:pPr>
        <w:pStyle w:val="Normal"/>
        <w:spacing w:lineRule="auto" w:line="276" w:before="0" w:after="120"/>
        <w:rPr/>
      </w:pPr>
      <w:r>
        <w:rPr>
          <w:rFonts w:eastAsia="Arial" w:cs="Arial"/>
          <w:b/>
          <w:bCs/>
          <w:color w:val="C41E3A"/>
          <w:sz w:val="21"/>
          <w:szCs w:val="21"/>
        </w:rPr>
        <w:t xml:space="preserve">Schritt 4: </w:t>
      </w:r>
      <w:r>
        <w:rPr>
          <w:rFonts w:eastAsia="Arial" w:cs="Arial"/>
          <w:color w:val="222222"/>
          <w:sz w:val="21"/>
          <w:szCs w:val="21"/>
        </w:rPr>
        <w:t>80% ETH an Epoch-Burner, 20% an HBURN-Staker</w:t>
      </w:r>
    </w:p>
    <w:p>
      <w:pPr>
        <w:pStyle w:val="Normal"/>
        <w:spacing w:lineRule="auto" w:line="276" w:before="0" w:after="120"/>
        <w:rPr/>
      </w:pPr>
      <w:r>
        <w:rPr>
          <w:rFonts w:eastAsia="Arial" w:cs="Arial"/>
          <w:b/>
          <w:bCs/>
          <w:color w:val="C41E3A"/>
          <w:sz w:val="21"/>
          <w:szCs w:val="21"/>
        </w:rPr>
        <w:t xml:space="preserve">Schritt 5: </w:t>
      </w:r>
      <w:r>
        <w:rPr>
          <w:rFonts w:eastAsia="Arial" w:cs="Arial"/>
          <w:color w:val="222222"/>
          <w:sz w:val="21"/>
          <w:szCs w:val="21"/>
        </w:rPr>
        <w:t>Mehr Burns → Mehr Stakes → Mehr ETH → Mehr Rewards → Mehr Burns</w:t>
      </w:r>
    </w:p>
    <w:p>
      <w:pPr>
        <w:pStyle w:val="Normal"/>
        <w:spacing w:before="0" w:after="100"/>
        <w:rPr/>
      </w:pPr>
      <w:r>
        <w:rPr/>
      </w:r>
    </w:p>
    <w:p>
      <w:pPr>
        <w:pStyle w:val="Normal"/>
        <w:spacing w:lineRule="auto" w:line="276" w:before="0" w:after="120"/>
        <w:rPr/>
      </w:pPr>
      <w:r>
        <w:rPr>
          <w:rFonts w:eastAsia="Arial" w:cs="Arial"/>
          <w:color w:val="222222"/>
          <w:sz w:val="21"/>
          <w:szCs w:val="21"/>
        </w:rPr>
        <w:t>Zusätzlich werden 3% aller während Genesis geminteten HBURN für den initialen Liquiditätspool reserviert. Das Flywheel beginnt mit eingebauter Handelsliquidität ab Tag 1 nach Genesis — kein externes Kapital nötig.</w:t>
      </w:r>
    </w:p>
    <w:p>
      <w:pPr>
        <w:pStyle w:val="Normal"/>
        <w:rPr/>
      </w:pPr>
      <w:r>
        <w:rPr/>
      </w:r>
      <w:r>
        <w:br w:type="page"/>
      </w:r>
    </w:p>
    <w:p>
      <w:pPr>
        <w:pStyle w:val="Heading1"/>
        <w:spacing w:before="0" w:after="200"/>
        <w:rPr/>
      </w:pPr>
      <w:r>
        <w:rPr>
          <w:rFonts w:eastAsia="Arial" w:cs="Arial"/>
          <w:b/>
          <w:bCs/>
          <w:color w:val="C41E3A"/>
          <w:sz w:val="32"/>
          <w:szCs w:val="32"/>
        </w:rPr>
        <w:t>5. Fair Launch Mechanismus — Trustless Liquidität</w:t>
      </w:r>
    </w:p>
    <w:p>
      <w:pPr>
        <w:pStyle w:val="Normal"/>
        <w:spacing w:lineRule="auto" w:line="276" w:before="0" w:after="120"/>
        <w:rPr/>
      </w:pPr>
      <w:r>
        <w:rPr>
          <w:rFonts w:eastAsia="Arial" w:cs="Arial"/>
          <w:b/>
          <w:bCs/>
          <w:color w:val="222222"/>
          <w:sz w:val="21"/>
          <w:szCs w:val="21"/>
        </w:rPr>
        <w:t xml:space="preserve">Das ist das definierende Feature von HellBurn v3.0. </w:t>
      </w:r>
      <w:r>
        <w:rPr>
          <w:rFonts w:eastAsia="Arial" w:cs="Arial"/>
          <w:color w:val="222222"/>
          <w:sz w:val="21"/>
          <w:szCs w:val="21"/>
        </w:rPr>
        <w:t>Anders als bei den meisten DeFi-Protokollen, wo ein Team manuell Liquiditätspools erstellt, erstellt HellBurns Smart Contract das initiale Uniswap V3 Trading-Pair automatisch. Kein Mensch berührt die LP-Tokens. Kein Admin-Key kann sie abziehen. Der gesamte Prozess ist on-chain verifizierbar, bevor du teilnimmst.</w:t>
      </w:r>
    </w:p>
    <w:p>
      <w:pPr>
        <w:pStyle w:val="Heading2"/>
        <w:spacing w:before="240" w:after="160"/>
        <w:rPr/>
      </w:pPr>
      <w:r>
        <w:rPr>
          <w:rFonts w:eastAsia="Arial" w:cs="Arial"/>
          <w:b/>
          <w:bCs/>
          <w:color w:val="1A1A2E"/>
          <w:sz w:val="26"/>
          <w:szCs w:val="26"/>
        </w:rPr>
        <w:t>5.1 Wie es funktioniert</w:t>
      </w:r>
    </w:p>
    <w:p>
      <w:pPr>
        <w:pStyle w:val="Normal"/>
        <w:spacing w:lineRule="auto" w:line="276" w:before="0" w:after="120"/>
        <w:rPr/>
      </w:pPr>
      <w:r>
        <w:rPr>
          <w:rFonts w:eastAsia="Arial" w:cs="Arial"/>
          <w:color w:val="222222"/>
          <w:sz w:val="21"/>
          <w:szCs w:val="21"/>
        </w:rPr>
        <w:t>Während der 28-tägigen Genesis-Phase akkumulieren automatisch zwei Reserven im Genesis Smart Contract:</w:t>
      </w:r>
    </w:p>
    <w:p>
      <w:pPr>
        <w:pStyle w:val="Normal"/>
        <w:spacing w:before="200" w:after="120"/>
        <w:rPr/>
      </w:pPr>
      <w:r>
        <w:rPr>
          <w:rFonts w:eastAsia="Arial" w:cs="Arial"/>
          <w:b/>
          <w:bCs/>
          <w:color w:val="222222"/>
          <w:sz w:val="22"/>
          <w:szCs w:val="22"/>
        </w:rPr>
        <w:t>Reserve 1: Die LP-HBURN-Reserve (3%)</w:t>
      </w:r>
    </w:p>
    <w:p>
      <w:pPr>
        <w:pStyle w:val="Normal"/>
        <w:spacing w:lineRule="auto" w:line="276" w:before="0" w:after="120"/>
        <w:rPr/>
      </w:pPr>
      <w:r>
        <w:rPr>
          <w:rFonts w:eastAsia="Arial" w:cs="Arial"/>
          <w:color w:val="222222"/>
          <w:sz w:val="21"/>
          <w:szCs w:val="21"/>
        </w:rPr>
        <w:t>Bei jedem TitanX-Burn werden 3% der geminteten HBURN in einer LP-Reserve zurückgehalten, die im Contract selbst liegt. Der User erhält die verbleibenden 97% (aufgeteilt in 25% sofort + 75% Vesting wie bisher). Diese 3% werden an keine Wallet gesendet — sie bleiben im Smart Contract Code gesperrt.</w:t>
      </w:r>
    </w:p>
    <w:p>
      <w:pPr>
        <w:pStyle w:val="Normal"/>
        <w:spacing w:before="200" w:after="120"/>
        <w:rPr/>
      </w:pPr>
      <w:r>
        <w:rPr>
          <w:rFonts w:eastAsia="Arial" w:cs="Arial"/>
          <w:b/>
          <w:bCs/>
          <w:color w:val="222222"/>
          <w:sz w:val="22"/>
          <w:szCs w:val="22"/>
        </w:rPr>
        <w:t>Reserve 2: Der Genesis Fund (8% TitanX)</w:t>
      </w:r>
    </w:p>
    <w:p>
      <w:pPr>
        <w:pStyle w:val="Normal"/>
        <w:spacing w:lineRule="auto" w:line="276" w:before="0" w:after="120"/>
        <w:rPr/>
      </w:pPr>
      <w:r>
        <w:rPr>
          <w:rFonts w:eastAsia="Arial" w:cs="Arial"/>
          <w:color w:val="222222"/>
          <w:sz w:val="21"/>
          <w:szCs w:val="21"/>
        </w:rPr>
        <w:t>Die bestehende 8% Genesis-Gebühr von jedem TitanX-Burn bleibt jetzt im Genesis-Contract, anstatt an eine externe Adresse gesendet zu werden. Dieses TitanX akkumuliert über die gesamte 28-tägige Genesis-Periode.</w:t>
      </w:r>
    </w:p>
    <w:p>
      <w:pPr>
        <w:pStyle w:val="Heading2"/>
        <w:spacing w:before="240" w:after="160"/>
        <w:rPr/>
      </w:pPr>
      <w:r>
        <w:rPr>
          <w:rFonts w:eastAsia="Arial" w:cs="Arial"/>
          <w:b/>
          <w:bCs/>
          <w:color w:val="1A1A2E"/>
          <w:sz w:val="26"/>
          <w:szCs w:val="26"/>
        </w:rPr>
        <w:t>5.2 Was am Ende der Genesis passiert</w:t>
      </w:r>
    </w:p>
    <w:p>
      <w:pPr>
        <w:pStyle w:val="Normal"/>
        <w:spacing w:lineRule="auto" w:line="276" w:before="0" w:after="120"/>
        <w:rPr/>
      </w:pPr>
      <w:r>
        <w:rPr>
          <w:rFonts w:eastAsia="Arial" w:cs="Arial"/>
          <w:color w:val="222222"/>
          <w:sz w:val="21"/>
          <w:szCs w:val="21"/>
        </w:rPr>
        <w:t>Wenn jemand die endGenesis()-Funktion nach 28 Tagen aufruft (das ist eine öffentliche Funktion — jeder kann sie auslösen), führt der Contract drei Schritte in einer einzigen Transaktion aus:</w:t>
      </w:r>
    </w:p>
    <w:p>
      <w:pPr>
        <w:pStyle w:val="Normal"/>
        <w:spacing w:lineRule="auto" w:line="276" w:before="0" w:after="120"/>
        <w:rPr/>
      </w:pPr>
      <w:r>
        <w:rPr>
          <w:rFonts w:eastAsia="Arial" w:cs="Arial"/>
          <w:b/>
          <w:bCs/>
          <w:color w:val="222222"/>
          <w:sz w:val="21"/>
          <w:szCs w:val="21"/>
        </w:rPr>
        <w:t xml:space="preserve">Schritt 1 — TitanX zu WETH Swap: </w:t>
      </w:r>
      <w:r>
        <w:rPr>
          <w:rFonts w:eastAsia="Arial" w:cs="Arial"/>
          <w:color w:val="222222"/>
          <w:sz w:val="21"/>
          <w:szCs w:val="21"/>
        </w:rPr>
        <w:t>Das akkumulierte TitanX aus dem Genesis Fund wird über den bestehenden TitanX/WETH Uniswap-Pool zu WETH geswappt. Ein Mindestoutput-Parameter (minWETHOut) schützt gegen Sandwich-Angriffe.</w:t>
      </w:r>
    </w:p>
    <w:p>
      <w:pPr>
        <w:pStyle w:val="Normal"/>
        <w:spacing w:lineRule="auto" w:line="276" w:before="0" w:after="120"/>
        <w:rPr/>
      </w:pPr>
      <w:r>
        <w:rPr>
          <w:rFonts w:eastAsia="Arial" w:cs="Arial"/>
          <w:b/>
          <w:bCs/>
          <w:color w:val="222222"/>
          <w:sz w:val="21"/>
          <w:szCs w:val="21"/>
        </w:rPr>
        <w:t xml:space="preserve">Schritt 2 — Pool-Erstellung: </w:t>
      </w:r>
      <w:r>
        <w:rPr>
          <w:rFonts w:eastAsia="Arial" w:cs="Arial"/>
          <w:color w:val="222222"/>
          <w:sz w:val="21"/>
          <w:szCs w:val="21"/>
        </w:rPr>
        <w:t>Der Contract erstellt einen neuen HBURN/WETH Uniswap V3 Pool und initialisiert ihn zum korrekten Startpreis. Der Preis wird automatisch berechnet: erhaltenes WETH ÷ HBURN in LP-Reserve.</w:t>
      </w:r>
    </w:p>
    <w:p>
      <w:pPr>
        <w:pStyle w:val="Normal"/>
        <w:spacing w:lineRule="auto" w:line="276" w:before="0" w:after="120"/>
        <w:rPr/>
      </w:pPr>
      <w:r>
        <w:rPr>
          <w:rFonts w:eastAsia="Arial" w:cs="Arial"/>
          <w:b/>
          <w:bCs/>
          <w:color w:val="222222"/>
          <w:sz w:val="21"/>
          <w:szCs w:val="21"/>
        </w:rPr>
        <w:t xml:space="preserve">Schritt 3 — Permanente LP-Position: </w:t>
      </w:r>
      <w:r>
        <w:rPr>
          <w:rFonts w:eastAsia="Arial" w:cs="Arial"/>
          <w:color w:val="222222"/>
          <w:sz w:val="21"/>
          <w:szCs w:val="21"/>
        </w:rPr>
        <w:t>Der Contract mintet eine Full-Range Uniswap V3 LP-Position mit den WETH- und HBURN-Reserven. Das LP-NFT wird permanent vom Contract gehalten. Es gibt keine Funktion zum Transferieren, Abziehen oder Modifizieren dieser Position. Sie ist für immer gesperrt.</w:t>
      </w:r>
    </w:p>
    <w:p>
      <w:pPr>
        <w:pStyle w:val="Heading2"/>
        <w:spacing w:before="240" w:after="160"/>
        <w:rPr/>
      </w:pPr>
      <w:r>
        <w:rPr>
          <w:rFonts w:eastAsia="Arial" w:cs="Arial"/>
          <w:b/>
          <w:bCs/>
          <w:color w:val="1A1A2E"/>
          <w:sz w:val="26"/>
          <w:szCs w:val="26"/>
        </w:rPr>
        <w:t>5.3 Warum das wichtig ist</w:t>
      </w:r>
    </w:p>
    <w:tbl>
      <w:tblPr>
        <w:tblW w:w="9360" w:type="dxa"/>
        <w:jc w:val="start"/>
        <w:tblInd w:w="0" w:type="dxa"/>
        <w:tblLayout w:type="fixed"/>
        <w:tblCellMar>
          <w:top w:w="80" w:type="dxa"/>
          <w:start w:w="120" w:type="dxa"/>
          <w:bottom w:w="80" w:type="dxa"/>
          <w:end w:w="120" w:type="dxa"/>
        </w:tblCellMar>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Vorteil</w:t>
            </w:r>
          </w:p>
        </w:tc>
        <w:tc>
          <w:tcPr>
            <w:tcW w:w="656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Beschreibung</w:t>
            </w:r>
          </w:p>
        </w:tc>
      </w:tr>
      <w:tr>
        <w:trPr/>
        <w:tc>
          <w:tcPr>
            <w:tcW w:w="27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Kein Insider-Vorteil</w:t>
            </w:r>
          </w:p>
        </w:tc>
        <w:tc>
          <w:tcPr>
            <w:tcW w:w="65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Der Gründer nimmt an Genesis als normaler User teil. Die LP-Tokens kommen vom Contract, nicht von einer Person.</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Selbstskalierende Liquidität</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Mehr Genesis-Teilnahme = mehr TitanX im Fund = mehr WETH = tiefere Liquidität. Die Pool-Tiefe skaliert automatisch mit der Nachfrage.</w:t>
            </w:r>
          </w:p>
        </w:tc>
      </w:tr>
      <w:tr>
        <w:trPr/>
        <w:tc>
          <w:tcPr>
            <w:tcW w:w="27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Verifizierbar vor Teilnahme</w:t>
            </w:r>
          </w:p>
        </w:tc>
        <w:tc>
          <w:tcPr>
            <w:tcW w:w="65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Der Contract-Code ist auf Etherscan verifiziert. Jeder kann die LP-Erstellungslogik lesen, bevor ein einziges TitanX geburnt wird.</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Permanente Sperre</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Das LP-NFT hat keine Withdraw-Funktion. Kein Rug Pull möglich. Die Liquidität ist durch Code gesperrt, nicht durch Vertrauen.</w:t>
            </w:r>
          </w:p>
        </w:tc>
      </w:tr>
      <w:tr>
        <w:trPr/>
        <w:tc>
          <w:tcPr>
            <w:tcW w:w="27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LP-Gebühren nutzen dem Protokoll</w:t>
            </w:r>
          </w:p>
        </w:tc>
        <w:tc>
          <w:tcPr>
            <w:tcW w:w="65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Trading-Gebühren aus der LP-Position können von jedem eingesammelt werden: HBURN-Gebühren werden verbrannt, WETH-Gebühren gehen an den BuyAndBurn-Contract.</w:t>
            </w:r>
          </w:p>
        </w:tc>
      </w:tr>
    </w:tbl>
    <w:p>
      <w:pPr>
        <w:pStyle w:val="Heading2"/>
        <w:spacing w:before="240" w:after="160"/>
        <w:rPr/>
      </w:pPr>
      <w:r>
        <w:rPr>
          <w:rFonts w:eastAsia="Arial" w:cs="Arial"/>
          <w:b/>
          <w:bCs/>
          <w:color w:val="1A1A2E"/>
          <w:sz w:val="26"/>
          <w:szCs w:val="26"/>
        </w:rPr>
        <w:t>5.4 Zahlenbeispiel</w:t>
      </w:r>
    </w:p>
    <w:p>
      <w:pPr>
        <w:pStyle w:val="Normal"/>
        <w:spacing w:lineRule="auto" w:line="276" w:before="0" w:after="120"/>
        <w:rPr/>
      </w:pPr>
      <w:r>
        <w:rPr>
          <w:rFonts w:eastAsia="Arial" w:cs="Arial"/>
          <w:color w:val="222222"/>
          <w:sz w:val="21"/>
          <w:szCs w:val="21"/>
        </w:rPr>
        <w:t>Angenommen, 100 Milliarden TitanX werden während der gesamten Genesis-Phase verbrannt:</w:t>
      </w:r>
    </w:p>
    <w:p>
      <w:pPr>
        <w:pStyle w:val="Normal"/>
        <w:spacing w:lineRule="auto" w:line="276" w:before="0" w:after="120"/>
        <w:rPr/>
      </w:pPr>
      <w:r>
        <w:rPr>
          <w:rFonts w:eastAsia="Arial" w:cs="Arial"/>
          <w:b/>
          <w:bCs/>
          <w:color w:val="222222"/>
          <w:sz w:val="21"/>
          <w:szCs w:val="21"/>
        </w:rPr>
        <w:t xml:space="preserve">Genesis Fund: </w:t>
      </w:r>
      <w:r>
        <w:rPr>
          <w:rFonts w:eastAsia="Arial" w:cs="Arial"/>
          <w:color w:val="222222"/>
          <w:sz w:val="21"/>
          <w:szCs w:val="21"/>
        </w:rPr>
        <w:t>8% von 100B TitanX = 8B TitanX. Bei einem TitanX-Preis von $0,00000007 entspricht das etwa $560 → geswappt zu ~0,28 ETH.</w:t>
      </w:r>
    </w:p>
    <w:p>
      <w:pPr>
        <w:pStyle w:val="Normal"/>
        <w:spacing w:lineRule="auto" w:line="276" w:before="0" w:after="120"/>
        <w:rPr/>
      </w:pPr>
      <w:r>
        <w:rPr>
          <w:rFonts w:eastAsia="Arial" w:cs="Arial"/>
          <w:b/>
          <w:bCs/>
          <w:color w:val="222222"/>
          <w:sz w:val="21"/>
          <w:szCs w:val="21"/>
        </w:rPr>
        <w:t xml:space="preserve">LP-HBURN-Reserve: </w:t>
      </w:r>
      <w:r>
        <w:rPr>
          <w:rFonts w:eastAsia="Arial" w:cs="Arial"/>
          <w:color w:val="222222"/>
          <w:sz w:val="21"/>
          <w:szCs w:val="21"/>
        </w:rPr>
        <w:t>Gesamte gemintete HBURN ≈ 104B. 3% von 104B = ~3,12B HBURN reserviert für die LP.</w:t>
      </w:r>
    </w:p>
    <w:p>
      <w:pPr>
        <w:pStyle w:val="Normal"/>
        <w:spacing w:lineRule="auto" w:line="276" w:before="0" w:after="120"/>
        <w:rPr/>
      </w:pPr>
      <w:r>
        <w:rPr>
          <w:rFonts w:eastAsia="Arial" w:cs="Arial"/>
          <w:b/>
          <w:bCs/>
          <w:color w:val="222222"/>
          <w:sz w:val="21"/>
          <w:szCs w:val="21"/>
        </w:rPr>
        <w:t xml:space="preserve">Resultierender Pool: </w:t>
      </w:r>
      <w:r>
        <w:rPr>
          <w:rFonts w:eastAsia="Arial" w:cs="Arial"/>
          <w:color w:val="222222"/>
          <w:sz w:val="21"/>
          <w:szCs w:val="21"/>
        </w:rPr>
        <w:t>~0,28 ETH + ~3,12B HBURN = initialer Trading-Pool mit ca. $560 Gesamtliquidität.</w:t>
      </w:r>
    </w:p>
    <w:p>
      <w:pPr>
        <w:pStyle w:val="Normal"/>
        <w:spacing w:before="0" w:after="100"/>
        <w:rPr/>
      </w:pPr>
      <w:r>
        <w:rPr/>
      </w:r>
    </w:p>
    <w:p>
      <w:pPr>
        <w:pStyle w:val="Normal"/>
        <w:spacing w:lineRule="auto" w:line="276" w:before="0" w:after="120"/>
        <w:rPr/>
      </w:pPr>
      <w:r>
        <w:rPr>
          <w:rFonts w:eastAsia="Arial" w:cs="Arial"/>
          <w:color w:val="222222"/>
          <w:sz w:val="21"/>
          <w:szCs w:val="21"/>
        </w:rPr>
        <w:t>Das mag klein erscheinen, folgt aber dem gleichen Muster, das TitanX erfolgreich gemacht hat: TitanX selbst startete mit nur 8 ETH initialer Liquidität und wuchs durch seinen BuyAndBurn-Mechanismus zu einem Multi-Millionen-Dollar-Protokoll. Die Erkenntnis: Initiale Pool-Größe ist weniger wichtig als der laufende Kaufdruck durch das deflationäre Flywheel.</w:t>
      </w:r>
    </w:p>
    <w:p>
      <w:pPr>
        <w:pStyle w:val="Heading2"/>
        <w:spacing w:before="240" w:after="160"/>
        <w:rPr/>
      </w:pPr>
      <w:r>
        <w:rPr>
          <w:rFonts w:eastAsia="Arial" w:cs="Arial"/>
          <w:b/>
          <w:bCs/>
          <w:color w:val="1A1A2E"/>
          <w:sz w:val="26"/>
          <w:szCs w:val="26"/>
        </w:rPr>
        <w:t>5.5 Post-Genesis Liquiditäts-Boost</w:t>
      </w:r>
    </w:p>
    <w:p>
      <w:pPr>
        <w:pStyle w:val="Normal"/>
        <w:spacing w:lineRule="auto" w:line="276" w:before="0" w:after="120"/>
        <w:rPr/>
      </w:pPr>
      <w:r>
        <w:rPr>
          <w:rFonts w:eastAsia="Arial" w:cs="Arial"/>
          <w:color w:val="222222"/>
          <w:sz w:val="21"/>
          <w:szCs w:val="21"/>
        </w:rPr>
        <w:t>Nach der Contract-LP-Erstellung kann jeder (einschließlich des Gründers) zusätzliche Liquidität zum selben Uniswap V3 Pool als separate Position hinzufügen. Das ist vollständig transparent auf Etherscan. Der Gründer plant, persönliches ETH als zusätzliche Liquidität hinzuzufügen, sichtbar als separate LP-Position.</w:t>
      </w:r>
    </w:p>
    <w:p>
      <w:pPr>
        <w:pStyle w:val="Normal"/>
        <w:rPr/>
      </w:pPr>
      <w:r>
        <w:rPr/>
      </w:r>
      <w:r>
        <w:br w:type="page"/>
      </w:r>
    </w:p>
    <w:p>
      <w:pPr>
        <w:pStyle w:val="Heading1"/>
        <w:spacing w:before="0" w:after="200"/>
        <w:rPr/>
      </w:pPr>
      <w:r>
        <w:rPr>
          <w:rFonts w:eastAsia="Arial" w:cs="Arial"/>
          <w:b/>
          <w:bCs/>
          <w:color w:val="C41E3A"/>
          <w:sz w:val="32"/>
          <w:szCs w:val="32"/>
        </w:rPr>
        <w:t>6. Genesis-Phase — Dein Einstiegspunkt</w:t>
      </w:r>
    </w:p>
    <w:p>
      <w:pPr>
        <w:pStyle w:val="Normal"/>
        <w:spacing w:lineRule="auto" w:line="276" w:before="0" w:after="120"/>
        <w:rPr/>
      </w:pPr>
      <w:r>
        <w:rPr>
          <w:rFonts w:eastAsia="Arial" w:cs="Arial"/>
          <w:color w:val="222222"/>
          <w:sz w:val="21"/>
          <w:szCs w:val="21"/>
        </w:rPr>
        <w:t>Die Genesis Burn Phase (28 Tage) ist die einzige Möglichkeit, HBURN zu minten. User burnen TitanX und erhalten HBURN zu einer abnehmenden Rate, die frühe Teilnehmer belohnt. Hinweis: 3% der geminteten HBURN gehen in die LP-Reserve (siehe Kapitel 5). User erhalten die verbleibenden 97%.</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000"/>
        <w:gridCol w:w="1498"/>
        <w:gridCol w:w="1502"/>
        <w:gridCol w:w="1800"/>
        <w:gridCol w:w="2560"/>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Woche</w:t>
            </w:r>
          </w:p>
        </w:tc>
        <w:tc>
          <w:tcPr>
            <w:tcW w:w="14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Basis-Ratio</w:t>
            </w:r>
          </w:p>
        </w:tc>
        <w:tc>
          <w:tcPr>
            <w:tcW w:w="150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Frühbonus</w:t>
            </w:r>
          </w:p>
        </w:tc>
        <w:tc>
          <w:tcPr>
            <w:tcW w:w="18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Effektive Rate</w:t>
            </w:r>
          </w:p>
        </w:tc>
        <w:tc>
          <w:tcPr>
            <w:tcW w:w="25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User erhält (97%)</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Woche 1 (Tag 1-7)</w:t>
            </w:r>
          </w:p>
        </w:tc>
        <w:tc>
          <w:tcPr>
            <w:tcW w:w="1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1:1,00</w:t>
            </w:r>
          </w:p>
        </w:tc>
        <w:tc>
          <w:tcPr>
            <w:tcW w:w="150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+15%</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1:1,15</w:t>
            </w:r>
          </w:p>
        </w:tc>
        <w:tc>
          <w:tcPr>
            <w:tcW w:w="2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1:1,1155</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Woche 2 (Tag 8-14)</w:t>
            </w:r>
          </w:p>
        </w:tc>
        <w:tc>
          <w:tcPr>
            <w:tcW w:w="1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1:0,95</w:t>
            </w:r>
          </w:p>
        </w:tc>
        <w:tc>
          <w:tcPr>
            <w:tcW w:w="15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1:1,045</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1:1,0137</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Woche 3 (Tag 15-21)</w:t>
            </w:r>
          </w:p>
        </w:tc>
        <w:tc>
          <w:tcPr>
            <w:tcW w:w="1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1:0,90</w:t>
            </w:r>
          </w:p>
        </w:tc>
        <w:tc>
          <w:tcPr>
            <w:tcW w:w="150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+5%</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1:0,945</w:t>
            </w:r>
          </w:p>
        </w:tc>
        <w:tc>
          <w:tcPr>
            <w:tcW w:w="2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1:0,9167</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Woche 4 (Tag 22-28)</w:t>
            </w:r>
          </w:p>
        </w:tc>
        <w:tc>
          <w:tcPr>
            <w:tcW w:w="1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1:0,85</w:t>
            </w:r>
          </w:p>
        </w:tc>
        <w:tc>
          <w:tcPr>
            <w:tcW w:w="15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Keiner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1:0,85</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1:0,8245</w:t>
            </w:r>
          </w:p>
        </w:tc>
      </w:tr>
    </w:tbl>
    <w:p>
      <w:pPr>
        <w:pStyle w:val="Heading2"/>
        <w:spacing w:before="240" w:after="160"/>
        <w:rPr/>
      </w:pPr>
      <w:r>
        <w:rPr>
          <w:rFonts w:eastAsia="Arial" w:cs="Arial"/>
          <w:b/>
          <w:bCs/>
          <w:color w:val="1A1A2E"/>
          <w:sz w:val="26"/>
          <w:szCs w:val="26"/>
        </w:rPr>
        <w:t>Praxisbeispiel: Alice burned 5B TitanX in Woche 1</w:t>
      </w:r>
    </w:p>
    <w:p>
      <w:pPr>
        <w:pStyle w:val="Normal"/>
        <w:spacing w:lineRule="auto" w:line="276" w:before="0" w:after="120"/>
        <w:rPr/>
      </w:pPr>
      <w:r>
        <w:rPr>
          <w:rFonts w:eastAsia="Arial" w:cs="Arial"/>
          <w:color w:val="222222"/>
          <w:sz w:val="21"/>
          <w:szCs w:val="21"/>
        </w:rPr>
        <w:t>Alice nimmt am Tag 3 (Woche 1) mit 5.000.000.000 TitanX teil.</w:t>
      </w:r>
    </w:p>
    <w:p>
      <w:pPr>
        <w:pStyle w:val="Normal"/>
        <w:spacing w:before="200" w:after="120"/>
        <w:rPr/>
      </w:pPr>
      <w:r>
        <w:rPr>
          <w:rFonts w:eastAsia="Arial" w:cs="Arial"/>
          <w:b/>
          <w:bCs/>
          <w:color w:val="222222"/>
          <w:sz w:val="22"/>
          <w:szCs w:val="22"/>
        </w:rPr>
        <w:t>Berechnung:</w:t>
      </w:r>
    </w:p>
    <w:p>
      <w:pPr>
        <w:pStyle w:val="Normal"/>
        <w:spacing w:lineRule="auto" w:line="276" w:before="0" w:after="120"/>
        <w:rPr/>
      </w:pPr>
      <w:r>
        <w:rPr>
          <w:rFonts w:eastAsia="Arial" w:cs="Arial"/>
          <w:color w:val="222222"/>
          <w:sz w:val="21"/>
          <w:szCs w:val="21"/>
        </w:rPr>
        <w:t>Effektive Rate: 1,15 HBURN pro TitanX</w:t>
      </w:r>
    </w:p>
    <w:p>
      <w:pPr>
        <w:pStyle w:val="Normal"/>
        <w:spacing w:lineRule="auto" w:line="276" w:before="0" w:after="120"/>
        <w:rPr/>
      </w:pPr>
      <w:r>
        <w:rPr>
          <w:rFonts w:eastAsia="Arial" w:cs="Arial"/>
          <w:color w:val="222222"/>
          <w:sz w:val="21"/>
          <w:szCs w:val="21"/>
        </w:rPr>
        <w:t>HBURN gesamt: 5.000.000.000 × 1,15 = 5.750.000.000 HBURN</w:t>
      </w:r>
    </w:p>
    <w:p>
      <w:pPr>
        <w:pStyle w:val="Normal"/>
        <w:spacing w:lineRule="auto" w:line="276" w:before="0" w:after="120"/>
        <w:rPr/>
      </w:pPr>
      <w:r>
        <w:rPr>
          <w:rFonts w:eastAsia="Arial" w:cs="Arial"/>
          <w:color w:val="222222"/>
          <w:sz w:val="21"/>
          <w:szCs w:val="21"/>
        </w:rPr>
        <w:t>LP-Reserve (3%): 172.500.000 HBURN → geht in Contract-LP-Reserve</w:t>
      </w:r>
    </w:p>
    <w:p>
      <w:pPr>
        <w:pStyle w:val="Normal"/>
        <w:spacing w:lineRule="auto" w:line="276" w:before="0" w:after="120"/>
        <w:rPr/>
      </w:pPr>
      <w:r>
        <w:rPr>
          <w:rFonts w:eastAsia="Arial" w:cs="Arial"/>
          <w:color w:val="222222"/>
          <w:sz w:val="21"/>
          <w:szCs w:val="21"/>
        </w:rPr>
        <w:t>Alice erhält (97%): 5.577.500.000 HBURN, aufgeteilt in:</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Sofort verfügbar (25%): 1.394.375.000 HBURN</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Vesting über 28 Tage (75%): 4.183.125.000 HBURN (~149.397.321/Tag)</w:t>
      </w:r>
    </w:p>
    <w:p>
      <w:pPr>
        <w:pStyle w:val="Normal"/>
        <w:spacing w:before="200" w:after="120"/>
        <w:rPr/>
      </w:pPr>
      <w:r>
        <w:rPr>
          <w:rFonts w:eastAsia="Arial" w:cs="Arial"/>
          <w:b/>
          <w:bCs/>
          <w:color w:val="222222"/>
          <w:sz w:val="22"/>
          <w:szCs w:val="22"/>
        </w:rPr>
        <w:t>Ihre 5B TitanX werden verteilt:</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1.750.000.000 permanent geburnt (35%)</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1.750.000.000 an DragonX-Vault (35%)</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1.100.000.000 max-gestaked im Treasury für 3.500 Tage (22%)</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400.000.000 im Genesis-Contract LP-Fund (8%) — für Fair Launch LP</w:t>
      </w:r>
    </w:p>
    <w:p>
      <w:pPr>
        <w:pStyle w:val="Normal"/>
        <w:rPr/>
      </w:pPr>
      <w:r>
        <w:rPr/>
      </w:r>
      <w:r>
        <w:br w:type="page"/>
      </w:r>
    </w:p>
    <w:p>
      <w:pPr>
        <w:pStyle w:val="Heading1"/>
        <w:spacing w:before="0" w:after="200"/>
        <w:rPr/>
      </w:pPr>
      <w:r>
        <w:rPr>
          <w:rFonts w:eastAsia="Arial" w:cs="Arial"/>
          <w:b/>
          <w:bCs/>
          <w:color w:val="C41E3A"/>
          <w:sz w:val="32"/>
          <w:szCs w:val="32"/>
        </w:rPr>
        <w:t>7. Burn Epochs — Wettbewerb um ETH</w:t>
      </w:r>
    </w:p>
    <w:p>
      <w:pPr>
        <w:pStyle w:val="Normal"/>
        <w:spacing w:lineRule="auto" w:line="276" w:before="0" w:after="120"/>
        <w:rPr/>
      </w:pPr>
      <w:r>
        <w:rPr>
          <w:rFonts w:eastAsia="Arial" w:cs="Arial"/>
          <w:color w:val="222222"/>
          <w:sz w:val="21"/>
          <w:szCs w:val="21"/>
        </w:rPr>
        <w:t>Nach Genesis und automatischer LP-Erstellung beginnt die kompetitive Phase. Alle 8 Tage eine neue Epoch. User burnen TitanX (1x) oder DragonX (2x Gewichtung). ETH wird proportional verteilt.</w:t>
      </w:r>
    </w:p>
    <w:p>
      <w:pPr>
        <w:pStyle w:val="Heading2"/>
        <w:spacing w:before="240" w:after="160"/>
        <w:rPr/>
      </w:pPr>
      <w:r>
        <w:rPr>
          <w:rFonts w:eastAsia="Arial" w:cs="Arial"/>
          <w:b/>
          <w:bCs/>
          <w:color w:val="1A1A2E"/>
          <w:sz w:val="26"/>
          <w:szCs w:val="26"/>
        </w:rPr>
        <w:t>Praxisbeispiel: Bob in Epoch 5</w:t>
      </w:r>
    </w:p>
    <w:p>
      <w:pPr>
        <w:pStyle w:val="Normal"/>
        <w:spacing w:lineRule="auto" w:line="276" w:before="0" w:after="120"/>
        <w:rPr/>
      </w:pPr>
      <w:r>
        <w:rPr>
          <w:rFonts w:eastAsia="Arial" w:cs="Arial"/>
          <w:color w:val="222222"/>
          <w:sz w:val="21"/>
          <w:szCs w:val="21"/>
        </w:rPr>
        <w:t>Der Epoch-Pool enthält 10 ETH. Bob hat seit Epoch 1 teilgenommen (5er-Streak = 2.0x). Er burned 100.000 DragonX.</w:t>
      </w:r>
    </w:p>
    <w:p>
      <w:pPr>
        <w:pStyle w:val="Normal"/>
        <w:spacing w:lineRule="auto" w:line="276" w:before="0" w:after="120"/>
        <w:rPr/>
      </w:pPr>
      <w:r>
        <w:rPr>
          <w:rFonts w:eastAsia="Arial" w:cs="Arial"/>
          <w:color w:val="222222"/>
          <w:sz w:val="21"/>
          <w:szCs w:val="21"/>
        </w:rPr>
        <w:t>Gewichteter Burn: 100.000 × 2 × 2,0 = 400.000 gewichtete Einheiten</w:t>
      </w:r>
    </w:p>
    <w:p>
      <w:pPr>
        <w:pStyle w:val="Normal"/>
        <w:spacing w:lineRule="auto" w:line="276" w:before="0" w:after="120"/>
        <w:rPr/>
      </w:pPr>
      <w:r>
        <w:rPr>
          <w:rFonts w:eastAsia="Arial" w:cs="Arial"/>
          <w:color w:val="222222"/>
          <w:sz w:val="21"/>
          <w:szCs w:val="21"/>
        </w:rPr>
        <w:t>Bei 2.000.000 gesamten gewichteten Burns: Bobs Anteil = 20%. Er erhält 20% des 80% Burner-Pools = 1,6 ETH.</w:t>
      </w:r>
    </w:p>
    <w:p>
      <w:pPr>
        <w:pStyle w:val="Normal"/>
        <w:spacing w:lineRule="auto" w:line="276" w:before="0" w:after="120"/>
        <w:rPr/>
      </w:pPr>
      <w:r>
        <w:rPr>
          <w:rFonts w:eastAsia="Arial" w:cs="Arial"/>
          <w:b/>
          <w:bCs/>
          <w:color w:val="222222"/>
          <w:sz w:val="21"/>
          <w:szCs w:val="21"/>
        </w:rPr>
        <w:t xml:space="preserve">Ohne Streak: </w:t>
      </w:r>
      <w:r>
        <w:rPr>
          <w:rFonts w:eastAsia="Arial" w:cs="Arial"/>
          <w:color w:val="222222"/>
          <w:sz w:val="21"/>
          <w:szCs w:val="21"/>
        </w:rPr>
        <w:t>Nur 200.000 gewichtet → halber Anteil → nur 0,8 ETH. Der Streak verdoppelt seine Rewards.</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500"/>
        <w:gridCol w:w="2000"/>
        <w:gridCol w:w="1998"/>
        <w:gridCol w:w="2862"/>
      </w:tblGrid>
      <w:tr>
        <w:trPr/>
        <w:tc>
          <w:tcPr>
            <w:tcW w:w="2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Konsekutive Epochs</w:t>
            </w:r>
          </w:p>
        </w:tc>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Multiplier</w:t>
            </w:r>
          </w:p>
        </w:tc>
        <w:tc>
          <w:tcPr>
            <w:tcW w:w="19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Zeitraum</w:t>
            </w:r>
          </w:p>
        </w:tc>
        <w:tc>
          <w:tcPr>
            <w:tcW w:w="286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Vorteil vs. 1.0x</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1</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1.0x</w:t>
            </w:r>
          </w:p>
        </w:tc>
        <w:tc>
          <w:tcPr>
            <w:tcW w:w="1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8 Tage</w:t>
            </w:r>
          </w:p>
        </w:tc>
        <w:tc>
          <w:tcPr>
            <w:tcW w:w="2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Basis</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3</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1.4x</w:t>
            </w:r>
          </w:p>
        </w:tc>
        <w:tc>
          <w:tcPr>
            <w:tcW w:w="1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24 Tage</w:t>
            </w:r>
          </w:p>
        </w:tc>
        <w:tc>
          <w:tcPr>
            <w:tcW w:w="2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+40%</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5</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1.8x</w:t>
            </w:r>
          </w:p>
        </w:tc>
        <w:tc>
          <w:tcPr>
            <w:tcW w:w="1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40 Tage</w:t>
            </w:r>
          </w:p>
        </w:tc>
        <w:tc>
          <w:tcPr>
            <w:tcW w:w="2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+80%</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8</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2.4x</w:t>
            </w:r>
          </w:p>
        </w:tc>
        <w:tc>
          <w:tcPr>
            <w:tcW w:w="1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64 Tage</w:t>
            </w:r>
          </w:p>
        </w:tc>
        <w:tc>
          <w:tcPr>
            <w:tcW w:w="2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+140%</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11+</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3.0x (MAX)</w:t>
            </w:r>
          </w:p>
        </w:tc>
        <w:tc>
          <w:tcPr>
            <w:tcW w:w="19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88+ Tage</w:t>
            </w:r>
          </w:p>
        </w:tc>
        <w:tc>
          <w:tcPr>
            <w:tcW w:w="2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+200%</w:t>
            </w:r>
          </w:p>
        </w:tc>
      </w:tr>
    </w:tbl>
    <w:p>
      <w:pPr>
        <w:pStyle w:val="Normal"/>
        <w:rPr/>
      </w:pPr>
      <w:r>
        <w:rPr/>
      </w:r>
      <w:r>
        <w:br w:type="page"/>
      </w:r>
    </w:p>
    <w:p>
      <w:pPr>
        <w:pStyle w:val="Heading1"/>
        <w:spacing w:before="0" w:after="200"/>
        <w:rPr/>
      </w:pPr>
      <w:r>
        <w:rPr>
          <w:rFonts w:eastAsia="Arial" w:cs="Arial"/>
          <w:b/>
          <w:bCs/>
          <w:color w:val="C41E3A"/>
          <w:sz w:val="32"/>
          <w:szCs w:val="32"/>
        </w:rPr>
        <w:t>8. Staking &amp; Real Yield</w:t>
      </w:r>
    </w:p>
    <w:p>
      <w:pPr>
        <w:pStyle w:val="Normal"/>
        <w:spacing w:lineRule="auto" w:line="276" w:before="0" w:after="120"/>
        <w:rPr/>
      </w:pPr>
      <w:r>
        <w:rPr>
          <w:rFonts w:eastAsia="Arial" w:cs="Arial"/>
          <w:color w:val="222222"/>
          <w:sz w:val="21"/>
          <w:szCs w:val="21"/>
        </w:rPr>
        <w:t>HBURN-Staking bietet realen ETH-Ertrag — kein inflationäres Token-Drucken, sondern echte ETH aus TitanX-Payouts.</w:t>
      </w:r>
    </w:p>
    <w:p>
      <w:pPr>
        <w:pStyle w:val="Normal"/>
        <w:spacing w:lineRule="auto" w:line="276" w:before="0" w:after="120"/>
        <w:rPr/>
      </w:pPr>
      <w:r>
        <w:rPr>
          <w:rFonts w:eastAsia="Arial" w:cs="Arial"/>
          <w:b/>
          <w:bCs/>
          <w:color w:val="222222"/>
          <w:sz w:val="21"/>
          <w:szCs w:val="21"/>
        </w:rPr>
        <w:t xml:space="preserve">Shares = </w:t>
      </w:r>
      <w:r>
        <w:rPr>
          <w:rFonts w:eastAsia="Arial" w:cs="Arial"/>
          <w:color w:val="222222"/>
          <w:sz w:val="21"/>
          <w:szCs w:val="21"/>
        </w:rPr>
        <w:t>Menge × Time Bonus × Fuel Bonus × Loyalty Bonus</w:t>
      </w:r>
    </w:p>
    <w:p>
      <w:pPr>
        <w:pStyle w:val="Heading2"/>
        <w:spacing w:before="240" w:after="160"/>
        <w:rPr/>
      </w:pPr>
      <w:r>
        <w:rPr>
          <w:rFonts w:eastAsia="Arial" w:cs="Arial"/>
          <w:b/>
          <w:bCs/>
          <w:color w:val="1A1A2E"/>
          <w:sz w:val="26"/>
          <w:szCs w:val="26"/>
        </w:rPr>
        <w:t>Praxisbeispiel: Carol staked auf Gold</w:t>
      </w:r>
    </w:p>
    <w:p>
      <w:pPr>
        <w:pStyle w:val="Normal"/>
        <w:spacing w:lineRule="auto" w:line="276" w:before="0" w:after="120"/>
        <w:rPr/>
      </w:pPr>
      <w:r>
        <w:rPr>
          <w:rFonts w:eastAsia="Arial" w:cs="Arial"/>
          <w:color w:val="222222"/>
          <w:sz w:val="21"/>
          <w:szCs w:val="21"/>
        </w:rPr>
        <w:t>Carol hat 500.000 HBURN, staked 369 Tage (Gold), fügt 200.000 TitanX Fuel hinzu, und hat 1 Restake (1.1x Loyalty).</w:t>
      </w:r>
    </w:p>
    <w:p>
      <w:pPr>
        <w:pStyle w:val="Normal"/>
        <w:spacing w:lineRule="auto" w:line="276" w:before="0" w:after="120"/>
        <w:rPr/>
      </w:pPr>
      <w:r>
        <w:rPr>
          <w:rFonts w:eastAsia="Arial" w:cs="Arial"/>
          <w:color w:val="222222"/>
          <w:sz w:val="21"/>
          <w:szCs w:val="21"/>
        </w:rPr>
        <w:t>500.000 × 1,8 × 1,25 × 1,1 = 1.237.500 Shares</w:t>
      </w:r>
    </w:p>
    <w:p>
      <w:pPr>
        <w:pStyle w:val="Normal"/>
        <w:spacing w:lineRule="auto" w:line="276" w:before="0" w:after="120"/>
        <w:rPr/>
      </w:pPr>
      <w:r>
        <w:rPr>
          <w:rFonts w:eastAsia="Arial" w:cs="Arial"/>
          <w:b/>
          <w:bCs/>
          <w:color w:val="222222"/>
          <w:sz w:val="21"/>
          <w:szCs w:val="21"/>
        </w:rPr>
        <w:t xml:space="preserve">Ohne Optimierung: </w:t>
      </w:r>
      <w:r>
        <w:rPr>
          <w:rFonts w:eastAsia="Arial" w:cs="Arial"/>
          <w:color w:val="222222"/>
          <w:sz w:val="21"/>
          <w:szCs w:val="21"/>
        </w:rPr>
        <w:t>Bronze (28d) ohne Fuel/Loyalty = nur 500.000 Shares. Carols Strategie gibt 2,475x mehr ETH-Rewards.</w:t>
      </w:r>
    </w:p>
    <w:p>
      <w:pPr>
        <w:pStyle w:val="Heading2"/>
        <w:spacing w:before="240" w:after="160"/>
        <w:rPr/>
      </w:pPr>
      <w:r>
        <w:rPr>
          <w:rFonts w:eastAsia="Arial" w:cs="Arial"/>
          <w:b/>
          <w:bCs/>
          <w:color w:val="1A1A2E"/>
          <w:sz w:val="26"/>
          <w:szCs w:val="26"/>
        </w:rPr>
        <w:t>Penalty-System</w:t>
      </w:r>
    </w:p>
    <w:tbl>
      <w:tblPr>
        <w:tblW w:w="9360" w:type="dxa"/>
        <w:jc w:val="start"/>
        <w:tblInd w:w="0" w:type="dxa"/>
        <w:tblLayout w:type="fixed"/>
        <w:tblCellMar>
          <w:top w:w="80" w:type="dxa"/>
          <w:start w:w="120" w:type="dxa"/>
          <w:bottom w:w="80" w:type="dxa"/>
          <w:end w:w="120" w:type="dxa"/>
        </w:tblCellMar>
      </w:tblPr>
      <w:tblGrid>
        <w:gridCol w:w="1500"/>
        <w:gridCol w:w="2200"/>
        <w:gridCol w:w="2198"/>
        <w:gridCol w:w="3462"/>
      </w:tblGrid>
      <w:tr>
        <w:trPr/>
        <w:tc>
          <w:tcPr>
            <w:tcW w:w="1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Maturity</w:t>
            </w:r>
          </w:p>
        </w:tc>
        <w:tc>
          <w:tcPr>
            <w:tcW w:w="22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Status</w:t>
            </w:r>
          </w:p>
        </w:tc>
        <w:tc>
          <w:tcPr>
            <w:tcW w:w="21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Penalty</w:t>
            </w:r>
          </w:p>
        </w:tc>
        <w:tc>
          <w:tcPr>
            <w:tcW w:w="346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Was passiert</w:t>
            </w:r>
          </w:p>
        </w:tc>
      </w:tr>
      <w:tr>
        <w:trPr/>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0-49%</w:t>
            </w:r>
          </w:p>
        </w:tc>
        <w:tc>
          <w:tcPr>
            <w:tcW w:w="2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Gesperrt</w:t>
            </w:r>
          </w:p>
        </w:tc>
        <w:tc>
          <w:tcPr>
            <w:tcW w:w="21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Kein Unstake möglich</w:t>
            </w:r>
          </w:p>
        </w:tc>
        <w:tc>
          <w:tcPr>
            <w:tcW w:w="34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Muss warten</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50%</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Frühester Ausstieg</w:t>
            </w:r>
          </w:p>
        </w:tc>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~100%</w:t>
            </w:r>
          </w:p>
        </w:tc>
        <w:tc>
          <w:tcPr>
            <w:tcW w:w="34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Fast alle HBURN verloren</w:t>
            </w:r>
          </w:p>
        </w:tc>
      </w:tr>
      <w:tr>
        <w:trPr/>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75%</w:t>
            </w:r>
          </w:p>
        </w:tc>
        <w:tc>
          <w:tcPr>
            <w:tcW w:w="2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Mittel</w:t>
            </w:r>
          </w:p>
        </w:tc>
        <w:tc>
          <w:tcPr>
            <w:tcW w:w="21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~50%</w:t>
            </w:r>
          </w:p>
        </w:tc>
        <w:tc>
          <w:tcPr>
            <w:tcW w:w="34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Hälfte zurück, Hälfte Penalty</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100%</w:t>
            </w:r>
          </w:p>
        </w:tc>
        <w:tc>
          <w:tcPr>
            <w:tcW w:w="2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Mature</w:t>
            </w:r>
          </w:p>
        </w:tc>
        <w:tc>
          <w:tcPr>
            <w:tcW w:w="2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0%</w:t>
            </w:r>
          </w:p>
        </w:tc>
        <w:tc>
          <w:tcPr>
            <w:tcW w:w="34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Volle HBURN + ETH-Rewards</w:t>
            </w:r>
          </w:p>
        </w:tc>
      </w:tr>
      <w:tr>
        <w:trPr/>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100%+7d</w:t>
            </w:r>
          </w:p>
        </w:tc>
        <w:tc>
          <w:tcPr>
            <w:tcW w:w="22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Grace Period</w:t>
            </w:r>
          </w:p>
        </w:tc>
        <w:tc>
          <w:tcPr>
            <w:tcW w:w="21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0%</w:t>
            </w:r>
          </w:p>
        </w:tc>
        <w:tc>
          <w:tcPr>
            <w:tcW w:w="34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Optimales Exit-Fenster</w:t>
            </w:r>
          </w:p>
        </w:tc>
      </w:tr>
    </w:tbl>
    <w:p>
      <w:pPr>
        <w:pStyle w:val="Normal"/>
        <w:spacing w:lineRule="auto" w:line="276" w:before="0" w:after="120"/>
        <w:rPr/>
      </w:pPr>
      <w:r>
        <w:rPr>
          <w:rFonts w:eastAsia="Arial" w:cs="Arial"/>
          <w:color w:val="222222"/>
          <w:sz w:val="21"/>
          <w:szCs w:val="21"/>
        </w:rPr>
        <w:t>Penalty-Verteilung: 50% der penalisierten HBURN werden permanent geburnt (Deflation), 50% bleiben im Staking-Contract (belohnt verbleibende Staker).</w:t>
      </w:r>
    </w:p>
    <w:p>
      <w:pPr>
        <w:pStyle w:val="Normal"/>
        <w:rPr/>
      </w:pPr>
      <w:r>
        <w:rPr/>
      </w:r>
      <w:r>
        <w:br w:type="page"/>
      </w:r>
    </w:p>
    <w:p>
      <w:pPr>
        <w:pStyle w:val="Heading1"/>
        <w:spacing w:before="0" w:after="200"/>
        <w:rPr/>
      </w:pPr>
      <w:r>
        <w:rPr>
          <w:rFonts w:eastAsia="Arial" w:cs="Arial"/>
          <w:b/>
          <w:bCs/>
          <w:color w:val="C41E3A"/>
          <w:sz w:val="32"/>
          <w:szCs w:val="32"/>
        </w:rPr>
        <w:t>9. Tokenomics im Detail</w:t>
      </w:r>
    </w:p>
    <w:tbl>
      <w:tblPr>
        <w:tblW w:w="9360" w:type="dxa"/>
        <w:jc w:val="start"/>
        <w:tblInd w:w="0" w:type="dxa"/>
        <w:tblLayout w:type="fixed"/>
        <w:tblCellMar>
          <w:top w:w="80" w:type="dxa"/>
          <w:start w:w="120" w:type="dxa"/>
          <w:bottom w:w="80" w:type="dxa"/>
          <w:end w:w="120" w:type="dxa"/>
        </w:tblCellMar>
      </w:tblPr>
      <w:tblGrid>
        <w:gridCol w:w="3498"/>
        <w:gridCol w:w="5862"/>
      </w:tblGrid>
      <w:tr>
        <w:trPr/>
        <w:tc>
          <w:tcPr>
            <w:tcW w:w="34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Parameter</w:t>
            </w:r>
          </w:p>
        </w:tc>
        <w:tc>
          <w:tcPr>
            <w:tcW w:w="586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Wert</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Name</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HellBurn</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Ticker</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HBURN</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Standard</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ERC-20 (Ethereum)</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Supply</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Durch Genesis bestimmt, dann permanent fixiert</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Inflation</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0% — kein weiteres Minting möglich</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LP-Reserve</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3% der geminteten HBURN → Contract-erstellte Uniswap V3 LP</w:t>
            </w:r>
          </w:p>
        </w:tc>
      </w:tr>
      <w:tr>
        <w:trPr/>
        <w:tc>
          <w:tcPr>
            <w:tcW w:w="34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Admin Keys</w:t>
            </w:r>
          </w:p>
        </w:tc>
        <w:tc>
          <w:tcPr>
            <w:tcW w:w="58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Keine — vollständig dezentralisiert</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Deflation</w:t>
            </w:r>
          </w:p>
        </w:tc>
        <w:tc>
          <w:tcPr>
            <w:tcW w:w="58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Buy &amp; Burn (20% ETH), Penalties, Fuel Burns, LP-Fee-Burns</w:t>
            </w:r>
          </w:p>
        </w:tc>
      </w:tr>
    </w:tbl>
    <w:p>
      <w:pPr>
        <w:pStyle w:val="Heading2"/>
        <w:spacing w:before="240" w:after="160"/>
        <w:rPr/>
      </w:pPr>
      <w:r>
        <w:rPr>
          <w:rFonts w:eastAsia="Arial" w:cs="Arial"/>
          <w:b/>
          <w:bCs/>
          <w:color w:val="1A1A2E"/>
          <w:sz w:val="26"/>
          <w:szCs w:val="26"/>
        </w:rPr>
        <w:t>TitanX-Verteilung während Genesis</w:t>
      </w:r>
    </w:p>
    <w:tbl>
      <w:tblPr>
        <w:tblW w:w="9360" w:type="dxa"/>
        <w:jc w:val="start"/>
        <w:tblInd w:w="0" w:type="dxa"/>
        <w:tblLayout w:type="fixed"/>
        <w:tblCellMar>
          <w:top w:w="80" w:type="dxa"/>
          <w:start w:w="120" w:type="dxa"/>
          <w:bottom w:w="80" w:type="dxa"/>
          <w:end w:w="120" w:type="dxa"/>
        </w:tblCellMar>
      </w:tblPr>
      <w:tblGrid>
        <w:gridCol w:w="2500"/>
        <w:gridCol w:w="1500"/>
        <w:gridCol w:w="5360"/>
      </w:tblGrid>
      <w:tr>
        <w:trPr/>
        <w:tc>
          <w:tcPr>
            <w:tcW w:w="2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Ziel</w:t>
            </w:r>
          </w:p>
        </w:tc>
        <w:tc>
          <w:tcPr>
            <w:tcW w:w="1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Anteil</w:t>
            </w:r>
          </w:p>
        </w:tc>
        <w:tc>
          <w:tcPr>
            <w:tcW w:w="53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Zweck</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Permanent Burn</w:t>
            </w:r>
          </w:p>
        </w:tc>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35%</w:t>
            </w:r>
          </w:p>
        </w:tc>
        <w:tc>
          <w:tcPr>
            <w:tcW w:w="5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An Dead Address — für immer weg</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DragonX-Vault</w:t>
            </w:r>
          </w:p>
        </w:tc>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35%</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Kauft &amp; sperrt DragonX</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Treasury</w:t>
            </w:r>
          </w:p>
        </w:tc>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22%</w:t>
            </w:r>
          </w:p>
        </w:tc>
        <w:tc>
          <w:tcPr>
            <w:tcW w:w="5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Max-gestaked 3.500 Tage → ETH-Ertrag</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Genesis Fund (LP)</w:t>
            </w:r>
          </w:p>
        </w:tc>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8%</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Bleibt im Contract → wird zu WETH für LP</w:t>
            </w:r>
          </w:p>
        </w:tc>
      </w:tr>
    </w:tbl>
    <w:p>
      <w:pPr>
        <w:pStyle w:val="Normal"/>
        <w:rPr/>
      </w:pPr>
      <w:r>
        <w:rPr/>
      </w:r>
      <w:r>
        <w:br w:type="page"/>
      </w:r>
    </w:p>
    <w:p>
      <w:pPr>
        <w:pStyle w:val="Heading1"/>
        <w:spacing w:before="0" w:after="200"/>
        <w:rPr/>
      </w:pPr>
      <w:r>
        <w:rPr>
          <w:rFonts w:eastAsia="Arial" w:cs="Arial"/>
          <w:b/>
          <w:bCs/>
          <w:color w:val="C41E3A"/>
          <w:sz w:val="32"/>
          <w:szCs w:val="32"/>
        </w:rPr>
        <w:t>10. Day-888-Strategie — Das Katalysator-Event</w:t>
      </w:r>
    </w:p>
    <w:p>
      <w:pPr>
        <w:pStyle w:val="Normal"/>
        <w:spacing w:lineRule="auto" w:line="276" w:before="0" w:after="120"/>
        <w:rPr/>
      </w:pPr>
      <w:r>
        <w:rPr>
          <w:rFonts w:eastAsia="Arial" w:cs="Arial"/>
          <w:color w:val="222222"/>
          <w:sz w:val="21"/>
          <w:szCs w:val="21"/>
        </w:rPr>
        <w:t>TitanX Day 888: ~727 ETH (~$2,39M) im 888-Tage-Payout-Pool. HellBurn startet Genesis vor Day 888, staked sofort max, und fängt den proportionalen ETH-Anteil für Epoch 1 ein.</w:t>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Zeitraum</w:t>
            </w:r>
          </w:p>
        </w:tc>
        <w:tc>
          <w:tcPr>
            <w:tcW w:w="2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Event</w:t>
            </w:r>
          </w:p>
        </w:tc>
        <w:tc>
          <w:tcPr>
            <w:tcW w:w="48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Aktion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~Tag 852</w:t>
            </w:r>
          </w:p>
        </w:tc>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Deployment</w:t>
            </w:r>
          </w:p>
        </w:tc>
        <w:tc>
          <w:tcPr>
            <w:tcW w:w="48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Deploy, Audit, Fair Launch Code verifiziert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~Tag 855</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Genesis Start</w:t>
            </w:r>
          </w:p>
        </w:tc>
        <w:tc>
          <w:tcPr>
            <w:tcW w:w="4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28-Tage Minting, TitanX sofort gestaked</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Tag 888</w:t>
            </w:r>
          </w:p>
        </w:tc>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MEGA PAYOUT</w:t>
            </w:r>
          </w:p>
        </w:tc>
        <w:tc>
          <w:tcPr>
            <w:tcW w:w="48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Treasury erhält Anteil aus 727 ETH Pool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~Tag 883</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Genesis Ende</w:t>
            </w:r>
          </w:p>
        </w:tc>
        <w:tc>
          <w:tcPr>
            <w:tcW w:w="48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Contract erstellt automatisch Uniswap LP</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~Tag 896</w:t>
            </w:r>
          </w:p>
        </w:tc>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Epoch 1</w:t>
            </w:r>
          </w:p>
        </w:tc>
        <w:tc>
          <w:tcPr>
            <w:tcW w:w="48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Erste Burn Epoch mit massivem ETH-Pool</w:t>
            </w:r>
          </w:p>
        </w:tc>
      </w:tr>
    </w:tbl>
    <w:p>
      <w:pPr>
        <w:pStyle w:val="Normal"/>
        <w:rPr/>
      </w:pPr>
      <w:r>
        <w:rPr/>
      </w:r>
      <w:r>
        <w:br w:type="page"/>
      </w:r>
    </w:p>
    <w:p>
      <w:pPr>
        <w:pStyle w:val="Heading1"/>
        <w:spacing w:before="0" w:after="200"/>
        <w:rPr/>
      </w:pPr>
      <w:r>
        <w:rPr>
          <w:rFonts w:eastAsia="Arial" w:cs="Arial"/>
          <w:b/>
          <w:bCs/>
          <w:color w:val="C41E3A"/>
          <w:sz w:val="32"/>
          <w:szCs w:val="32"/>
        </w:rPr>
        <w:t>11. Anti-Dump-Mechanismen</w:t>
      </w:r>
    </w:p>
    <w:p>
      <w:pPr>
        <w:pStyle w:val="Normal"/>
        <w:spacing w:lineRule="auto" w:line="276" w:before="0" w:after="120"/>
        <w:rPr/>
      </w:pPr>
      <w:r>
        <w:rPr>
          <w:rFonts w:eastAsia="Arial" w:cs="Arial"/>
          <w:color w:val="222222"/>
          <w:sz w:val="21"/>
          <w:szCs w:val="21"/>
        </w:rPr>
        <w:t>HellBurn implementiert ein fünfschichtiges Anti-Dump-System:</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Schicht</w:t>
            </w:r>
          </w:p>
        </w:tc>
        <w:tc>
          <w:tcPr>
            <w:tcW w:w="34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Mechanismus</w:t>
            </w:r>
          </w:p>
        </w:tc>
        <w:tc>
          <w:tcPr>
            <w:tcW w:w="38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Effekt</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1. Fair Launch</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Contract-erstellte LP, keine Insider-Tokens</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Kein Pre-Mine-Dump möglich</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2. Vesting</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25% sofort, 75% über 28 Tage</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Kein Tag-1-Dump möglich</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3. Penalties</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Gesperrt bis 50% Maturity</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Früher Ausstieg kostet bis zu 50% (geburnt)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4. Loyalty</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1.1x Restake-Bonus, Phoenix ab 3</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Anreiz zum Halten &amp; Restaken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5. Buy &amp; Burn</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20% aller Epoch-ETH kauft HBURN</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Konstanter Kaufdruck</w:t>
            </w:r>
          </w:p>
        </w:tc>
      </w:tr>
    </w:tbl>
    <w:p>
      <w:pPr>
        <w:pStyle w:val="Normal"/>
        <w:rPr/>
      </w:pPr>
      <w:r>
        <w:rPr/>
      </w:r>
      <w:r>
        <w:br w:type="page"/>
      </w:r>
    </w:p>
    <w:p>
      <w:pPr>
        <w:pStyle w:val="Heading1"/>
        <w:spacing w:before="0" w:after="200"/>
        <w:rPr/>
      </w:pPr>
      <w:r>
        <w:rPr>
          <w:rFonts w:eastAsia="Arial" w:cs="Arial"/>
          <w:b/>
          <w:bCs/>
          <w:color w:val="C41E3A"/>
          <w:sz w:val="32"/>
          <w:szCs w:val="32"/>
        </w:rPr>
        <w:t>12. 12-Monats-Prognosen</w:t>
      </w:r>
    </w:p>
    <w:p>
      <w:pPr>
        <w:pStyle w:val="Normal"/>
        <w:spacing w:lineRule="auto" w:line="276" w:before="0" w:after="120"/>
        <w:rPr/>
      </w:pPr>
      <w:r>
        <w:rPr>
          <w:rFonts w:eastAsia="Arial" w:cs="Arial"/>
          <w:b/>
          <w:bCs/>
          <w:color w:val="C41E3A"/>
          <w:sz w:val="21"/>
          <w:szCs w:val="21"/>
        </w:rPr>
        <w:t xml:space="preserve">WICHTIG: </w:t>
      </w:r>
      <w:r>
        <w:rPr>
          <w:rFonts w:eastAsia="Arial" w:cs="Arial"/>
          <w:color w:val="222222"/>
          <w:sz w:val="21"/>
          <w:szCs w:val="21"/>
        </w:rPr>
        <w:t>Die folgenden Prognosen sind hypothetische Szenarien zur Veranschaulichung. Sie sind KEINE Finanzberatung oder Garantie.</w:t>
      </w:r>
    </w:p>
    <w:p>
      <w:pPr>
        <w:pStyle w:val="Heading2"/>
        <w:spacing w:before="240" w:after="160"/>
        <w:rPr/>
      </w:pPr>
      <w:r>
        <w:rPr>
          <w:rFonts w:eastAsia="Arial" w:cs="Arial"/>
          <w:b/>
          <w:bCs/>
          <w:color w:val="1A1A2E"/>
          <w:sz w:val="26"/>
          <w:szCs w:val="26"/>
        </w:rPr>
        <w:t>Annahmen</w:t>
      </w:r>
    </w:p>
    <w:tbl>
      <w:tblPr>
        <w:tblW w:w="9360" w:type="dxa"/>
        <w:jc w:val="start"/>
        <w:tblInd w:w="0" w:type="dxa"/>
        <w:tblLayout w:type="fixed"/>
        <w:tblCellMar>
          <w:top w:w="80" w:type="dxa"/>
          <w:start w:w="120" w:type="dxa"/>
          <w:bottom w:w="80" w:type="dxa"/>
          <w:end w:w="120" w:type="dxa"/>
        </w:tblCellMar>
      </w:tblPr>
      <w:tblGrid>
        <w:gridCol w:w="2500"/>
        <w:gridCol w:w="2298"/>
        <w:gridCol w:w="2300"/>
        <w:gridCol w:w="2262"/>
      </w:tblGrid>
      <w:tr>
        <w:trPr/>
        <w:tc>
          <w:tcPr>
            <w:tcW w:w="2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Faktor</w:t>
            </w:r>
          </w:p>
        </w:tc>
        <w:tc>
          <w:tcPr>
            <w:tcW w:w="22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Best Case</w:t>
            </w:r>
          </w:p>
        </w:tc>
        <w:tc>
          <w:tcPr>
            <w:tcW w:w="23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Base Case</w:t>
            </w:r>
          </w:p>
        </w:tc>
        <w:tc>
          <w:tcPr>
            <w:tcW w:w="226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Worst Case</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Genesis-Teilnahme</w:t>
            </w:r>
          </w:p>
        </w:tc>
        <w:tc>
          <w:tcPr>
            <w:tcW w:w="22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200B+ TitanX</w:t>
            </w:r>
          </w:p>
        </w:tc>
        <w:tc>
          <w:tcPr>
            <w:tcW w:w="23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50-100B TitanX</w:t>
            </w:r>
          </w:p>
        </w:tc>
        <w:tc>
          <w:tcPr>
            <w:tcW w:w="22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&lt;20B TitanX</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Epoch-Teilnahme</w:t>
            </w:r>
          </w:p>
        </w:tc>
        <w:tc>
          <w:tcPr>
            <w:tcW w:w="22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500+ Burner</w:t>
            </w:r>
          </w:p>
        </w:tc>
        <w:tc>
          <w:tcPr>
            <w:tcW w:w="2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100-300 Burner</w:t>
            </w:r>
          </w:p>
        </w:tc>
        <w:tc>
          <w:tcPr>
            <w:tcW w:w="22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&lt;50 Burner</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Marktlage</w:t>
            </w:r>
          </w:p>
        </w:tc>
        <w:tc>
          <w:tcPr>
            <w:tcW w:w="22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Bull, ETH &gt;$5K</w:t>
            </w:r>
          </w:p>
        </w:tc>
        <w:tc>
          <w:tcPr>
            <w:tcW w:w="23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Seitwärts, $2-4K</w:t>
            </w:r>
          </w:p>
        </w:tc>
        <w:tc>
          <w:tcPr>
            <w:tcW w:w="22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Bär, ETH &lt;$2K</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Day 888 Impact</w:t>
            </w:r>
          </w:p>
        </w:tc>
        <w:tc>
          <w:tcPr>
            <w:tcW w:w="22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Viral</w:t>
            </w:r>
          </w:p>
        </w:tc>
        <w:tc>
          <w:tcPr>
            <w:tcW w:w="2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Moderat</w:t>
            </w:r>
          </w:p>
        </w:tc>
        <w:tc>
          <w:tcPr>
            <w:tcW w:w="22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Überschattet</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Streak-Adoption</w:t>
            </w:r>
          </w:p>
        </w:tc>
        <w:tc>
          <w:tcPr>
            <w:tcW w:w="22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&gt;60%</w:t>
            </w:r>
          </w:p>
        </w:tc>
        <w:tc>
          <w:tcPr>
            <w:tcW w:w="23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30-50%</w:t>
            </w:r>
          </w:p>
        </w:tc>
        <w:tc>
          <w:tcPr>
            <w:tcW w:w="226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&lt;20%</w:t>
            </w:r>
          </w:p>
        </w:tc>
      </w:tr>
    </w:tbl>
    <w:p>
      <w:pPr>
        <w:pStyle w:val="Normal"/>
        <w:spacing w:lineRule="auto" w:line="276" w:before="0" w:after="120"/>
        <w:rPr/>
      </w:pPr>
      <w:r>
        <w:rPr>
          <w:rFonts w:eastAsia="Arial" w:cs="Arial"/>
          <w:b/>
          <w:bCs/>
          <w:color w:val="222222"/>
          <w:sz w:val="21"/>
          <w:szCs w:val="21"/>
        </w:rPr>
        <w:t xml:space="preserve">Best Case (50x): </w:t>
      </w:r>
      <w:r>
        <w:rPr>
          <w:rFonts w:eastAsia="Arial" w:cs="Arial"/>
          <w:color w:val="222222"/>
          <w:sz w:val="21"/>
          <w:szCs w:val="21"/>
        </w:rPr>
        <w:t>Bullenmarkt, starke Community, viraler Day 888, hohe Streak-Adoption, dramatische Supply-Reduktion.</w:t>
      </w:r>
    </w:p>
    <w:p>
      <w:pPr>
        <w:pStyle w:val="Normal"/>
        <w:spacing w:lineRule="auto" w:line="276" w:before="0" w:after="120"/>
        <w:rPr/>
      </w:pPr>
      <w:r>
        <w:rPr>
          <w:rFonts w:eastAsia="Arial" w:cs="Arial"/>
          <w:b/>
          <w:bCs/>
          <w:color w:val="222222"/>
          <w:sz w:val="21"/>
          <w:szCs w:val="21"/>
        </w:rPr>
        <w:t xml:space="preserve">Base Case (12x): </w:t>
      </w:r>
      <w:r>
        <w:rPr>
          <w:rFonts w:eastAsia="Arial" w:cs="Arial"/>
          <w:color w:val="222222"/>
          <w:sz w:val="21"/>
          <w:szCs w:val="21"/>
        </w:rPr>
        <w:t>Solide Kern-Community, 50-100B TitanX Genesis, stabiles Wachstum.</w:t>
      </w:r>
    </w:p>
    <w:p>
      <w:pPr>
        <w:pStyle w:val="Normal"/>
        <w:spacing w:lineRule="auto" w:line="276" w:before="0" w:after="120"/>
        <w:rPr/>
      </w:pPr>
      <w:r>
        <w:rPr>
          <w:rFonts w:eastAsia="Arial" w:cs="Arial"/>
          <w:b/>
          <w:bCs/>
          <w:color w:val="222222"/>
          <w:sz w:val="21"/>
          <w:szCs w:val="21"/>
        </w:rPr>
        <w:t xml:space="preserve">Worst Case (0.6x): </w:t>
      </w:r>
      <w:r>
        <w:rPr>
          <w:rFonts w:eastAsia="Arial" w:cs="Arial"/>
          <w:color w:val="222222"/>
          <w:sz w:val="21"/>
          <w:szCs w:val="21"/>
        </w:rPr>
        <w:t>Bärenmarkt, geringe Teilnahme, aber deflationäre Mechanik bietet strukturellen Boden.</w:t>
      </w:r>
    </w:p>
    <w:p>
      <w:pPr>
        <w:pStyle w:val="Normal"/>
        <w:rPr/>
      </w:pPr>
      <w:r>
        <w:rPr/>
      </w:r>
      <w:r>
        <w:br w:type="page"/>
      </w:r>
    </w:p>
    <w:p>
      <w:pPr>
        <w:pStyle w:val="Heading1"/>
        <w:spacing w:before="0" w:after="200"/>
        <w:rPr/>
      </w:pPr>
      <w:r>
        <w:rPr>
          <w:rFonts w:eastAsia="Arial" w:cs="Arial"/>
          <w:b/>
          <w:bCs/>
          <w:color w:val="C41E3A"/>
          <w:sz w:val="32"/>
          <w:szCs w:val="32"/>
        </w:rPr>
        <w:t>13. Roadmap</w:t>
      </w:r>
    </w:p>
    <w:tbl>
      <w:tblPr>
        <w:tblW w:w="9360" w:type="dxa"/>
        <w:jc w:val="start"/>
        <w:tblInd w:w="0" w:type="dxa"/>
        <w:tblLayout w:type="fixed"/>
        <w:tblCellMar>
          <w:top w:w="80" w:type="dxa"/>
          <w:start w:w="120" w:type="dxa"/>
          <w:bottom w:w="80" w:type="dxa"/>
          <w:end w:w="120" w:type="dxa"/>
        </w:tblCellMar>
      </w:tblPr>
      <w:tblGrid>
        <w:gridCol w:w="1798"/>
        <w:gridCol w:w="2002"/>
        <w:gridCol w:w="5560"/>
      </w:tblGrid>
      <w:tr>
        <w:trPr/>
        <w:tc>
          <w:tcPr>
            <w:tcW w:w="1798"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Phase</w:t>
            </w:r>
          </w:p>
        </w:tc>
        <w:tc>
          <w:tcPr>
            <w:tcW w:w="2002"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Zeitraum</w:t>
            </w:r>
          </w:p>
        </w:tc>
        <w:tc>
          <w:tcPr>
            <w:tcW w:w="55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Meilensteine</w:t>
            </w:r>
          </w:p>
        </w:tc>
      </w:tr>
      <w:tr>
        <w:trPr/>
        <w:tc>
          <w:tcPr>
            <w:tcW w:w="17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Phase 0</w:t>
            </w:r>
          </w:p>
        </w:tc>
        <w:tc>
          <w:tcPr>
            <w:tcW w:w="200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März 2026</w:t>
            </w:r>
          </w:p>
        </w:tc>
        <w:tc>
          <w:tcPr>
            <w:tcW w:w="5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Smart Contract Entwicklung, Tests, Community</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Phase 1</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Vor Day 888</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Deployment, Audit (inkl. Fair Launch Delta-Audit), Genesis Start</w:t>
            </w:r>
          </w:p>
        </w:tc>
      </w:tr>
      <w:tr>
        <w:trPr/>
        <w:tc>
          <w:tcPr>
            <w:tcW w:w="17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Phase 2</w:t>
            </w:r>
          </w:p>
        </w:tc>
        <w:tc>
          <w:tcPr>
            <w:tcW w:w="200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Day 888</w:t>
            </w:r>
          </w:p>
        </w:tc>
        <w:tc>
          <w:tcPr>
            <w:tcW w:w="5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Payout Capture, Burn Cascade, Marketing Push</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Phase 3</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Day 888+</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Auto LP-Erstellung (Fair Launch), Epoch 1, UI Launch</w:t>
            </w:r>
          </w:p>
        </w:tc>
      </w:tr>
      <w:tr>
        <w:trPr/>
        <w:tc>
          <w:tcPr>
            <w:tcW w:w="1798"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Phase 4</w:t>
            </w:r>
          </w:p>
        </w:tc>
        <w:tc>
          <w:tcPr>
            <w:tcW w:w="2002"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Q3 2026</w:t>
            </w:r>
          </w:p>
        </w:tc>
        <w:tc>
          <w:tcPr>
            <w:tcW w:w="5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Cross-Ecosystem Integrationen, Partnerschaften</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Phase 5</w:t>
            </w:r>
          </w:p>
        </w:tc>
        <w:tc>
          <w:tcPr>
            <w:tcW w:w="200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Q4 2026+</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Multi-Chain Expansion, Advanced Gamification</w:t>
            </w:r>
          </w:p>
        </w:tc>
      </w:tr>
    </w:tbl>
    <w:p>
      <w:pPr>
        <w:pStyle w:val="Normal"/>
        <w:rPr/>
      </w:pPr>
      <w:r>
        <w:rPr/>
      </w:r>
      <w:r>
        <w:br w:type="page"/>
      </w:r>
    </w:p>
    <w:p>
      <w:pPr>
        <w:pStyle w:val="Heading1"/>
        <w:spacing w:before="0" w:after="200"/>
        <w:rPr/>
      </w:pPr>
      <w:r>
        <w:rPr>
          <w:rFonts w:eastAsia="Arial" w:cs="Arial"/>
          <w:b/>
          <w:bCs/>
          <w:color w:val="C41E3A"/>
          <w:sz w:val="32"/>
          <w:szCs w:val="32"/>
        </w:rPr>
        <w:t>14. Risiken &amp; Haftungsausschluss</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Risiko</w:t>
            </w:r>
          </w:p>
        </w:tc>
        <w:tc>
          <w:tcPr>
            <w:tcW w:w="34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Beschreibung</w:t>
            </w:r>
          </w:p>
        </w:tc>
        <w:tc>
          <w:tcPr>
            <w:tcW w:w="38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Mitigation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Smart Contract</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Trotz Tests/Audits können Bugs existieren</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Umfangreiche Tests, Slither, SkyWolf Audit (inkl. Fair Launch)</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Marktrisiko</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Crypto ist extrem volatil</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Deflationäre Mechanik bietet Struktur</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Abhängigkeit</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HellBurn hängt von TitanX ab</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Diversifizierte Burns (TitanX + DragonX)</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Liquidität</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Initiale LP kann dünn sein</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Auto-Skalierung mit Genesis + Gründer-Boost</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Regulierung</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DeFi-Regulierung entwickelt sich</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Keine Admin Keys, dezentralisiert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Adoption</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Braucht aktive Teilnehmer</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Streak-System incentiviert Retention</w:t>
            </w:r>
          </w:p>
        </w:tc>
      </w:tr>
    </w:tbl>
    <w:p>
      <w:pPr>
        <w:pStyle w:val="Normal"/>
        <w:spacing w:before="0" w:after="400"/>
        <w:rPr/>
      </w:pPr>
      <w:r>
        <w:rPr/>
      </w:r>
    </w:p>
    <w:p>
      <w:pPr>
        <w:pStyle w:val="Normal"/>
        <w:spacing w:before="200" w:after="0"/>
        <w:jc w:val="center"/>
        <w:rPr/>
      </w:pPr>
      <w:r>
        <w:rPr>
          <w:rFonts w:eastAsia="Arial" w:cs="Arial"/>
          <w:b/>
          <w:bCs/>
          <w:color w:val="C41E3A"/>
          <w:sz w:val="28"/>
          <w:szCs w:val="28"/>
        </w:rPr>
        <w:t>HELLBURN — Burn to Earn. Compete to Win.</w:t>
      </w:r>
    </w:p>
    <w:p>
      <w:pPr>
        <w:pStyle w:val="Normal"/>
        <w:jc w:val="center"/>
        <w:rPr/>
      </w:pPr>
      <w:r>
        <w:rPr>
          <w:rFonts w:eastAsia="Arial" w:cs="Arial"/>
          <w:color w:val="D4A843"/>
          <w:sz w:val="22"/>
          <w:szCs w:val="22"/>
        </w:rPr>
        <w:t>Fair Launch. Keine Insider-Tokens. Trustless Liquidität.</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00" w:right="120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5555"/>
        <w:sz w:val="16"/>
        <w:szCs w:val="16"/>
      </w:rPr>
      <w:t xml:space="preserve">Seite </w:t>
    </w:r>
    <w:r>
      <w:rPr>
        <w:rFonts w:eastAsia="Arial" w:cs="Arial"/>
        <w:color w:val="D4A843"/>
        <w:sz w:val="22"/>
        <w:szCs w:val="22"/>
      </w:rPr>
      <w:fldChar w:fldCharType="begin"/>
    </w:r>
    <w:r>
      <w:rPr>
        <w:rFonts w:eastAsia="Arial" w:cs="Arial"/>
        <w:color w:val="D4A843"/>
        <w:sz w:val="22"/>
        <w:szCs w:val="22"/>
      </w:rPr>
      <w:instrText xml:space="preserve"> PAGE </w:instrText>
    </w:r>
    <w:r>
      <w:rPr>
        <w:rFonts w:eastAsia="Arial" w:cs="Arial"/>
        <w:color w:val="D4A843"/>
        <w:sz w:val="22"/>
        <w:szCs w:val="22"/>
      </w:rPr>
      <w:fldChar w:fldCharType="separate"/>
    </w:r>
    <w:r>
      <w:rPr>
        <w:rFonts w:eastAsia="Arial" w:cs="Arial"/>
        <w:color w:val="D4A843"/>
        <w:sz w:val="22"/>
        <w:szCs w:val="22"/>
      </w:rPr>
      <w:t>18</w:t>
    </w:r>
    <w:r>
      <w:rPr>
        <w:rFonts w:eastAsia="Arial" w:cs="Arial"/>
        <w:color w:val="D4A843"/>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5555"/>
        <w:sz w:val="16"/>
        <w:szCs w:val="16"/>
      </w:rPr>
      <w:t xml:space="preserve">Seite </w:t>
    </w:r>
    <w:r>
      <w:rPr>
        <w:rFonts w:eastAsia="Arial" w:cs="Arial"/>
        <w:color w:val="D4A843"/>
        <w:sz w:val="22"/>
        <w:szCs w:val="22"/>
      </w:rPr>
      <w:fldChar w:fldCharType="begin"/>
    </w:r>
    <w:r>
      <w:rPr>
        <w:rFonts w:eastAsia="Arial" w:cs="Arial"/>
        <w:color w:val="D4A843"/>
        <w:sz w:val="22"/>
        <w:szCs w:val="22"/>
      </w:rPr>
      <w:instrText xml:space="preserve"> PAGE </w:instrText>
    </w:r>
    <w:r>
      <w:rPr>
        <w:rFonts w:eastAsia="Arial" w:cs="Arial"/>
        <w:color w:val="D4A843"/>
        <w:sz w:val="22"/>
        <w:szCs w:val="22"/>
      </w:rPr>
      <w:fldChar w:fldCharType="separate"/>
    </w:r>
    <w:r>
      <w:rPr>
        <w:rFonts w:eastAsia="Arial" w:cs="Arial"/>
        <w:color w:val="D4A843"/>
        <w:sz w:val="22"/>
        <w:szCs w:val="22"/>
      </w:rPr>
      <w:t>18</w:t>
    </w:r>
    <w:r>
      <w:rPr>
        <w:rFonts w:eastAsia="Arial" w:cs="Arial"/>
        <w:color w:val="D4A843"/>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555555"/>
        <w:sz w:val="16"/>
        <w:szCs w:val="16"/>
      </w:rPr>
      <w:t>HellBurn Whitepaper v3.0 — Fair Launch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555555"/>
        <w:sz w:val="16"/>
        <w:szCs w:val="16"/>
      </w:rPr>
      <w:t>HellBurn Whitepaper v3.0 — Fair Launch Edition</w:t>
    </w:r>
  </w:p>
</w:hdr>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de-A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1"/>
      <w:szCs w:val="21"/>
      <w:lang w:val="de-AT" w:eastAsia="zh-CN" w:bidi="hi-IN"/>
    </w:rPr>
  </w:style>
  <w:style w:type="paragraph" w:styleId="Heading1">
    <w:name w:val="heading 1"/>
    <w:basedOn w:val="berschriftuser"/>
    <w:qFormat/>
    <w:pPr>
      <w:spacing w:before="360" w:after="200"/>
      <w:outlineLvl w:val="0"/>
    </w:pPr>
    <w:rPr>
      <w:rFonts w:ascii="Arial" w:hAnsi="Arial" w:eastAsia="Arial" w:cs="Arial"/>
      <w:b/>
      <w:bCs/>
      <w:color w:val="C41E3A"/>
      <w:sz w:val="32"/>
      <w:szCs w:val="32"/>
    </w:rPr>
  </w:style>
  <w:style w:type="paragraph" w:styleId="Heading2">
    <w:name w:val="heading 2"/>
    <w:basedOn w:val="berschriftuser"/>
    <w:qFormat/>
    <w:pPr>
      <w:spacing w:before="240" w:after="160"/>
      <w:outlineLvl w:val="1"/>
    </w:pPr>
    <w:rPr>
      <w:rFonts w:ascii="Arial" w:hAnsi="Arial" w:eastAsia="Arial" w:cs="Arial"/>
      <w:b/>
      <w:bCs/>
      <w:color w:val="1A1A2E"/>
      <w:sz w:val="26"/>
      <w:szCs w:val="26"/>
    </w:rPr>
  </w:style>
  <w:style w:type="paragraph" w:styleId="Heading3">
    <w:name w:val="heading 3"/>
    <w:basedOn w:val="berschriftuser"/>
    <w:qFormat/>
    <w:pPr/>
    <w:rPr>
      <w:color w:val="1F4D78"/>
      <w:sz w:val="24"/>
      <w:szCs w:val="24"/>
    </w:rPr>
  </w:style>
  <w:style w:type="paragraph" w:styleId="Heading4">
    <w:name w:val="heading 4"/>
    <w:basedOn w:val="berschriftuser"/>
    <w:qFormat/>
    <w:pPr/>
    <w:rPr>
      <w:i/>
      <w:iCs/>
      <w:color w:val="2E74B5"/>
    </w:rPr>
  </w:style>
  <w:style w:type="paragraph" w:styleId="Heading5">
    <w:name w:val="heading 5"/>
    <w:basedOn w:val="berschriftuser"/>
    <w:qFormat/>
    <w:pPr/>
    <w:rPr>
      <w:color w:val="2E74B5"/>
    </w:rPr>
  </w:style>
  <w:style w:type="paragraph" w:styleId="Heading6">
    <w:name w:val="heading 6"/>
    <w:basedOn w:val="berschriftuser"/>
    <w:qFormat/>
    <w:pPr/>
    <w:rPr>
      <w:color w:val="1F4D78"/>
    </w:rPr>
  </w:style>
  <w:style w:type="character" w:styleId="Hyperlink">
    <w:name w:val="Hyperlink"/>
    <w:uiPriority w:val="99"/>
    <w:unhideWhenUsed/>
    <w:rPr>
      <w:color w:val="0563C1"/>
      <w:u w:val="single"/>
    </w:rPr>
  </w:style>
  <w:style w:type="character" w:styleId="Funotenzeichenuser">
    <w:name w:val="Fußnotenzeichen (user)"/>
    <w:uiPriority w:val="99"/>
    <w:semiHidden/>
    <w:unhideWhenUsed/>
    <w:qFormat/>
    <w:rPr>
      <w:vertAlign w:val="superscript"/>
    </w:rPr>
  </w:style>
  <w:style w:type="character" w:styleId="Funotenzeichen">
    <w:name w:val="Fußnotenzeichen"/>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Title">
    <w:name w:val="Title"/>
    <w:basedOn w:val="berschrift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1"/>
      <w:szCs w:val="21"/>
      <w:lang w:val="de-AT"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1"/>
      <w:szCs w:val="21"/>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Kopf-Fuzeileuser">
    <w:name w:val="Kopf-/Fußzeile (user)"/>
    <w:basedOn w:val="Normal"/>
    <w:qFormat/>
    <w:pPr/>
    <w:rPr/>
  </w:style>
  <w:style w:type="paragraph" w:styleId="Kopf-Fuzeile">
    <w:name w:val="Kopf-/Fußzeile"/>
    <w:basedOn w:val="Normal"/>
    <w:qFormat/>
    <w:pPr/>
    <w:rPr/>
  </w:style>
  <w:style w:type="paragraph" w:styleId="Header">
    <w:name w:val="header"/>
    <w:basedOn w:val="Kopf-Fuzeileuser"/>
    <w:pPr/>
    <w:rPr/>
  </w:style>
  <w:style w:type="paragraph" w:styleId="Footer">
    <w:name w:val="footer"/>
    <w:basedOn w:val="Kopf-Fuzeile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LibreOffice/26.2.0.3$Windows_X86_64 LibreOffice_project/620$Build-3</Application>
  <AppVersion>15.0000</AppVersion>
  <Pages>18</Pages>
  <Words>2289</Words>
  <Characters>14552</Characters>
  <CharactersWithSpaces>16527</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2026-03-04T10:48:09Z</dcterms:created>
  <dc:creator>Un-named</dc:creator>
  <dc:description/>
  <dc:language>de-AT</dc:language>
  <cp:lastModifiedBy/>
  <cp:lastPrinted>2026-03-06T13:19:02Z</cp:lastPrinted>
  <dcterms:modified xsi:type="dcterms:W3CDTF">2026-03-06T13:20:52Z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