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auto">
    <v:background>
      <v:fill r:id="rId2" type="frame"/>
    </v:background>
  </w:background>
  <w:body>
    <w:p>
      <w:pPr>
        <w:pStyle w:val="Normal"/>
        <w:spacing w:before="2000" w:after="200"/>
        <w:jc w:val="center"/>
        <w:rPr/>
      </w:pPr>
      <w:r>
        <w:rPr>
          <w:rFonts w:eastAsia="Arial" w:cs="Arial"/>
          <w:b/>
          <w:bCs/>
          <w:color w:val="E85D04"/>
          <w:sz w:val="56"/>
          <w:szCs w:val="56"/>
        </w:rPr>
        <w:t>HELLBURN</w:t>
      </w:r>
    </w:p>
    <w:p>
      <w:pPr>
        <w:pStyle w:val="Normal"/>
        <w:spacing w:before="0" w:after="100"/>
        <w:jc w:val="center"/>
        <w:rPr/>
      </w:pPr>
      <w:r>
        <w:rPr>
          <w:color w:val="666666"/>
          <w:sz w:val="24"/>
          <w:szCs w:val="24"/>
        </w:rPr>
        <w:t>KOMPETITIVES BURN-TO-EARN PROTOKOLL</w:t>
      </w:r>
    </w:p>
    <w:p>
      <w:pPr>
        <w:pStyle w:val="Normal"/>
        <w:spacing w:before="0" w:after="200"/>
        <w:jc w:val="center"/>
        <w:rPr/>
      </w:pPr>
      <w:r>
        <w:rPr>
          <w:color w:val="666666"/>
          <w:sz w:val="22"/>
          <w:szCs w:val="22"/>
        </w:rPr>
        <w:t>Basiert auf TitanX | Verbrennt DragonX | Echte ETH-Rendite</w:t>
      </w:r>
    </w:p>
    <w:p>
      <w:pPr>
        <w:pStyle w:val="Normal"/>
        <w:spacing w:before="0" w:after="100"/>
        <w:jc w:val="center"/>
        <w:rPr/>
      </w:pPr>
      <w:r>
        <w:rPr>
          <w:b/>
          <w:bCs/>
          <w:color w:val="1A1A2E"/>
          <w:sz w:val="28"/>
          <w:szCs w:val="28"/>
        </w:rPr>
        <w:t>WHITEPAPER v4.0 — Trustless Edition</w:t>
      </w:r>
    </w:p>
    <w:p>
      <w:pPr>
        <w:pStyle w:val="Normal"/>
        <w:spacing w:before="0" w:after="600"/>
        <w:jc w:val="center"/>
        <w:rPr/>
      </w:pPr>
      <w:r>
        <w:rPr>
          <w:color w:val="666666"/>
          <w:sz w:val="22"/>
          <w:szCs w:val="22"/>
        </w:rPr>
        <w:t>März 2026</w:t>
      </w:r>
    </w:p>
    <w:p>
      <w:pPr>
        <w:pStyle w:val="Normal"/>
        <w:spacing w:before="0" w:after="120"/>
        <w:rPr>
          <w:b/>
          <w:bCs/>
          <w:sz w:val="22"/>
          <w:szCs w:val="22"/>
        </w:rPr>
      </w:pPr>
      <w:r>
        <w:rPr>
          <w:b/>
          <w:bCs/>
          <w:sz w:val="22"/>
          <w:szCs w:val="22"/>
        </w:rPr>
      </w:r>
      <w:r>
        <w:br w:type="page"/>
      </w:r>
    </w:p>
    <w:p>
      <w:pPr>
        <w:pStyle w:val="Normal"/>
        <w:spacing w:before="0" w:after="120"/>
        <w:rPr>
          <w:b/>
          <w:bCs/>
          <w:sz w:val="22"/>
          <w:szCs w:val="22"/>
        </w:rPr>
      </w:pPr>
      <w:r>
        <w:rPr>
          <w:b/>
          <w:bCs/>
          <w:sz w:val="22"/>
          <w:szCs w:val="22"/>
        </w:rPr>
        <w:t>Haftungsausschluss</w:t>
      </w:r>
    </w:p>
    <w:p>
      <w:pPr>
        <w:pStyle w:val="Normal"/>
        <w:spacing w:before="0" w:after="120"/>
        <w:rPr/>
      </w:pPr>
      <w:r>
        <w:rPr>
          <w:i/>
          <w:iCs/>
          <w:color w:val="666666"/>
          <w:sz w:val="22"/>
          <w:szCs w:val="22"/>
        </w:rPr>
        <w:t>Dieses Dokument dient ausschließlich der Information und stellt keine Finanz-, Anlage- oder Rechtsberatung dar. Kryptowährungs- und DeFi-Investitionen bergen erhebliche Risiken, einschließlich des Totalverlustes. Smart Contracts können trotz Tests und Audits Schwachstellen enthalten. Vergangene Performance ähnlicher Protokolle garantiert keine zukünftigen Ergebnisse. Alle Prognosen in diesem Dokument sind hypothetische Szenarien basierend auf Annahmen, die möglicherweise nicht eintreten. Informiere dich immer eigenständig (DYOR) vor einer Teilnahme.</w:t>
      </w:r>
    </w:p>
    <w:p>
      <w:pPr>
        <w:pStyle w:val="Normal"/>
        <w:spacing w:before="0" w:after="80"/>
        <w:rPr/>
      </w:pPr>
      <w:r>
        <w:rPr/>
      </w:r>
    </w:p>
    <w:p>
      <w:pPr>
        <w:pStyle w:val="Normal"/>
        <w:spacing w:before="0" w:after="120"/>
        <w:rPr>
          <w:b/>
          <w:bCs/>
          <w:sz w:val="22"/>
          <w:szCs w:val="22"/>
        </w:rPr>
      </w:pPr>
      <w:r>
        <w:rPr>
          <w:b/>
          <w:bCs/>
          <w:sz w:val="22"/>
          <w:szCs w:val="22"/>
        </w:rPr>
      </w:r>
      <w:r>
        <w:br w:type="page"/>
      </w:r>
    </w:p>
    <w:p>
      <w:pPr>
        <w:pStyle w:val="Normal"/>
        <w:spacing w:before="0" w:after="120"/>
        <w:rPr>
          <w:b/>
          <w:bCs/>
          <w:sz w:val="22"/>
          <w:szCs w:val="22"/>
        </w:rPr>
      </w:pPr>
      <w:r>
        <w:rPr>
          <w:b/>
          <w:bCs/>
          <w:sz w:val="22"/>
          <w:szCs w:val="22"/>
        </w:rPr>
        <w:t>Inhaltsverzeichnis</w:t>
      </w:r>
    </w:p>
    <w:sdt>
      <w:sdtPr>
        <w:docPartObj>
          <w:docPartGallery w:val="Table of Contents"/>
          <w:docPartUnique w:val="true"/>
        </w:docPartObj>
      </w:sdtPr>
      <w:sdtContent>
        <w:p>
          <w:pPr>
            <w:pStyle w:val="TOC1"/>
            <w:tabs>
              <w:tab w:val="clear" w:pos="9506"/>
              <w:tab w:val="right" w:pos="9505" w:leader="dot"/>
            </w:tabs>
            <w:rPr/>
          </w:pPr>
          <w:r>
            <w:fldChar w:fldCharType="begin"/>
          </w:r>
          <w:r>
            <w:rPr>
              <w:rStyle w:val="Verzeichnissprung"/>
            </w:rPr>
            <w:instrText xml:space="preserve"> TOC \f \o "1-9" \h</w:instrText>
          </w:r>
          <w:r>
            <w:rPr>
              <w:rStyle w:val="Verzeichnissprung"/>
            </w:rPr>
            <w:fldChar w:fldCharType="separate"/>
          </w:r>
          <w:hyperlink w:anchor="__RefHeading___Toc3829_4185582242" w:tooltip="1. Zusammenfassung">
            <w:r>
              <w:rPr>
                <w:rStyle w:val="Verzeichnissprung"/>
              </w:rPr>
              <w:t>1. Zusammenfassung</w:t>
              <w:tab/>
              <w:t>4</w:t>
            </w:r>
          </w:hyperlink>
        </w:p>
        <w:p>
          <w:pPr>
            <w:pStyle w:val="TOC1"/>
            <w:tabs>
              <w:tab w:val="clear" w:pos="9506"/>
              <w:tab w:val="right" w:pos="9505" w:leader="dot"/>
            </w:tabs>
            <w:rPr/>
          </w:pPr>
          <w:hyperlink w:anchor="__RefHeading___Toc3831_4185582242" w:tooltip="2. Das Problem">
            <w:r>
              <w:rPr>
                <w:rStyle w:val="Verzeichnissprung"/>
              </w:rPr>
              <w:t>2. Das Problem</w:t>
              <w:tab/>
              <w:t>5</w:t>
            </w:r>
          </w:hyperlink>
        </w:p>
        <w:p>
          <w:pPr>
            <w:pStyle w:val="TOC2"/>
            <w:tabs>
              <w:tab w:val="clear" w:pos="9223"/>
              <w:tab w:val="right" w:pos="9505" w:leader="dot"/>
            </w:tabs>
            <w:rPr/>
          </w:pPr>
          <w:hyperlink w:anchor="__RefHeading___Toc3833_4185582242" w:tooltip="2.1 Einmalige Deflation">
            <w:r>
              <w:rPr>
                <w:rStyle w:val="Verzeichnissprung"/>
              </w:rPr>
              <w:t>2.1 Einmalige Deflation</w:t>
              <w:tab/>
              <w:t>5</w:t>
            </w:r>
          </w:hyperlink>
        </w:p>
        <w:p>
          <w:pPr>
            <w:pStyle w:val="TOC2"/>
            <w:tabs>
              <w:tab w:val="clear" w:pos="9223"/>
              <w:tab w:val="right" w:pos="9505" w:leader="dot"/>
            </w:tabs>
            <w:rPr/>
          </w:pPr>
          <w:hyperlink w:anchor="__RefHeading___Toc3835_4185582242" w:tooltip="2.2 Passives Staking">
            <w:r>
              <w:rPr>
                <w:rStyle w:val="Verzeichnissprung"/>
              </w:rPr>
              <w:t>2.2 Passives Staking</w:t>
              <w:tab/>
              <w:t>5</w:t>
            </w:r>
          </w:hyperlink>
        </w:p>
        <w:p>
          <w:pPr>
            <w:pStyle w:val="TOC2"/>
            <w:tabs>
              <w:tab w:val="clear" w:pos="9223"/>
              <w:tab w:val="right" w:pos="9505" w:leader="dot"/>
            </w:tabs>
            <w:rPr/>
          </w:pPr>
          <w:hyperlink w:anchor="__RefHeading___Toc3837_4185582242" w:tooltip="2.3 Fehlende Gamification">
            <w:r>
              <w:rPr>
                <w:rStyle w:val="Verzeichnissprung"/>
              </w:rPr>
              <w:t>2.3 Fehlende Gamification</w:t>
              <w:tab/>
              <w:t>5</w:t>
            </w:r>
          </w:hyperlink>
        </w:p>
        <w:p>
          <w:pPr>
            <w:pStyle w:val="TOC2"/>
            <w:tabs>
              <w:tab w:val="clear" w:pos="9223"/>
              <w:tab w:val="right" w:pos="9505" w:leader="dot"/>
            </w:tabs>
            <w:rPr/>
          </w:pPr>
          <w:hyperlink w:anchor="__RefHeading___Toc3839_4185582242" w:tooltip="2.4 Zentralisierte Vertrauensanforderungen">
            <w:r>
              <w:rPr>
                <w:rStyle w:val="Verzeichnissprung"/>
              </w:rPr>
              <w:t>2.4 Zentralisierte Vertrauensanforderungen</w:t>
              <w:tab/>
              <w:t>5</w:t>
            </w:r>
          </w:hyperlink>
        </w:p>
        <w:p>
          <w:pPr>
            <w:pStyle w:val="TOC1"/>
            <w:tabs>
              <w:tab w:val="clear" w:pos="9506"/>
              <w:tab w:val="right" w:pos="9505" w:leader="dot"/>
            </w:tabs>
            <w:rPr/>
          </w:pPr>
          <w:hyperlink w:anchor="__RefHeading___Toc3841_4185582242" w:tooltip="3. Die Lösung — Drei Innovationen">
            <w:r>
              <w:rPr>
                <w:rStyle w:val="Verzeichnissprung"/>
              </w:rPr>
              <w:t>3. Die Lösung — Drei Innovationen</w:t>
              <w:tab/>
              <w:t>6</w:t>
            </w:r>
          </w:hyperlink>
        </w:p>
        <w:p>
          <w:pPr>
            <w:pStyle w:val="TOC2"/>
            <w:tabs>
              <w:tab w:val="clear" w:pos="9223"/>
              <w:tab w:val="right" w:pos="9505" w:leader="dot"/>
            </w:tabs>
            <w:rPr/>
          </w:pPr>
          <w:hyperlink w:anchor="__RefHeading___Toc3843_4185582242" w:tooltip="3.1 Burn Epochs: Permanenter Deflationsdruck">
            <w:r>
              <w:rPr>
                <w:rStyle w:val="Verzeichnissprung"/>
              </w:rPr>
              <w:t>3.1 Burn Epochs: Permanenter Deflationsdruck</w:t>
              <w:tab/>
              <w:t>6</w:t>
            </w:r>
          </w:hyperlink>
        </w:p>
        <w:p>
          <w:pPr>
            <w:pStyle w:val="TOC2"/>
            <w:tabs>
              <w:tab w:val="clear" w:pos="9223"/>
              <w:tab w:val="right" w:pos="9505" w:leader="dot"/>
            </w:tabs>
            <w:rPr/>
          </w:pPr>
          <w:hyperlink w:anchor="__RefHeading___Toc3845_4185582242" w:tooltip="3.2 Streak-System: Spieltheorie als Bindung">
            <w:r>
              <w:rPr>
                <w:rStyle w:val="Verzeichnissprung"/>
              </w:rPr>
              <w:t>3.2 Streak-System: Spieltheorie als Bindung</w:t>
              <w:tab/>
              <w:t>6</w:t>
            </w:r>
          </w:hyperlink>
        </w:p>
        <w:p>
          <w:pPr>
            <w:pStyle w:val="TOC2"/>
            <w:tabs>
              <w:tab w:val="clear" w:pos="9223"/>
              <w:tab w:val="right" w:pos="9505" w:leader="dot"/>
            </w:tabs>
            <w:rPr/>
          </w:pPr>
          <w:hyperlink w:anchor="__RefHeading___Toc3847_4185582242" w:tooltip="3.3 Burn-to-Boost Staking (&quot;Fuel&quot;)">
            <w:r>
              <w:rPr>
                <w:rStyle w:val="Verzeichnissprung"/>
              </w:rPr>
              <w:t>3.3 Burn-to-Boost Staking ("Fuel")</w:t>
              <w:tab/>
              <w:t>6</w:t>
            </w:r>
          </w:hyperlink>
        </w:p>
        <w:p>
          <w:pPr>
            <w:pStyle w:val="TOC1"/>
            <w:tabs>
              <w:tab w:val="clear" w:pos="9506"/>
              <w:tab w:val="right" w:pos="9505" w:leader="dot"/>
            </w:tabs>
            <w:rPr/>
          </w:pPr>
          <w:hyperlink w:anchor="__RefHeading___Toc3849_4185582242" w:tooltip="4. Das Deflations-Schwungrad">
            <w:r>
              <w:rPr>
                <w:rStyle w:val="Verzeichnissprung"/>
              </w:rPr>
              <w:t>4. Das Deflations-Schwungrad</w:t>
              <w:tab/>
              <w:t>7</w:t>
            </w:r>
          </w:hyperlink>
        </w:p>
        <w:p>
          <w:pPr>
            <w:pStyle w:val="TOC1"/>
            <w:tabs>
              <w:tab w:val="clear" w:pos="9506"/>
              <w:tab w:val="right" w:pos="9505" w:leader="dot"/>
            </w:tabs>
            <w:rPr/>
          </w:pPr>
          <w:hyperlink w:anchor="__RefHeading___Toc3851_4185582242" w:tooltip="5. Trustless-Architektur (NEU in v4.0)">
            <w:r>
              <w:rPr>
                <w:rStyle w:val="Verzeichnissprung"/>
              </w:rPr>
              <w:t>5. Trustless-Architektur (NEU in v4.0)</w:t>
              <w:tab/>
              <w:t>8</w:t>
            </w:r>
          </w:hyperlink>
        </w:p>
        <w:p>
          <w:pPr>
            <w:pStyle w:val="TOC2"/>
            <w:tabs>
              <w:tab w:val="clear" w:pos="9223"/>
              <w:tab w:val="right" w:pos="9505" w:leader="dot"/>
            </w:tabs>
            <w:rPr/>
          </w:pPr>
          <w:hyperlink w:anchor="__RefHeading___Toc3853_4185582242" w:tooltip="5.1 Fair Launch LP">
            <w:r>
              <w:rPr>
                <w:rStyle w:val="Verzeichnissprung"/>
              </w:rPr>
              <w:t>5.1 Fair Launch LP</w:t>
              <w:tab/>
              <w:t>8</w:t>
            </w:r>
          </w:hyperlink>
        </w:p>
        <w:p>
          <w:pPr>
            <w:pStyle w:val="TOC2"/>
            <w:tabs>
              <w:tab w:val="clear" w:pos="9223"/>
              <w:tab w:val="right" w:pos="9505" w:leader="dot"/>
            </w:tabs>
            <w:rPr/>
          </w:pPr>
          <w:hyperlink w:anchor="__RefHeading___Toc3855_4185582242" w:tooltip="5.2 Trustless Treasury — Niemand kann abheben">
            <w:r>
              <w:rPr>
                <w:rStyle w:val="Verzeichnissprung"/>
              </w:rPr>
              <w:t>5.2 Trustless Treasury — Niemand kann abheben</w:t>
              <w:tab/>
              <w:t>8</w:t>
            </w:r>
          </w:hyperlink>
        </w:p>
        <w:p>
          <w:pPr>
            <w:pStyle w:val="TOC2"/>
            <w:tabs>
              <w:tab w:val="clear" w:pos="9223"/>
              <w:tab w:val="right" w:pos="9505" w:leader="dot"/>
            </w:tabs>
            <w:rPr/>
          </w:pPr>
          <w:hyperlink w:anchor="__RefHeading___Toc3857_4185582242" w:tooltip="5.3 Kein Guardian, keine Pause">
            <w:r>
              <w:rPr>
                <w:rStyle w:val="Verzeichnissprung"/>
              </w:rPr>
              <w:t>5.3 Kein Guardian, keine Pause</w:t>
              <w:tab/>
              <w:t>8</w:t>
            </w:r>
          </w:hyperlink>
        </w:p>
        <w:p>
          <w:pPr>
            <w:pStyle w:val="TOC2"/>
            <w:tabs>
              <w:tab w:val="clear" w:pos="9223"/>
              <w:tab w:val="right" w:pos="9505" w:leader="dot"/>
            </w:tabs>
            <w:rPr/>
          </w:pPr>
          <w:hyperlink w:anchor="__RefHeading___Toc3859_4185582242" w:tooltip="5.4 Vertrauens-Verifizierung">
            <w:r>
              <w:rPr>
                <w:rStyle w:val="Verzeichnissprung"/>
              </w:rPr>
              <w:t>5.4 Vertrauens-Verifizierung</w:t>
              <w:tab/>
              <w:t>8</w:t>
            </w:r>
          </w:hyperlink>
        </w:p>
        <w:p>
          <w:pPr>
            <w:pStyle w:val="TOC1"/>
            <w:tabs>
              <w:tab w:val="clear" w:pos="9506"/>
              <w:tab w:val="right" w:pos="9505" w:leader="dot"/>
            </w:tabs>
            <w:rPr/>
          </w:pPr>
          <w:hyperlink w:anchor="__RefHeading___Toc3861_4185582242" w:tooltip="6. Genesis-Phase — Dein Einstieg">
            <w:r>
              <w:rPr>
                <w:rStyle w:val="Verzeichnissprung"/>
              </w:rPr>
              <w:t>6. Genesis-Phase — Dein Einstieg</w:t>
              <w:tab/>
              <w:t>9</w:t>
            </w:r>
          </w:hyperlink>
        </w:p>
        <w:p>
          <w:pPr>
            <w:pStyle w:val="TOC1"/>
            <w:tabs>
              <w:tab w:val="clear" w:pos="9506"/>
              <w:tab w:val="right" w:pos="9505" w:leader="dot"/>
            </w:tabs>
            <w:rPr/>
          </w:pPr>
          <w:hyperlink w:anchor="__RefHeading___Toc3863_4185582242" w:tooltip="7. Burn Epochs — Wettbewerb um ETH">
            <w:r>
              <w:rPr>
                <w:rStyle w:val="Verzeichnissprung"/>
              </w:rPr>
              <w:t>7. Burn Epochs — Wettbewerb um ETH</w:t>
              <w:tab/>
              <w:t>10</w:t>
            </w:r>
          </w:hyperlink>
        </w:p>
        <w:p>
          <w:pPr>
            <w:pStyle w:val="TOC1"/>
            <w:tabs>
              <w:tab w:val="clear" w:pos="9506"/>
              <w:tab w:val="right" w:pos="9505" w:leader="dot"/>
            </w:tabs>
            <w:rPr/>
          </w:pPr>
          <w:hyperlink w:anchor="__RefHeading___Toc3865_4185582242" w:tooltip="8. Staking &amp; echte Rendite">
            <w:r>
              <w:rPr>
                <w:rStyle w:val="Verzeichnissprung"/>
              </w:rPr>
              <w:t>8. Staking &amp; echte Rendite</w:t>
              <w:tab/>
              <w:t>11</w:t>
            </w:r>
          </w:hyperlink>
        </w:p>
        <w:p>
          <w:pPr>
            <w:pStyle w:val="TOC1"/>
            <w:tabs>
              <w:tab w:val="clear" w:pos="9506"/>
              <w:tab w:val="right" w:pos="9505" w:leader="dot"/>
            </w:tabs>
            <w:rPr/>
          </w:pPr>
          <w:hyperlink w:anchor="__RefHeading___Toc3867_4185582242" w:tooltip="9. Tokenomics">
            <w:r>
              <w:rPr>
                <w:rStyle w:val="Verzeichnissprung"/>
              </w:rPr>
              <w:t>9. Tokenomics</w:t>
              <w:tab/>
              <w:t>12</w:t>
            </w:r>
          </w:hyperlink>
        </w:p>
        <w:p>
          <w:pPr>
            <w:pStyle w:val="TOC1"/>
            <w:tabs>
              <w:tab w:val="clear" w:pos="9506"/>
              <w:tab w:val="right" w:pos="9505" w:leader="dot"/>
            </w:tabs>
            <w:rPr/>
          </w:pPr>
          <w:hyperlink w:anchor="__RefHeading___Toc3869_4185582242" w:tooltip="10. Tag 888 Strategie">
            <w:r>
              <w:rPr>
                <w:rStyle w:val="Verzeichnissprung"/>
              </w:rPr>
              <w:t>10. Tag 888 Strategie</w:t>
              <w:tab/>
              <w:t>13</w:t>
            </w:r>
          </w:hyperlink>
        </w:p>
        <w:p>
          <w:pPr>
            <w:pStyle w:val="TOC1"/>
            <w:tabs>
              <w:tab w:val="clear" w:pos="9506"/>
              <w:tab w:val="right" w:pos="9505" w:leader="dot"/>
            </w:tabs>
            <w:rPr/>
          </w:pPr>
          <w:hyperlink w:anchor="__RefHeading___Toc3871_4185582242" w:tooltip="11. Anti-Dump Mechanismen">
            <w:r>
              <w:rPr>
                <w:rStyle w:val="Verzeichnissprung"/>
              </w:rPr>
              <w:t>11. Anti-Dump Mechanismen</w:t>
              <w:tab/>
              <w:t>14</w:t>
            </w:r>
          </w:hyperlink>
        </w:p>
        <w:p>
          <w:pPr>
            <w:pStyle w:val="TOC1"/>
            <w:tabs>
              <w:tab w:val="clear" w:pos="9506"/>
              <w:tab w:val="right" w:pos="9505" w:leader="dot"/>
            </w:tabs>
            <w:rPr/>
          </w:pPr>
          <w:hyperlink w:anchor="__RefHeading___Toc3873_4185582242" w:tooltip="12. 12-Monats-Projektionen">
            <w:r>
              <w:rPr>
                <w:rStyle w:val="Verzeichnissprung"/>
              </w:rPr>
              <w:t>12. 12-Monats-Projektionen</w:t>
              <w:tab/>
              <w:t>15</w:t>
            </w:r>
          </w:hyperlink>
        </w:p>
        <w:p>
          <w:pPr>
            <w:pStyle w:val="TOC1"/>
            <w:tabs>
              <w:tab w:val="clear" w:pos="9506"/>
              <w:tab w:val="right" w:pos="9505" w:leader="dot"/>
            </w:tabs>
            <w:rPr/>
          </w:pPr>
          <w:hyperlink w:anchor="__RefHeading___Toc3875_4185582242" w:tooltip="13. Roadmap">
            <w:r>
              <w:rPr>
                <w:rStyle w:val="Verzeichnissprung"/>
              </w:rPr>
              <w:t>13. Roadmap</w:t>
              <w:tab/>
              <w:t>16</w:t>
            </w:r>
          </w:hyperlink>
        </w:p>
        <w:p>
          <w:pPr>
            <w:pStyle w:val="TOC1"/>
            <w:tabs>
              <w:tab w:val="clear" w:pos="9506"/>
              <w:tab w:val="right" w:pos="9505" w:leader="dot"/>
            </w:tabs>
            <w:rPr/>
          </w:pPr>
          <w:hyperlink w:anchor="__RefHeading___Toc3877_4185582242" w:tooltip="14. Risiken &amp; Haftungsausschluss">
            <w:r>
              <w:rPr>
                <w:rStyle w:val="Verzeichnissprung"/>
              </w:rPr>
              <w:t>14. Risiken &amp; Haftungsausschluss</w:t>
              <w:tab/>
              <w:t>17</w:t>
            </w:r>
          </w:hyperlink>
          <w:r>
            <w:rPr>
              <w:rStyle w:val="Verzeichnissprung"/>
            </w:rPr>
            <w:fldChar w:fldCharType="end"/>
          </w:r>
        </w:p>
      </w:sdtContent>
    </w:sdt>
    <w:p>
      <w:pPr>
        <w:pStyle w:val="Normal"/>
        <w:spacing w:before="0" w:after="120"/>
        <w:rPr>
          <w:sz w:val="22"/>
          <w:szCs w:val="22"/>
        </w:rPr>
      </w:pPr>
      <w:r>
        <w:rPr/>
      </w:r>
    </w:p>
    <w:p>
      <w:pPr>
        <w:pStyle w:val="Normal"/>
        <w:rPr/>
      </w:pPr>
      <w:r>
        <w:rPr/>
      </w:r>
      <w:r>
        <w:br w:type="page"/>
      </w:r>
    </w:p>
    <w:p>
      <w:pPr>
        <w:pStyle w:val="Heading1"/>
        <w:spacing w:before="0" w:after="200"/>
        <w:rPr/>
      </w:pPr>
      <w:bookmarkStart w:id="0" w:name="__RefHeading___Toc3829_4185582242"/>
      <w:bookmarkEnd w:id="0"/>
      <w:r>
        <w:rPr/>
        <w:t>1. Zusammenfassung</w:t>
      </w:r>
    </w:p>
    <w:p>
      <w:pPr>
        <w:pStyle w:val="Normal"/>
        <w:spacing w:before="0" w:after="120"/>
        <w:rPr/>
      </w:pPr>
      <w:r>
        <w:rPr>
          <w:sz w:val="22"/>
          <w:szCs w:val="22"/>
        </w:rPr>
        <w:t>HellBurn ist das erste Competitive Burn-to-Earn Protokoll im TitanX-Ökosystem. Es kombiniert spielerisches, kompetitives Verbrennen mit echten ETH-Renditen und erzeugt permanenten deflationären Druck auf TitanX und DragonX.</w:t>
      </w:r>
    </w:p>
    <w:p>
      <w:pPr>
        <w:pStyle w:val="Normal"/>
        <w:spacing w:before="0" w:after="120"/>
        <w:rPr/>
      </w:pPr>
      <w:r>
        <w:rPr>
          <w:sz w:val="22"/>
          <w:szCs w:val="22"/>
        </w:rPr>
        <w:t>Während bestehende Protokolle (DragonX, Helios, Hydra, B88) auf eine einmalige Minting-Phase setzen, führt HellBurn Burn Epochs ein — kompetitive 8-Tage-Zyklen, in denen Teilnehmer TitanX und DragonX verbrennen, um anteilige ETH-Belohnungen zu erhalten.</w:t>
      </w:r>
    </w:p>
    <w:p>
      <w:pPr>
        <w:pStyle w:val="Normal"/>
        <w:spacing w:before="0" w:after="120"/>
        <w:rPr/>
      </w:pPr>
      <w:r>
        <w:rPr>
          <w:b/>
          <w:bCs/>
          <w:sz w:val="22"/>
          <w:szCs w:val="22"/>
        </w:rPr>
        <w:t>Neu in v4.0 — Vollständig Trustless:</w:t>
      </w:r>
    </w:p>
    <w:p>
      <w:pPr>
        <w:pStyle w:val="ListParagraph"/>
        <w:numPr>
          <w:ilvl w:val="0"/>
          <w:numId w:val="3"/>
        </w:numPr>
        <w:spacing w:before="0" w:after="60"/>
        <w:rPr/>
      </w:pPr>
      <w:r>
        <w:rPr>
          <w:sz w:val="22"/>
          <w:szCs w:val="22"/>
        </w:rPr>
        <w:t>Keine Admin-Schlüssel, kein Guardian, keine Pause-Funktion — das Protokoll läuft autonom.</w:t>
      </w:r>
    </w:p>
    <w:p>
      <w:pPr>
        <w:pStyle w:val="ListParagraph"/>
        <w:numPr>
          <w:ilvl w:val="0"/>
          <w:numId w:val="2"/>
        </w:numPr>
        <w:spacing w:before="0" w:after="60"/>
        <w:rPr/>
      </w:pPr>
      <w:r>
        <w:rPr>
          <w:sz w:val="22"/>
          <w:szCs w:val="22"/>
        </w:rPr>
        <w:t>Initiale Liquidität wird vollständig vom Smart Contract erstellt (Fair Launch) — LP permanent gesperrt.</w:t>
      </w:r>
    </w:p>
    <w:p>
      <w:pPr>
        <w:pStyle w:val="ListParagraph"/>
        <w:numPr>
          <w:ilvl w:val="0"/>
          <w:numId w:val="2"/>
        </w:numPr>
        <w:spacing w:before="0" w:after="60"/>
        <w:rPr/>
      </w:pPr>
      <w:r>
        <w:rPr>
          <w:sz w:val="22"/>
          <w:szCs w:val="22"/>
        </w:rPr>
        <w:t>Treasury-TitanX (22%) wird automatisch im Contract gestakt (3.500 Tage) — niemand kann es abziehen. ETH-Rendite fließt automatisch in BuyAndBurn.</w:t>
      </w:r>
    </w:p>
    <w:p>
      <w:pPr>
        <w:pStyle w:val="ListParagraph"/>
        <w:numPr>
          <w:ilvl w:val="0"/>
          <w:numId w:val="2"/>
        </w:numPr>
        <w:spacing w:before="0" w:after="60"/>
        <w:rPr/>
      </w:pPr>
      <w:r>
        <w:rPr>
          <w:sz w:val="22"/>
          <w:szCs w:val="22"/>
        </w:rPr>
        <w:t>Alle kritischen Funktionen (endGenesis, stakeTreasury, claimTreasuryYield, collectLPFees, executeBuyAndBurn) sind von jedem aufrufbar.</w:t>
      </w:r>
    </w:p>
    <w:p>
      <w:pPr>
        <w:pStyle w:val="Normal"/>
        <w:spacing w:before="0" w:after="80"/>
        <w:rPr/>
      </w:pPr>
      <w:r>
        <w:rPr/>
      </w:r>
    </w:p>
    <w:tbl>
      <w:tblPr>
        <w:tblW w:w="9500" w:type="dxa"/>
        <w:jc w:val="start"/>
        <w:tblInd w:w="0" w:type="dxa"/>
        <w:tblLayout w:type="fixed"/>
        <w:tblCellMar>
          <w:top w:w="60" w:type="dxa"/>
          <w:start w:w="100" w:type="dxa"/>
          <w:bottom w:w="60" w:type="dxa"/>
          <w:end w:w="100" w:type="dxa"/>
        </w:tblCellMar>
      </w:tblPr>
      <w:tblGrid>
        <w:gridCol w:w="3499"/>
        <w:gridCol w:w="6001"/>
      </w:tblGrid>
      <w:tr>
        <w:trPr/>
        <w:tc>
          <w:tcPr>
            <w:tcW w:w="34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Parameter</w:t>
            </w:r>
          </w:p>
        </w:tc>
        <w:tc>
          <w:tcPr>
            <w:tcW w:w="60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Wert</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Token</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HBURN (ERC-20, Ethereum)</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Kernmechanik</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Kompetitive Burn Epochs + Payout Capture</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Burn-Ziele</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TitanX + DragonX (Dual Burn)</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Rendite</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Echte ETH aus TitanX-Staking-Auszahlungen</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Angebot</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Fest — nur während 28-Tage-Genesis, danach permanent deaktiviert</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Initiale Liquidität</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Trustless — vom Smart Contract erstellt</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Treasury</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22% TitanX auto-gestakt im Contract — Rendite → BuyAndBurn</w:t>
            </w:r>
          </w:p>
        </w:tc>
      </w:tr>
      <w:tr>
        <w:trPr/>
        <w:tc>
          <w:tcPr>
            <w:tcW w:w="34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Admin-Schlüssel</w:t>
            </w:r>
          </w:p>
        </w:tc>
        <w:tc>
          <w:tcPr>
            <w:tcW w:w="6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Keine — kein Owner, kein Guardian, keine Pause, voll autonom</w:t>
            </w:r>
          </w:p>
        </w:tc>
      </w:tr>
    </w:tbl>
    <w:p>
      <w:pPr>
        <w:pStyle w:val="Normal"/>
        <w:rPr/>
      </w:pPr>
      <w:r>
        <w:rPr/>
      </w:r>
      <w:r>
        <w:br w:type="page"/>
      </w:r>
    </w:p>
    <w:p>
      <w:pPr>
        <w:pStyle w:val="Heading1"/>
        <w:spacing w:before="0" w:after="200"/>
        <w:rPr/>
      </w:pPr>
      <w:bookmarkStart w:id="1" w:name="__RefHeading___Toc3831_4185582242"/>
      <w:bookmarkEnd w:id="1"/>
      <w:r>
        <w:rPr/>
        <w:t>2. Das Problem</w:t>
      </w:r>
    </w:p>
    <w:p>
      <w:pPr>
        <w:pStyle w:val="Heading2"/>
        <w:rPr/>
      </w:pPr>
      <w:bookmarkStart w:id="2" w:name="__RefHeading___Toc3833_4185582242"/>
      <w:bookmarkEnd w:id="2"/>
      <w:r>
        <w:rPr/>
        <w:t>2.1 Einmalige Deflation</w:t>
      </w:r>
    </w:p>
    <w:p>
      <w:pPr>
        <w:pStyle w:val="Normal"/>
        <w:spacing w:before="0" w:after="120"/>
        <w:rPr>
          <w:sz w:val="22"/>
          <w:szCs w:val="22"/>
        </w:rPr>
      </w:pPr>
      <w:r>
        <w:rPr>
          <w:sz w:val="22"/>
          <w:szCs w:val="22"/>
        </w:rPr>
        <w:t>Jedes TitanX-Projekt folgt dem gleichen Muster: Minting-Phase, ein Teil wird verbrannt — und dann stoppt der Burn-Druck vollständig.</w:t>
      </w:r>
    </w:p>
    <w:p>
      <w:pPr>
        <w:pStyle w:val="Normal"/>
        <w:spacing w:before="0" w:after="120"/>
        <w:rPr>
          <w:sz w:val="22"/>
          <w:szCs w:val="22"/>
        </w:rPr>
      </w:pPr>
      <w:r>
        <w:rPr>
          <w:b/>
          <w:sz w:val="22"/>
          <w:szCs w:val="22"/>
        </w:rPr>
        <w:t xml:space="preserve">Beispiel: </w:t>
      </w:r>
      <w:r>
        <w:rPr>
          <w:sz w:val="22"/>
          <w:szCs w:val="22"/>
        </w:rPr>
        <w:t>Protokoll X hatte eine 14-tägige Minting-Phase, die 500B TitanX verbrannte. Beeindruckend — aber ab Tag 15 sank die Burn-Aktivität auf Null. Kein weiterer Deflationsdruck für die gesamte restliche Lebensdauer des Projekts.</w:t>
      </w:r>
    </w:p>
    <w:p>
      <w:pPr>
        <w:pStyle w:val="Heading2"/>
        <w:rPr/>
      </w:pPr>
      <w:bookmarkStart w:id="3" w:name="__RefHeading___Toc3835_4185582242"/>
      <w:bookmarkEnd w:id="3"/>
      <w:r>
        <w:rPr/>
        <w:t>2.2 Passives Staking</w:t>
      </w:r>
    </w:p>
    <w:p>
      <w:pPr>
        <w:pStyle w:val="Normal"/>
        <w:spacing w:before="0" w:after="120"/>
        <w:rPr/>
      </w:pPr>
      <w:r>
        <w:rPr>
          <w:sz w:val="22"/>
          <w:szCs w:val="22"/>
        </w:rPr>
        <w:t>Nach dem Minting staken User ihre Tokens und warten passiv. Dies führt zu sinkendem Engagement.</w:t>
      </w:r>
    </w:p>
    <w:p>
      <w:pPr>
        <w:pStyle w:val="Heading2"/>
        <w:rPr/>
      </w:pPr>
      <w:bookmarkStart w:id="4" w:name="__RefHeading___Toc3837_4185582242"/>
      <w:bookmarkEnd w:id="4"/>
      <w:r>
        <w:rPr/>
        <w:t>2.3 Fehlende Gamification</w:t>
      </w:r>
    </w:p>
    <w:p>
      <w:pPr>
        <w:pStyle w:val="Normal"/>
        <w:spacing w:before="0" w:after="120"/>
        <w:rPr/>
      </w:pPr>
      <w:r>
        <w:rPr>
          <w:sz w:val="22"/>
          <w:szCs w:val="22"/>
        </w:rPr>
        <w:t>DeFi-Protokolle konkurrieren in einem übersättigten Markt. Ohne kompetitive Elemente fehlt der Grund, täglich zurückzukehren. Die erfolgreichsten DeFi-Protokolle (Curve Wars, Convex, GMX, Pendle) haben bewiesen, dass kompetitive Mechaniken die stärksten Retention-Treiber sind.</w:t>
      </w:r>
    </w:p>
    <w:p>
      <w:pPr>
        <w:pStyle w:val="Heading2"/>
        <w:rPr/>
      </w:pPr>
      <w:bookmarkStart w:id="5" w:name="__RefHeading___Toc3839_4185582242"/>
      <w:bookmarkEnd w:id="5"/>
      <w:r>
        <w:rPr/>
        <w:t>2.4 Zentralisierte Vertrauensanforderungen</w:t>
      </w:r>
    </w:p>
    <w:p>
      <w:pPr>
        <w:pStyle w:val="Normal"/>
        <w:spacing w:before="0" w:after="120"/>
        <w:rPr/>
      </w:pPr>
      <w:r>
        <w:rPr>
          <w:sz w:val="22"/>
          <w:szCs w:val="22"/>
        </w:rPr>
        <w:t>Die meisten Protokolle erfordern Vertrauen in den Gründer: LP-Erstellung, Treasury-Verwaltung, Admin-Keys. HellBurn v4.0 eliminiert ALLE diese Vertrauensanforderungen.</w:t>
      </w:r>
    </w:p>
    <w:p>
      <w:pPr>
        <w:pStyle w:val="Normal"/>
        <w:rPr/>
      </w:pPr>
      <w:r>
        <w:rPr/>
      </w:r>
      <w:r>
        <w:br w:type="page"/>
      </w:r>
    </w:p>
    <w:p>
      <w:pPr>
        <w:pStyle w:val="Heading1"/>
        <w:spacing w:before="0" w:after="200"/>
        <w:rPr/>
      </w:pPr>
      <w:bookmarkStart w:id="6" w:name="__RefHeading___Toc3841_4185582242"/>
      <w:bookmarkEnd w:id="6"/>
      <w:r>
        <w:rPr/>
        <w:t>3. Die Lösung — Drei Innovationen</w:t>
      </w:r>
    </w:p>
    <w:p>
      <w:pPr>
        <w:pStyle w:val="Heading2"/>
        <w:rPr/>
      </w:pPr>
      <w:bookmarkStart w:id="7" w:name="__RefHeading___Toc3843_4185582242"/>
      <w:bookmarkEnd w:id="7"/>
      <w:r>
        <w:rPr/>
        <w:t>3.1 Burn Epochs: Permanenter Deflationsdruck</w:t>
      </w:r>
    </w:p>
    <w:p>
      <w:pPr>
        <w:pStyle w:val="Normal"/>
        <w:spacing w:before="0" w:after="120"/>
        <w:rPr/>
      </w:pPr>
      <w:r>
        <w:rPr>
          <w:sz w:val="22"/>
          <w:szCs w:val="22"/>
        </w:rPr>
        <w:t xml:space="preserve">Alle 8 Tage (synchron mit dem TitanX-Payout-Zyklus) beginnt eine neue Burn Epoch. Benutzer verbrennen TitanX (1x) und/oder DragonX (2x). Am Ende werden ETH-Belohnungen proportional verteilt. </w:t>
        <w:br/>
      </w:r>
      <w:r>
        <w:rPr>
          <w:b/>
          <w:sz w:val="22"/>
          <w:szCs w:val="22"/>
        </w:rPr>
        <w:t xml:space="preserve">Der entscheidende Punkt: </w:t>
      </w:r>
      <w:r>
        <w:rPr>
          <w:sz w:val="22"/>
          <w:szCs w:val="22"/>
        </w:rPr>
        <w:t>Burning hört nie auf. Solange ETH-Rewards fließen, gibt es immer einen Anreiz zu burnen. Die Deflation ist permanent, nicht zeitlich begrenzt.</w:t>
      </w:r>
    </w:p>
    <w:p>
      <w:pPr>
        <w:pStyle w:val="Heading2"/>
        <w:rPr/>
      </w:pPr>
      <w:bookmarkStart w:id="8" w:name="__RefHeading___Toc3845_4185582242"/>
      <w:bookmarkEnd w:id="8"/>
      <w:r>
        <w:rPr/>
        <w:t>3.2 Streak-System: Spieltheorie als Bindung</w:t>
      </w:r>
    </w:p>
    <w:p>
      <w:pPr>
        <w:pStyle w:val="Normal"/>
        <w:spacing w:before="0" w:after="120"/>
        <w:rPr/>
      </w:pPr>
      <w:r>
        <w:rPr>
          <w:sz w:val="22"/>
          <w:szCs w:val="22"/>
        </w:rPr>
        <w:t>Aufeinanderfolgende Epochs bauen einen Streak auf. Jede Epoch erhöht den Multiplikator um +0,2x, bis maximal 3,0x nach 11 Epochs (~88 Tage). Eine verpasste Epoch setzt alles auf 1,0x zurück.</w:t>
        <w:br/>
        <w:br/>
      </w:r>
      <w:r>
        <w:rPr>
          <w:sz w:val="22"/>
          <w:szCs w:val="22"/>
        </w:rPr>
        <w:drawing>
          <wp:inline distT="0" distB="0" distL="0" distR="0">
            <wp:extent cx="5029200" cy="2797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
                    <a:stretch>
                      <a:fillRect/>
                    </a:stretch>
                  </pic:blipFill>
                  <pic:spPr bwMode="auto">
                    <a:xfrm>
                      <a:off x="0" y="0"/>
                      <a:ext cx="5029200" cy="2797175"/>
                    </a:xfrm>
                    <a:prstGeom prst="rect">
                      <a:avLst/>
                    </a:prstGeom>
                    <a:noFill/>
                  </pic:spPr>
                </pic:pic>
              </a:graphicData>
            </a:graphic>
          </wp:inline>
        </w:drawing>
      </w:r>
      <w:r>
        <w:rPr>
          <w:sz w:val="22"/>
          <w:szCs w:val="22"/>
        </w:rPr>
        <w:br/>
        <w:br/>
      </w:r>
      <w:r>
        <w:rPr>
          <w:b/>
          <w:sz w:val="22"/>
          <w:szCs w:val="22"/>
        </w:rPr>
        <w:t xml:space="preserve">Warum das funktioniert: </w:t>
      </w:r>
      <w:r>
        <w:rPr>
          <w:sz w:val="22"/>
          <w:szCs w:val="22"/>
        </w:rPr>
        <w:t>Ein User mit 2.4x Streak (8 konsekutive Epochs) bräuchte 8 weitere Epochs zum Wiederaufbau. Die Angst vor dem Streak-Verlust hält Teilnehmer aktiv — genau das treibt den perpetuellen Burn.</w:t>
      </w:r>
    </w:p>
    <w:p>
      <w:pPr>
        <w:pStyle w:val="Heading2"/>
        <w:rPr/>
      </w:pPr>
      <w:bookmarkStart w:id="9" w:name="__RefHeading___Toc3847_4185582242"/>
      <w:bookmarkEnd w:id="9"/>
      <w:r>
        <w:rPr/>
        <w:t>3.3 Burn-to-Boost Staking ("Fuel")</w:t>
      </w:r>
    </w:p>
    <w:p>
      <w:pPr>
        <w:pStyle w:val="Normal"/>
        <w:spacing w:before="0" w:after="120"/>
        <w:rPr/>
      </w:pPr>
      <w:r>
        <w:rPr>
          <w:sz w:val="22"/>
          <w:szCs w:val="22"/>
        </w:rPr>
        <w:t>Staker können ihre Shares aktiv erhöhen, indem sie TitanX/DragonX als "Fuel" verbrennen. DragonX gibt 2x Fuel. Maximum: +50% Shares. Dreifacher Deflationsdruck: Minting + Epochs + Fuel.</w:t>
      </w:r>
    </w:p>
    <w:p>
      <w:pPr>
        <w:pStyle w:val="Normal"/>
        <w:rPr/>
      </w:pPr>
      <w:r>
        <w:rPr/>
      </w:r>
      <w:r>
        <w:br w:type="page"/>
      </w:r>
    </w:p>
    <w:p>
      <w:pPr>
        <w:pStyle w:val="Heading1"/>
        <w:spacing w:before="0" w:after="200"/>
        <w:rPr/>
      </w:pPr>
      <w:bookmarkStart w:id="10" w:name="__RefHeading___Toc3849_4185582242"/>
      <w:bookmarkEnd w:id="10"/>
      <w:r>
        <w:rPr/>
        <w:t>4. Das Deflations-Schwungrad</w:t>
      </w:r>
    </w:p>
    <w:p>
      <w:pPr>
        <w:pStyle w:val="Normal"/>
        <w:spacing w:before="0" w:after="120"/>
        <w:rPr/>
      </w:pPr>
      <w:r>
        <w:rPr>
          <w:b/>
          <w:bCs/>
          <w:sz w:val="22"/>
          <w:szCs w:val="22"/>
        </w:rPr>
        <w:tab/>
      </w:r>
      <w:r>
        <w:rPr>
          <w:b/>
          <w:bCs/>
          <w:sz w:val="22"/>
          <w:szCs w:val="22"/>
        </w:rPr>
        <w:drawing>
          <wp:inline distT="0" distB="0" distL="0" distR="0">
            <wp:extent cx="4114800" cy="4272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
                    <a:stretch>
                      <a:fillRect/>
                    </a:stretch>
                  </pic:blipFill>
                  <pic:spPr bwMode="auto">
                    <a:xfrm>
                      <a:off x="0" y="0"/>
                      <a:ext cx="4114800" cy="4272915"/>
                    </a:xfrm>
                    <a:prstGeom prst="rect">
                      <a:avLst/>
                    </a:prstGeom>
                    <a:noFill/>
                  </pic:spPr>
                </pic:pic>
              </a:graphicData>
            </a:graphic>
          </wp:inline>
        </w:drawing>
      </w:r>
      <w:r>
        <w:rPr>
          <w:b/>
          <w:bCs/>
          <w:sz w:val="22"/>
          <w:szCs w:val="22"/>
        </w:rPr>
        <w:tab/>
        <w:br/>
        <w:br/>
        <w:t>Schritt 1:</w:t>
      </w:r>
    </w:p>
    <w:p>
      <w:pPr>
        <w:pStyle w:val="Normal"/>
        <w:spacing w:before="0" w:after="120"/>
        <w:rPr/>
      </w:pPr>
      <w:r>
        <w:rPr>
          <w:sz w:val="22"/>
          <w:szCs w:val="22"/>
        </w:rPr>
        <w:t>User verbrennen TitanX/DragonX (Genesis, Epochs oder Fuel)</w:t>
      </w:r>
    </w:p>
    <w:p>
      <w:pPr>
        <w:pStyle w:val="Normal"/>
        <w:spacing w:before="0" w:after="120"/>
        <w:rPr/>
      </w:pPr>
      <w:r>
        <w:rPr>
          <w:b/>
          <w:bCs/>
          <w:sz w:val="22"/>
          <w:szCs w:val="22"/>
        </w:rPr>
        <w:t>Schritt 2:</w:t>
      </w:r>
    </w:p>
    <w:p>
      <w:pPr>
        <w:pStyle w:val="Normal"/>
        <w:spacing w:before="0" w:after="120"/>
        <w:rPr/>
      </w:pPr>
      <w:r>
        <w:rPr>
          <w:sz w:val="22"/>
          <w:szCs w:val="22"/>
        </w:rPr>
        <w:t>35% permanent verbrannt, 35% DragonX Vault, 22% auto-gestakt im Contract (3.500 Tage), 8% für LP-Erstellung</w:t>
      </w:r>
    </w:p>
    <w:p>
      <w:pPr>
        <w:pStyle w:val="Normal"/>
        <w:spacing w:before="0" w:after="120"/>
        <w:rPr/>
      </w:pPr>
      <w:r>
        <w:rPr>
          <w:b/>
          <w:bCs/>
          <w:sz w:val="22"/>
          <w:szCs w:val="22"/>
        </w:rPr>
        <w:t>Schritt 3:</w:t>
      </w:r>
    </w:p>
    <w:p>
      <w:pPr>
        <w:pStyle w:val="Normal"/>
        <w:spacing w:before="0" w:after="120"/>
        <w:rPr/>
      </w:pPr>
      <w:r>
        <w:rPr>
          <w:sz w:val="22"/>
          <w:szCs w:val="22"/>
        </w:rPr>
        <w:t>Gestaktes TitanX generiert ETH bei jedem Auszahlungszyklus</w:t>
      </w:r>
    </w:p>
    <w:p>
      <w:pPr>
        <w:pStyle w:val="Normal"/>
        <w:spacing w:before="0" w:after="120"/>
        <w:rPr/>
      </w:pPr>
      <w:r>
        <w:rPr>
          <w:b/>
          <w:bCs/>
          <w:sz w:val="22"/>
          <w:szCs w:val="22"/>
        </w:rPr>
        <w:t>Schritt 4:</w:t>
      </w:r>
    </w:p>
    <w:p>
      <w:pPr>
        <w:pStyle w:val="Normal"/>
        <w:spacing w:before="0" w:after="120"/>
        <w:rPr/>
      </w:pPr>
      <w:r>
        <w:rPr>
          <w:sz w:val="22"/>
          <w:szCs w:val="22"/>
        </w:rPr>
        <w:t>80% der Epoch-ETH an Burner, 20% an BuyAndBurn</w:t>
      </w:r>
    </w:p>
    <w:p>
      <w:pPr>
        <w:pStyle w:val="Normal"/>
        <w:spacing w:before="0" w:after="120"/>
        <w:rPr/>
      </w:pPr>
      <w:r>
        <w:rPr>
          <w:b/>
          <w:bCs/>
          <w:sz w:val="22"/>
          <w:szCs w:val="22"/>
        </w:rPr>
        <w:t>Schritt 5:</w:t>
      </w:r>
    </w:p>
    <w:p>
      <w:pPr>
        <w:pStyle w:val="Normal"/>
        <w:spacing w:before="0" w:after="120"/>
        <w:rPr/>
      </w:pPr>
      <w:r>
        <w:rPr>
          <w:sz w:val="22"/>
          <w:szCs w:val="22"/>
        </w:rPr>
        <w:t>Treasury-Rendite fließt ebenfalls in BuyAndBurn — dauerhafter Kaufdruck</w:t>
      </w:r>
    </w:p>
    <w:p>
      <w:pPr>
        <w:pStyle w:val="Normal"/>
        <w:spacing w:before="0" w:after="120"/>
        <w:rPr/>
      </w:pPr>
      <w:r>
        <w:rPr>
          <w:b/>
          <w:bCs/>
          <w:sz w:val="22"/>
          <w:szCs w:val="22"/>
        </w:rPr>
        <w:t>Schritt 6:</w:t>
      </w:r>
    </w:p>
    <w:p>
      <w:pPr>
        <w:pStyle w:val="Normal"/>
        <w:spacing w:before="0" w:after="120"/>
        <w:rPr/>
      </w:pPr>
      <w:r>
        <w:rPr>
          <w:sz w:val="22"/>
          <w:szCs w:val="22"/>
        </w:rPr>
        <w:t>Mehr Burns → mehr Stakes → mehr ETH → mehr Burner → Wiederholung</w:t>
      </w:r>
    </w:p>
    <w:p>
      <w:pPr>
        <w:pStyle w:val="Normal"/>
        <w:rPr/>
      </w:pPr>
      <w:r>
        <w:rPr/>
      </w:r>
      <w:r>
        <w:br w:type="page"/>
      </w:r>
    </w:p>
    <w:p>
      <w:pPr>
        <w:pStyle w:val="Heading1"/>
        <w:spacing w:before="0" w:after="200"/>
        <w:rPr/>
      </w:pPr>
      <w:bookmarkStart w:id="11" w:name="__RefHeading___Toc3851_4185582242"/>
      <w:bookmarkEnd w:id="11"/>
      <w:r>
        <w:rPr/>
        <w:t>5. Trustless-Architektur</w:t>
      </w:r>
    </w:p>
    <w:p>
      <w:pPr>
        <w:pStyle w:val="Normal"/>
        <w:spacing w:before="0" w:after="120"/>
        <w:rPr/>
      </w:pPr>
      <w:r>
        <w:rPr>
          <w:sz w:val="22"/>
          <w:szCs w:val="22"/>
        </w:rPr>
        <w:t>Das definierende Merkmal von HellBurn v4.0: Das gesamte Protokoll läuft ohne jegliche menschliche Intervention nach dem Deployment.</w:t>
      </w:r>
    </w:p>
    <w:p>
      <w:pPr>
        <w:pStyle w:val="Heading2"/>
        <w:rPr/>
      </w:pPr>
      <w:bookmarkStart w:id="12" w:name="__RefHeading___Toc3853_4185582242"/>
      <w:bookmarkEnd w:id="12"/>
      <w:r>
        <w:rPr/>
        <w:t>5.1 Fair Launch LP</w:t>
      </w:r>
    </w:p>
    <w:p>
      <w:pPr>
        <w:pStyle w:val="Normal"/>
        <w:spacing w:before="0" w:after="120"/>
        <w:rPr/>
      </w:pPr>
      <w:r>
        <w:rPr>
          <w:sz w:val="22"/>
          <w:szCs w:val="22"/>
        </w:rPr>
        <w:t>Während der 28-tägigen Genesis sammeln sich zwei Reserven im Contract an:</w:t>
      </w:r>
    </w:p>
    <w:p>
      <w:pPr>
        <w:pStyle w:val="ListParagraph"/>
        <w:numPr>
          <w:ilvl w:val="0"/>
          <w:numId w:val="2"/>
        </w:numPr>
        <w:spacing w:before="0" w:after="60"/>
        <w:rPr/>
      </w:pPr>
      <w:r>
        <w:rPr>
          <w:b/>
          <w:bCs/>
          <w:sz w:val="22"/>
          <w:szCs w:val="22"/>
        </w:rPr>
        <w:t>LP HBURN Reserve (3%):</w:t>
      </w:r>
      <w:r>
        <w:rPr>
          <w:sz w:val="22"/>
          <w:szCs w:val="22"/>
        </w:rPr>
        <w:t xml:space="preserve"> Bei jedem Mint werden 3% für die LP zurückgehalten.</w:t>
      </w:r>
    </w:p>
    <w:p>
      <w:pPr>
        <w:pStyle w:val="ListParagraph"/>
        <w:numPr>
          <w:ilvl w:val="0"/>
          <w:numId w:val="2"/>
        </w:numPr>
        <w:spacing w:before="0" w:after="60"/>
        <w:rPr/>
      </w:pPr>
      <w:r>
        <w:rPr>
          <w:b/>
          <w:bCs/>
          <w:sz w:val="22"/>
          <w:szCs w:val="22"/>
        </w:rPr>
        <w:t>Genesis Fund (8% TitanX):</w:t>
      </w:r>
      <w:r>
        <w:rPr>
          <w:sz w:val="22"/>
          <w:szCs w:val="22"/>
        </w:rPr>
        <w:t xml:space="preserve"> Bleibt im Contract, wird am Ende zu WETH umgewandelt.</w:t>
      </w:r>
    </w:p>
    <w:p>
      <w:pPr>
        <w:pStyle w:val="Normal"/>
        <w:spacing w:before="0" w:after="120"/>
        <w:rPr/>
      </w:pPr>
      <w:r>
        <w:rPr>
          <w:sz w:val="22"/>
          <w:szCs w:val="22"/>
        </w:rPr>
        <w:t>Wenn jemand endGenesis() nach 28 Tagen aufruft, erstellt der Contract automatisch einen Uniswap V3 Pool. Die LP-NFT ist permanent im Contract gesperrt.</w:t>
      </w:r>
    </w:p>
    <w:p>
      <w:pPr>
        <w:pStyle w:val="Heading2"/>
        <w:rPr/>
      </w:pPr>
      <w:bookmarkStart w:id="13" w:name="__RefHeading___Toc3855_4185582242"/>
      <w:bookmarkEnd w:id="13"/>
      <w:r>
        <w:rPr/>
        <w:t>5.2 Trustless Treasury — Niemand kann abheben</w:t>
      </w:r>
    </w:p>
    <w:p>
      <w:pPr>
        <w:pStyle w:val="Normal"/>
        <w:spacing w:before="0" w:after="120"/>
        <w:rPr/>
      </w:pPr>
      <w:r>
        <w:rPr>
          <w:sz w:val="22"/>
          <w:szCs w:val="22"/>
        </w:rPr>
        <w:t>In v4.0 BLEIBEN die Treasury-TitanX im Genesis-Contract.</w:t>
      </w:r>
    </w:p>
    <w:p>
      <w:pPr>
        <w:pStyle w:val="Normal"/>
        <w:spacing w:before="0" w:after="120"/>
        <w:rPr/>
      </w:pPr>
      <w:r>
        <w:rPr>
          <w:sz w:val="22"/>
          <w:szCs w:val="22"/>
        </w:rPr>
        <w:t>Nach Genesis-Ende kann jeder stakeTreasury() aufrufen, um das TitanX für 3.500 Tage zu staken. Jeder kann dann claimTreasuryYield() aufrufen, um die ETH-Rendite an BuyAndBurn weiterzuleiten.</w:t>
      </w:r>
    </w:p>
    <w:p>
      <w:pPr>
        <w:pStyle w:val="Normal"/>
        <w:spacing w:before="0" w:after="120"/>
        <w:rPr/>
      </w:pPr>
      <w:r>
        <w:rPr>
          <w:b/>
          <w:bCs/>
          <w:sz w:val="22"/>
          <w:szCs w:val="22"/>
        </w:rPr>
        <w:t>Das Ergebnis:</w:t>
      </w:r>
    </w:p>
    <w:p>
      <w:pPr>
        <w:pStyle w:val="ListParagraph"/>
        <w:numPr>
          <w:ilvl w:val="0"/>
          <w:numId w:val="2"/>
        </w:numPr>
        <w:spacing w:before="0" w:after="60"/>
        <w:rPr/>
      </w:pPr>
      <w:r>
        <w:rPr>
          <w:sz w:val="22"/>
          <w:szCs w:val="22"/>
        </w:rPr>
        <w:t>22% aller Genesis-TitanX erzeugen permanenten Kaufdruck auf HBURN</w:t>
      </w:r>
    </w:p>
    <w:p>
      <w:pPr>
        <w:pStyle w:val="ListParagraph"/>
        <w:numPr>
          <w:ilvl w:val="0"/>
          <w:numId w:val="2"/>
        </w:numPr>
        <w:spacing w:before="0" w:after="60"/>
        <w:rPr/>
      </w:pPr>
      <w:r>
        <w:rPr>
          <w:sz w:val="22"/>
          <w:szCs w:val="22"/>
        </w:rPr>
        <w:t>Niemand kann das gestakte TitanX anfassen — 3.500 Tage gesperrt</w:t>
      </w:r>
    </w:p>
    <w:p>
      <w:pPr>
        <w:pStyle w:val="ListParagraph"/>
        <w:numPr>
          <w:ilvl w:val="0"/>
          <w:numId w:val="2"/>
        </w:numPr>
        <w:spacing w:before="0" w:after="60"/>
        <w:rPr/>
      </w:pPr>
      <w:r>
        <w:rPr>
          <w:sz w:val="22"/>
          <w:szCs w:val="22"/>
        </w:rPr>
        <w:t>Niemand kann die ETH-Rendite umleiten — geht immer an BuyAndBurn</w:t>
      </w:r>
    </w:p>
    <w:p>
      <w:pPr>
        <w:pStyle w:val="ListParagraph"/>
        <w:numPr>
          <w:ilvl w:val="0"/>
          <w:numId w:val="2"/>
        </w:numPr>
        <w:spacing w:before="0" w:after="60"/>
        <w:rPr/>
      </w:pPr>
      <w:r>
        <w:rPr>
          <w:sz w:val="22"/>
          <w:szCs w:val="22"/>
        </w:rPr>
        <w:t>Beide Funktionen sind von jedem aufrufbar</w:t>
      </w:r>
    </w:p>
    <w:p>
      <w:pPr>
        <w:pStyle w:val="Heading2"/>
        <w:rPr/>
      </w:pPr>
      <w:bookmarkStart w:id="14" w:name="__RefHeading___Toc3857_4185582242"/>
      <w:bookmarkEnd w:id="14"/>
      <w:r>
        <w:rPr/>
        <w:t>5.3 Kein Guardian, keine Pause</w:t>
      </w:r>
    </w:p>
    <w:p>
      <w:pPr>
        <w:pStyle w:val="Normal"/>
        <w:spacing w:before="0" w:after="120"/>
        <w:rPr/>
      </w:pPr>
      <w:r>
        <w:rPr>
          <w:sz w:val="22"/>
          <w:szCs w:val="22"/>
        </w:rPr>
        <w:t>HellBurn v4.0 entfernt den Guardian vollständig. Nach Deployment laufen die Contracts autonom:</w:t>
      </w:r>
    </w:p>
    <w:p>
      <w:pPr>
        <w:pStyle w:val="ListParagraph"/>
        <w:numPr>
          <w:ilvl w:val="0"/>
          <w:numId w:val="2"/>
        </w:numPr>
        <w:spacing w:before="0" w:after="60"/>
        <w:rPr/>
      </w:pPr>
      <w:r>
        <w:rPr>
          <w:sz w:val="22"/>
          <w:szCs w:val="22"/>
        </w:rPr>
        <w:t>BurnEpochs: Burns und Claims funktionieren immer.</w:t>
      </w:r>
    </w:p>
    <w:p>
      <w:pPr>
        <w:pStyle w:val="ListParagraph"/>
        <w:numPr>
          <w:ilvl w:val="0"/>
          <w:numId w:val="2"/>
        </w:numPr>
        <w:spacing w:before="0" w:after="60"/>
        <w:rPr/>
      </w:pPr>
      <w:r>
        <w:rPr>
          <w:sz w:val="22"/>
          <w:szCs w:val="22"/>
        </w:rPr>
        <w:t>Staking: Stakes und Unstakes funktionieren immer.</w:t>
      </w:r>
    </w:p>
    <w:p>
      <w:pPr>
        <w:pStyle w:val="ListParagraph"/>
        <w:numPr>
          <w:ilvl w:val="0"/>
          <w:numId w:val="2"/>
        </w:numPr>
        <w:spacing w:before="0" w:after="60"/>
        <w:rPr/>
      </w:pPr>
      <w:r>
        <w:rPr>
          <w:sz w:val="22"/>
          <w:szCs w:val="22"/>
        </w:rPr>
        <w:t>GenesisBurn: Vollständig unveränderlich ab Tag 1.</w:t>
      </w:r>
    </w:p>
    <w:p>
      <w:pPr>
        <w:pStyle w:val="ListParagraph"/>
        <w:numPr>
          <w:ilvl w:val="0"/>
          <w:numId w:val="2"/>
        </w:numPr>
        <w:spacing w:before="0" w:after="60"/>
        <w:rPr/>
      </w:pPr>
      <w:r>
        <w:rPr>
          <w:sz w:val="22"/>
          <w:szCs w:val="22"/>
        </w:rPr>
        <w:t>BuyAndBurn: Von jedem aufrufbar. Keine Zugriffskontrolle.</w:t>
      </w:r>
    </w:p>
    <w:p>
      <w:pPr>
        <w:pStyle w:val="Heading2"/>
        <w:rPr/>
      </w:pPr>
      <w:bookmarkStart w:id="15" w:name="__RefHeading___Toc3859_4185582242"/>
      <w:bookmarkEnd w:id="15"/>
      <w:r>
        <w:rPr/>
        <w:t>5.4 Vertrauens-Verifizierung</w:t>
      </w:r>
    </w:p>
    <w:p>
      <w:pPr>
        <w:pStyle w:val="Normal"/>
        <w:spacing w:before="0" w:after="120"/>
        <w:rPr/>
      </w:pPr>
      <w:r>
        <w:rPr>
          <w:sz w:val="22"/>
          <w:szCs w:val="22"/>
        </w:rPr>
        <w:t>Jede Behauptung ist auf Etherscan überprüfbar:</w:t>
      </w:r>
    </w:p>
    <w:tbl>
      <w:tblPr>
        <w:tblW w:w="9500" w:type="dxa"/>
        <w:jc w:val="start"/>
        <w:tblInd w:w="0" w:type="dxa"/>
        <w:tblLayout w:type="fixed"/>
        <w:tblCellMar>
          <w:top w:w="60" w:type="dxa"/>
          <w:start w:w="100" w:type="dxa"/>
          <w:bottom w:w="60" w:type="dxa"/>
          <w:end w:w="100" w:type="dxa"/>
        </w:tblCellMar>
      </w:tblPr>
      <w:tblGrid>
        <w:gridCol w:w="3199"/>
        <w:gridCol w:w="6301"/>
      </w:tblGrid>
      <w:tr>
        <w:trPr/>
        <w:tc>
          <w:tcPr>
            <w:tcW w:w="31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Behauptung</w:t>
            </w:r>
          </w:p>
        </w:tc>
        <w:tc>
          <w:tcPr>
            <w:tcW w:w="63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Verifizierung</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Keine Admin-Keys</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Contract-Source lesen — keine onlyOwner/onlyGuardian Modifier</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Keine Pause</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Nach "pause" im Source suchen — Funktion existiert nicht</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Treasury gesperrt</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treasuryInfo() aufrufen — zeigt Betrag und Stake-Status</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LP permanent gesperrt</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Contract hält LP NFT, keine Transfer-/Withdraw-Funktion</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Angebot fixiert</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genesisMintingEnded() gibt true zurück nach Genesis</w:t>
            </w:r>
          </w:p>
        </w:tc>
      </w:tr>
    </w:tbl>
    <w:p>
      <w:pPr>
        <w:pStyle w:val="Normal"/>
        <w:rPr/>
      </w:pPr>
      <w:r>
        <w:rPr/>
      </w:r>
      <w:r>
        <w:br w:type="page"/>
      </w:r>
    </w:p>
    <w:p>
      <w:pPr>
        <w:pStyle w:val="Heading1"/>
        <w:spacing w:before="0" w:after="200"/>
        <w:rPr/>
      </w:pPr>
      <w:bookmarkStart w:id="16" w:name="__RefHeading___Toc3861_4185582242"/>
      <w:bookmarkEnd w:id="16"/>
      <w:r>
        <w:rPr/>
        <w:t>6. Genesis-Phase — Dein Einstieg</w:t>
      </w:r>
    </w:p>
    <w:p>
      <w:pPr>
        <w:pStyle w:val="Normal"/>
        <w:spacing w:before="0" w:after="120"/>
        <w:rPr/>
      </w:pPr>
      <w:r>
        <w:rPr>
          <w:sz w:val="22"/>
          <w:szCs w:val="22"/>
        </w:rPr>
        <w:t>Die Genesis Burn Phase (28 Tage) ist die einzige Gelegenheit, HBURN zu minten. 3% gehen an die LP-Reserve; Benutzer erhalten 97%.</w:t>
        <w:br/>
      </w:r>
      <w:r>
        <w:rPr>
          <w:sz w:val="22"/>
          <w:szCs w:val="22"/>
        </w:rPr>
        <w:drawing>
          <wp:inline distT="0" distB="0" distL="0" distR="0">
            <wp:extent cx="4572000" cy="289877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5"/>
                    <a:stretch>
                      <a:fillRect/>
                    </a:stretch>
                  </pic:blipFill>
                  <pic:spPr bwMode="auto">
                    <a:xfrm>
                      <a:off x="0" y="0"/>
                      <a:ext cx="4572000" cy="2898775"/>
                    </a:xfrm>
                    <a:prstGeom prst="rect">
                      <a:avLst/>
                    </a:prstGeom>
                    <a:noFill/>
                  </pic:spPr>
                </pic:pic>
              </a:graphicData>
            </a:graphic>
          </wp:inline>
        </w:drawing>
      </w:r>
      <w:r>
        <w:rPr>
          <w:sz w:val="22"/>
          <w:szCs w:val="22"/>
        </w:rPr>
        <w:br/>
      </w:r>
    </w:p>
    <w:tbl>
      <w:tblPr>
        <w:tblW w:w="9000" w:type="dxa"/>
        <w:jc w:val="start"/>
        <w:tblInd w:w="0" w:type="dxa"/>
        <w:tblLayout w:type="fixed"/>
        <w:tblCellMar>
          <w:top w:w="60" w:type="dxa"/>
          <w:start w:w="100" w:type="dxa"/>
          <w:bottom w:w="60" w:type="dxa"/>
          <w:end w:w="100" w:type="dxa"/>
        </w:tblCellMar>
      </w:tblPr>
      <w:tblGrid>
        <w:gridCol w:w="1800"/>
        <w:gridCol w:w="1600"/>
        <w:gridCol w:w="1600"/>
        <w:gridCol w:w="1800"/>
        <w:gridCol w:w="2200"/>
      </w:tblGrid>
      <w:tr>
        <w:trPr/>
        <w:tc>
          <w:tcPr>
            <w:tcW w:w="18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Woche</w:t>
            </w:r>
          </w:p>
        </w:tc>
        <w:tc>
          <w:tcPr>
            <w:tcW w:w="16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Basis</w:t>
            </w:r>
          </w:p>
        </w:tc>
        <w:tc>
          <w:tcPr>
            <w:tcW w:w="16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Bonus</w:t>
            </w:r>
          </w:p>
        </w:tc>
        <w:tc>
          <w:tcPr>
            <w:tcW w:w="18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Effektiv</w:t>
            </w:r>
          </w:p>
        </w:tc>
        <w:tc>
          <w:tcPr>
            <w:tcW w:w="22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User erhält (97%)</w:t>
            </w:r>
          </w:p>
        </w:tc>
      </w:tr>
      <w:tr>
        <w:trPr/>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Woche 1</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1:1,00</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+15%</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1:1,15</w:t>
            </w:r>
          </w:p>
        </w:tc>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1:1,1155</w:t>
            </w:r>
          </w:p>
        </w:tc>
      </w:tr>
      <w:tr>
        <w:trPr/>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Woche 2</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1:0,95</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1:1,045</w:t>
            </w:r>
          </w:p>
        </w:tc>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1:1,0137</w:t>
            </w:r>
          </w:p>
        </w:tc>
      </w:tr>
      <w:tr>
        <w:trPr/>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Woche 3</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1:0,90</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1:0,945</w:t>
            </w:r>
          </w:p>
        </w:tc>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1:0,9167</w:t>
            </w:r>
          </w:p>
        </w:tc>
      </w:tr>
      <w:tr>
        <w:trPr/>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Woche 4</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1:0,85</w:t>
            </w:r>
          </w:p>
        </w:tc>
        <w:tc>
          <w:tcPr>
            <w:tcW w:w="1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Kein</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1:0,85</w:t>
            </w:r>
          </w:p>
        </w:tc>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1:0,8245</w:t>
            </w:r>
          </w:p>
        </w:tc>
      </w:tr>
    </w:tbl>
    <w:p>
      <w:pPr>
        <w:pStyle w:val="Normal"/>
        <w:spacing w:before="0" w:after="80"/>
        <w:rPr/>
      </w:pPr>
      <w:r>
        <w:rPr/>
      </w:r>
    </w:p>
    <w:p>
      <w:pPr>
        <w:pStyle w:val="Normal"/>
        <w:spacing w:before="0" w:after="120"/>
        <w:rPr/>
      </w:pPr>
      <w:r>
        <w:rPr>
          <w:b/>
          <w:bCs/>
          <w:sz w:val="22"/>
          <w:szCs w:val="22"/>
        </w:rPr>
        <w:t>TitanX-Verteilung:</w:t>
      </w:r>
    </w:p>
    <w:p>
      <w:pPr>
        <w:pStyle w:val="ListParagraph"/>
        <w:numPr>
          <w:ilvl w:val="0"/>
          <w:numId w:val="2"/>
        </w:numPr>
        <w:spacing w:before="0" w:after="60"/>
        <w:rPr/>
      </w:pPr>
      <w:r>
        <w:rPr>
          <w:sz w:val="22"/>
          <w:szCs w:val="22"/>
        </w:rPr>
        <w:t>35% permanent verbrannt (Dead Address)</w:t>
      </w:r>
    </w:p>
    <w:p>
      <w:pPr>
        <w:pStyle w:val="ListParagraph"/>
        <w:numPr>
          <w:ilvl w:val="0"/>
          <w:numId w:val="2"/>
        </w:numPr>
        <w:spacing w:before="0" w:after="60"/>
        <w:rPr/>
      </w:pPr>
      <w:r>
        <w:rPr>
          <w:sz w:val="22"/>
          <w:szCs w:val="22"/>
        </w:rPr>
        <w:t>35% DragonX Vault</w:t>
      </w:r>
    </w:p>
    <w:p>
      <w:pPr>
        <w:pStyle w:val="ListParagraph"/>
        <w:numPr>
          <w:ilvl w:val="0"/>
          <w:numId w:val="2"/>
        </w:numPr>
        <w:spacing w:before="0" w:after="60"/>
        <w:rPr/>
      </w:pPr>
      <w:r>
        <w:rPr>
          <w:sz w:val="22"/>
          <w:szCs w:val="22"/>
        </w:rPr>
        <w:t>22% auto-gestakt im Contract (3.500 Tage) — ETH-Rendite → BuyAndBurn</w:t>
      </w:r>
    </w:p>
    <w:p>
      <w:pPr>
        <w:pStyle w:val="ListParagraph"/>
        <w:numPr>
          <w:ilvl w:val="0"/>
          <w:numId w:val="2"/>
        </w:numPr>
        <w:spacing w:before="0" w:after="60"/>
        <w:rPr/>
      </w:pPr>
      <w:r>
        <w:rPr>
          <w:sz w:val="22"/>
          <w:szCs w:val="22"/>
        </w:rPr>
        <w:t>8% Genesis Fund für LP-Erstellung</w:t>
      </w:r>
    </w:p>
    <w:p>
      <w:pPr>
        <w:pStyle w:val="Normal"/>
        <w:rPr/>
      </w:pPr>
      <w:r>
        <w:rPr/>
      </w:r>
      <w:r>
        <w:br w:type="page"/>
      </w:r>
    </w:p>
    <w:p>
      <w:pPr>
        <w:pStyle w:val="Heading1"/>
        <w:spacing w:before="0" w:after="200"/>
        <w:rPr/>
      </w:pPr>
      <w:bookmarkStart w:id="17" w:name="__RefHeading___Toc3863_4185582242"/>
      <w:bookmarkEnd w:id="17"/>
      <w:r>
        <w:rPr/>
        <w:t>7. Burn Epochs — Wettbewerb um ETH</w:t>
      </w:r>
    </w:p>
    <w:p>
      <w:pPr>
        <w:pStyle w:val="Normal"/>
        <w:spacing w:before="0" w:after="120"/>
        <w:rPr/>
      </w:pPr>
      <w:r>
        <w:rPr>
          <w:sz w:val="22"/>
          <w:szCs w:val="22"/>
        </w:rPr>
        <w:t>Nach Genesis beginnen kompetitive Epochs. Alle 8 Tage verbrennen User TitanX (1x) oder DragonX (2x). Am Ende werden ETH-Belohnungen proportional verteilt.</w:t>
        <w:br/>
      </w:r>
      <w:r>
        <w:rPr>
          <w:sz w:val="22"/>
          <w:szCs w:val="22"/>
        </w:rPr>
        <w:drawing>
          <wp:inline distT="0" distB="0" distL="0" distR="0">
            <wp:extent cx="4572000" cy="199072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6"/>
                    <a:stretch>
                      <a:fillRect/>
                    </a:stretch>
                  </pic:blipFill>
                  <pic:spPr bwMode="auto">
                    <a:xfrm>
                      <a:off x="0" y="0"/>
                      <a:ext cx="4572000" cy="1990725"/>
                    </a:xfrm>
                    <a:prstGeom prst="rect">
                      <a:avLst/>
                    </a:prstGeom>
                    <a:noFill/>
                  </pic:spPr>
                </pic:pic>
              </a:graphicData>
            </a:graphic>
          </wp:inline>
        </w:drawing>
      </w:r>
      <w:r>
        <w:rPr>
          <w:sz w:val="22"/>
          <w:szCs w:val="22"/>
        </w:rPr>
        <w:br/>
      </w:r>
    </w:p>
    <w:tbl>
      <w:tblPr>
        <w:tblW w:w="9000" w:type="dxa"/>
        <w:jc w:val="start"/>
        <w:tblInd w:w="0" w:type="dxa"/>
        <w:tblLayout w:type="fixed"/>
        <w:tblCellMar>
          <w:top w:w="60" w:type="dxa"/>
          <w:start w:w="100" w:type="dxa"/>
          <w:bottom w:w="60" w:type="dxa"/>
          <w:end w:w="100" w:type="dxa"/>
        </w:tblCellMar>
      </w:tblPr>
      <w:tblGrid>
        <w:gridCol w:w="2199"/>
        <w:gridCol w:w="2001"/>
        <w:gridCol w:w="1800"/>
        <w:gridCol w:w="3000"/>
      </w:tblGrid>
      <w:tr>
        <w:trPr/>
        <w:tc>
          <w:tcPr>
            <w:tcW w:w="21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Epochs</w:t>
            </w:r>
          </w:p>
        </w:tc>
        <w:tc>
          <w:tcPr>
            <w:tcW w:w="20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Multiplikator</w:t>
            </w:r>
          </w:p>
        </w:tc>
        <w:tc>
          <w:tcPr>
            <w:tcW w:w="18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Zeitraum</w:t>
            </w:r>
          </w:p>
        </w:tc>
        <w:tc>
          <w:tcPr>
            <w:tcW w:w="30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Belohnung vs. 1,0x</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1,0x</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 Tage</w:t>
            </w:r>
          </w:p>
        </w:tc>
        <w:tc>
          <w:tcPr>
            <w:tcW w:w="3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Basis</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1,4x</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24 Tage</w:t>
            </w:r>
          </w:p>
        </w:tc>
        <w:tc>
          <w:tcPr>
            <w:tcW w:w="3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+40%</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1,8x</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40 Tage</w:t>
            </w:r>
          </w:p>
        </w:tc>
        <w:tc>
          <w:tcPr>
            <w:tcW w:w="3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+80%</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2,4x</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64 Tage</w:t>
            </w:r>
          </w:p>
        </w:tc>
        <w:tc>
          <w:tcPr>
            <w:tcW w:w="3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+140%</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3,0x (MAX)</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88+ Tage</w:t>
            </w:r>
          </w:p>
        </w:tc>
        <w:tc>
          <w:tcPr>
            <w:tcW w:w="30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+200%</w:t>
            </w:r>
          </w:p>
        </w:tc>
      </w:tr>
    </w:tbl>
    <w:p>
      <w:pPr>
        <w:pStyle w:val="Normal"/>
        <w:rPr/>
      </w:pPr>
      <w:r>
        <w:rPr/>
      </w:r>
      <w:r>
        <w:br w:type="page"/>
      </w:r>
    </w:p>
    <w:p>
      <w:pPr>
        <w:pStyle w:val="Heading1"/>
        <w:spacing w:before="0" w:after="200"/>
        <w:rPr/>
      </w:pPr>
      <w:bookmarkStart w:id="18" w:name="__RefHeading___Toc3865_4185582242"/>
      <w:bookmarkEnd w:id="18"/>
      <w:r>
        <w:rPr/>
        <w:t>8. Staking &amp; echte Rendite</w:t>
      </w:r>
    </w:p>
    <w:p>
      <w:pPr>
        <w:pStyle w:val="Normal"/>
        <w:spacing w:before="0" w:after="120"/>
        <w:rPr/>
      </w:pPr>
      <w:r>
        <w:rPr>
          <w:sz w:val="22"/>
          <w:szCs w:val="22"/>
        </w:rPr>
        <w:t>HBURN-Staking bietet echte ETH-Rendite. Shares = Betrag × Zeitbonus × Fuel-Bonus × Loyalitätsbonus.</w:t>
      </w:r>
    </w:p>
    <w:p>
      <w:pPr>
        <w:pStyle w:val="Normal"/>
        <w:spacing w:before="0" w:after="120"/>
        <w:rPr/>
      </w:pPr>
      <w:r>
        <w:rPr>
          <w:sz w:val="22"/>
          <w:szCs w:val="22"/>
        </w:rPr>
        <w:t>Strafe bei vorzeitigem Ausstieg: 50% permanent verbrannt, 50% bleibt im Staking-Contract.</w:t>
      </w:r>
    </w:p>
    <w:p>
      <w:pPr>
        <w:pStyle w:val="Normal"/>
        <w:spacing w:before="0" w:after="120"/>
        <w:rPr/>
      </w:pPr>
      <w:r>
        <w:rPr>
          <w:sz w:val="22"/>
          <w:szCs w:val="22"/>
        </w:rPr>
        <w:t>Keine Pause möglich: User können jederzeit staken und unstaken.</w:t>
      </w:r>
    </w:p>
    <w:p>
      <w:pPr>
        <w:pStyle w:val="Normal"/>
        <w:rPr/>
      </w:pPr>
      <w:r>
        <w:rPr/>
      </w:r>
    </w:p>
    <w:p>
      <w:pPr>
        <w:pStyle w:val="Normal"/>
        <w:rPr/>
      </w:pPr>
      <w:r>
        <w:rPr/>
        <w:drawing>
          <wp:inline distT="0" distB="0" distL="0" distR="0">
            <wp:extent cx="4572000" cy="2536190"/>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noChangeArrowheads="1"/>
                    </pic:cNvPicPr>
                  </pic:nvPicPr>
                  <pic:blipFill>
                    <a:blip r:embed="rId7"/>
                    <a:stretch>
                      <a:fillRect/>
                    </a:stretch>
                  </pic:blipFill>
                  <pic:spPr bwMode="auto">
                    <a:xfrm>
                      <a:off x="0" y="0"/>
                      <a:ext cx="4572000" cy="2536190"/>
                    </a:xfrm>
                    <a:prstGeom prst="rect">
                      <a:avLst/>
                    </a:prstGeom>
                    <a:noFill/>
                  </pic:spPr>
                </pic:pic>
              </a:graphicData>
            </a:graphic>
          </wp:inline>
        </w:drawing>
      </w:r>
      <w:r>
        <w:br w:type="page"/>
      </w:r>
    </w:p>
    <w:p>
      <w:pPr>
        <w:pStyle w:val="Heading1"/>
        <w:spacing w:before="0" w:after="200"/>
        <w:rPr/>
      </w:pPr>
      <w:bookmarkStart w:id="19" w:name="__RefHeading___Toc3867_4185582242"/>
      <w:bookmarkEnd w:id="19"/>
      <w:r>
        <w:rPr/>
        <w:t>9. Tokenomics</w:t>
      </w:r>
    </w:p>
    <w:tbl>
      <w:tblPr>
        <w:tblW w:w="9500" w:type="dxa"/>
        <w:jc w:val="start"/>
        <w:tblInd w:w="0" w:type="dxa"/>
        <w:tblLayout w:type="fixed"/>
        <w:tblCellMar>
          <w:top w:w="60" w:type="dxa"/>
          <w:start w:w="100" w:type="dxa"/>
          <w:bottom w:w="60" w:type="dxa"/>
          <w:end w:w="100" w:type="dxa"/>
        </w:tblCellMar>
      </w:tblPr>
      <w:tblGrid>
        <w:gridCol w:w="3199"/>
        <w:gridCol w:w="6301"/>
      </w:tblGrid>
      <w:tr>
        <w:trPr/>
        <w:tc>
          <w:tcPr>
            <w:tcW w:w="31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Parameter</w:t>
            </w:r>
          </w:p>
        </w:tc>
        <w:tc>
          <w:tcPr>
            <w:tcW w:w="63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Wert</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Name / Ticker</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HellBurn / HBURN</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Standard</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ERC-20 (Ethereum)</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Gesamtangebot</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Bestimmt durch Genesis, dann permanent fixiert</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Inflationsrate</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0% — kein weiteres Minting möglich</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LP Reserve</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 geminteter HBURN → Contract-erstellte Uniswap V3 LP</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Treasury</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22% TitanX auto-gestakt 3.500 Tage — Rendite → BuyAndBurn</w:t>
            </w:r>
          </w:p>
        </w:tc>
      </w:tr>
      <w:tr>
        <w:trPr/>
        <w:tc>
          <w:tcPr>
            <w:tcW w:w="3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Admin-Schlüssel</w:t>
            </w:r>
          </w:p>
        </w:tc>
        <w:tc>
          <w:tcPr>
            <w:tcW w:w="63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Keine — kein Owner, kein Guardian, keine Pause</w:t>
            </w:r>
          </w:p>
        </w:tc>
      </w:tr>
    </w:tbl>
    <w:p>
      <w:pPr>
        <w:pStyle w:val="Normal"/>
        <w:rPr/>
      </w:pPr>
      <w:r>
        <w:rPr/>
      </w:r>
      <w:r>
        <w:br w:type="page"/>
      </w:r>
    </w:p>
    <w:p>
      <w:pPr>
        <w:pStyle w:val="Heading1"/>
        <w:spacing w:before="0" w:after="200"/>
        <w:rPr/>
      </w:pPr>
      <w:bookmarkStart w:id="20" w:name="__RefHeading___Toc3869_4185582242"/>
      <w:bookmarkEnd w:id="20"/>
      <w:r>
        <w:rPr/>
        <w:t>10. Tag 888 Strategie</w:t>
      </w:r>
    </w:p>
    <w:p>
      <w:pPr>
        <w:pStyle w:val="Normal"/>
        <w:spacing w:before="0" w:after="120"/>
        <w:rPr/>
      </w:pPr>
      <w:r>
        <w:rPr>
          <w:sz w:val="22"/>
          <w:szCs w:val="22"/>
        </w:rPr>
        <w:t>TitanX Tag 888 ist das größte Auszahlungsereignis: ~727 ETH (~$2,39M). Die 22% Treasury-TitanX im Contract bauen Stake-Anteile für diese Auszahlung auf. Jeder kann claimTreasuryYield() aufrufen, um die ETH durch BuyAndBurn zu leiten.</w:t>
      </w:r>
    </w:p>
    <w:p>
      <w:pPr>
        <w:pStyle w:val="Normal"/>
        <w:rPr/>
      </w:pPr>
      <w:r>
        <w:rPr/>
      </w:r>
      <w:r>
        <w:br w:type="page"/>
      </w:r>
    </w:p>
    <w:p>
      <w:pPr>
        <w:pStyle w:val="Heading1"/>
        <w:spacing w:before="0" w:after="200"/>
        <w:rPr/>
      </w:pPr>
      <w:bookmarkStart w:id="21" w:name="__RefHeading___Toc3871_4185582242"/>
      <w:bookmarkEnd w:id="21"/>
      <w:r>
        <w:rPr/>
        <w:t>11. Anti-Dump Mechanismen</w:t>
      </w:r>
    </w:p>
    <w:tbl>
      <w:tblPr>
        <w:tblW w:w="9000" w:type="dxa"/>
        <w:jc w:val="start"/>
        <w:tblInd w:w="0" w:type="dxa"/>
        <w:tblLayout w:type="fixed"/>
        <w:tblCellMar>
          <w:top w:w="60" w:type="dxa"/>
          <w:start w:w="100" w:type="dxa"/>
          <w:bottom w:w="60" w:type="dxa"/>
          <w:end w:w="100" w:type="dxa"/>
        </w:tblCellMar>
      </w:tblPr>
      <w:tblGrid>
        <w:gridCol w:w="2199"/>
        <w:gridCol w:w="3600"/>
        <w:gridCol w:w="3201"/>
      </w:tblGrid>
      <w:tr>
        <w:trPr/>
        <w:tc>
          <w:tcPr>
            <w:tcW w:w="21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Ebene</w:t>
            </w:r>
          </w:p>
        </w:tc>
        <w:tc>
          <w:tcPr>
            <w:tcW w:w="36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Mechanismus</w:t>
            </w:r>
          </w:p>
        </w:tc>
        <w:tc>
          <w:tcPr>
            <w:tcW w:w="32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Effekt</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 Fair Launch</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Contract-erstellte LP, keine Insider-Tokens</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Kein Pre-Mine-Dump möglich</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 Trustless Treasury</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22% TitanX im Contract gesperrt</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Kein Founder-Rug möglich</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 Vesting</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25% sofort, 75% über 28 Tage</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Kein Tag-1-Dump</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4. Strafen</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Gesperrt bis 50%, steigende Strafe</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Früher Ausstieg kostet bis 50%</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 Loyalität</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1,1x Bonus bei Restake</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Anreiz zum Halten</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6. Buy &amp; Burn</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20% Epoch-ETH + Treasury-Rendite</w:t>
            </w:r>
          </w:p>
        </w:tc>
        <w:tc>
          <w:tcPr>
            <w:tcW w:w="32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Dauerhafter Kaufdruck</w:t>
            </w:r>
          </w:p>
        </w:tc>
      </w:tr>
    </w:tbl>
    <w:p>
      <w:pPr>
        <w:pStyle w:val="Normal"/>
        <w:rPr/>
      </w:pPr>
      <w:r>
        <w:rPr/>
      </w:r>
      <w:r>
        <w:br w:type="page"/>
      </w:r>
    </w:p>
    <w:p>
      <w:pPr>
        <w:pStyle w:val="Heading1"/>
        <w:spacing w:before="0" w:after="200"/>
        <w:rPr/>
      </w:pPr>
      <w:bookmarkStart w:id="22" w:name="__RefHeading___Toc3873_4185582242"/>
      <w:bookmarkEnd w:id="22"/>
      <w:r>
        <w:rPr/>
        <w:t>12. 12-Monats-Projektionen</w:t>
      </w:r>
    </w:p>
    <w:p>
      <w:pPr>
        <w:pStyle w:val="Normal"/>
        <w:spacing w:before="0" w:after="120"/>
        <w:rPr/>
      </w:pPr>
      <w:r>
        <w:rPr>
          <w:i/>
          <w:iCs/>
          <w:color w:val="666666"/>
          <w:sz w:val="22"/>
          <w:szCs w:val="22"/>
        </w:rPr>
        <w:t>WICHTIG: Hypothetische Szenarien, KEINE Finanzberatung oder Garantien.</w:t>
      </w:r>
    </w:p>
    <w:p>
      <w:pPr>
        <w:pStyle w:val="Normal"/>
        <w:spacing w:before="0" w:after="120"/>
        <w:rPr/>
      </w:pPr>
      <w:r>
        <w:rPr>
          <w:sz w:val="22"/>
          <w:szCs w:val="22"/>
        </w:rPr>
        <w:t>Best Case (~50x): Bullenmarkt, viraler Tag 888, hohe Streak-Adoption.</w:t>
      </w:r>
    </w:p>
    <w:p>
      <w:pPr>
        <w:pStyle w:val="Normal"/>
        <w:spacing w:before="0" w:after="120"/>
        <w:rPr/>
      </w:pPr>
      <w:r>
        <w:rPr>
          <w:sz w:val="22"/>
          <w:szCs w:val="22"/>
        </w:rPr>
        <w:t>Base Case (~12x): Solide Community, stetige Beteiligung, organisches Wachstum.</w:t>
      </w:r>
    </w:p>
    <w:p>
      <w:pPr>
        <w:pStyle w:val="Normal"/>
        <w:spacing w:before="0" w:after="120"/>
        <w:rPr/>
      </w:pPr>
      <w:r>
        <w:rPr>
          <w:sz w:val="22"/>
          <w:szCs w:val="22"/>
        </w:rPr>
        <w:t>Worst Case (~0,6x): Bärenmarkt, niedrige Beteiligung, aber deflationäre Mechanik bietet Boden.</w:t>
      </w:r>
    </w:p>
    <w:p>
      <w:pPr>
        <w:pStyle w:val="Normal"/>
        <w:rPr/>
      </w:pPr>
      <w:r>
        <w:rPr/>
      </w:r>
      <w:r>
        <w:br w:type="page"/>
      </w:r>
    </w:p>
    <w:p>
      <w:pPr>
        <w:pStyle w:val="Heading1"/>
        <w:spacing w:before="0" w:after="200"/>
        <w:rPr/>
      </w:pPr>
      <w:bookmarkStart w:id="23" w:name="__RefHeading___Toc3875_4185582242"/>
      <w:bookmarkEnd w:id="23"/>
      <w:r>
        <w:rPr/>
        <w:t>13. Roadmap</w:t>
      </w:r>
    </w:p>
    <w:tbl>
      <w:tblPr>
        <w:tblW w:w="9500" w:type="dxa"/>
        <w:jc w:val="start"/>
        <w:tblInd w:w="0" w:type="dxa"/>
        <w:tblLayout w:type="fixed"/>
        <w:tblCellMar>
          <w:top w:w="60" w:type="dxa"/>
          <w:start w:w="100" w:type="dxa"/>
          <w:bottom w:w="60" w:type="dxa"/>
          <w:end w:w="100" w:type="dxa"/>
        </w:tblCellMar>
      </w:tblPr>
      <w:tblGrid>
        <w:gridCol w:w="1599"/>
        <w:gridCol w:w="2401"/>
        <w:gridCol w:w="5500"/>
      </w:tblGrid>
      <w:tr>
        <w:trPr/>
        <w:tc>
          <w:tcPr>
            <w:tcW w:w="1599"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Phase</w:t>
            </w:r>
          </w:p>
        </w:tc>
        <w:tc>
          <w:tcPr>
            <w:tcW w:w="2401"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Zeitraum</w:t>
            </w:r>
          </w:p>
        </w:tc>
        <w:tc>
          <w:tcPr>
            <w:tcW w:w="55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Meilensteine</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Phase 0</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März 2026</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Smart Contract Entwicklung, Tests, Community-Aufbau</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Phase 1</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Vor Tag 888</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Deployment, Audit (inkl. Trustless Delta-Audit), Genesis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Phase 2</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Tag 888</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Payout Capture, Burn-Kaskade, Marketing</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Phase 3</w:t>
            </w:r>
          </w:p>
        </w:tc>
        <w:tc>
          <w:tcPr>
            <w:tcW w:w="24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Tag 888+</w:t>
            </w:r>
          </w:p>
        </w:tc>
        <w:tc>
          <w:tcPr>
            <w:tcW w:w="5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Auto LP + Treasury Stake, Epoch 1, UI Launch</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c>
          <w:tcPr>
            <w:tcW w:w="2401"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c>
          <w:tcPr>
            <w:tcW w:w="5500"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c>
          <w:tcPr>
            <w:tcW w:w="2401"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c>
          <w:tcPr>
            <w:tcW w:w="5500"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
          </w:p>
        </w:tc>
      </w:tr>
    </w:tbl>
    <w:p>
      <w:pPr>
        <w:pStyle w:val="Normal"/>
        <w:rPr/>
      </w:pPr>
      <w:r>
        <w:rPr/>
      </w:r>
      <w:r>
        <w:br w:type="page"/>
      </w:r>
    </w:p>
    <w:p>
      <w:pPr>
        <w:pStyle w:val="Heading1"/>
        <w:spacing w:before="0" w:after="200"/>
        <w:rPr/>
      </w:pPr>
      <w:bookmarkStart w:id="24" w:name="__RefHeading___Toc3877_4185582242"/>
      <w:bookmarkEnd w:id="24"/>
      <w:r>
        <w:rPr/>
        <w:t>14. Risiken &amp; Haftungsausschluss</w:t>
      </w:r>
    </w:p>
    <w:tbl>
      <w:tblPr>
        <w:tblW w:w="9500" w:type="dxa"/>
        <w:jc w:val="start"/>
        <w:tblInd w:w="0" w:type="dxa"/>
        <w:tblLayout w:type="fixed"/>
        <w:tblCellMar>
          <w:top w:w="60" w:type="dxa"/>
          <w:start w:w="100" w:type="dxa"/>
          <w:bottom w:w="60" w:type="dxa"/>
          <w:end w:w="100" w:type="dxa"/>
        </w:tblCellMar>
      </w:tblPr>
      <w:tblGrid>
        <w:gridCol w:w="2200"/>
        <w:gridCol w:w="3400"/>
        <w:gridCol w:w="3900"/>
      </w:tblGrid>
      <w:tr>
        <w:trPr/>
        <w:tc>
          <w:tcPr>
            <w:tcW w:w="22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Risiko</w:t>
            </w:r>
          </w:p>
        </w:tc>
        <w:tc>
          <w:tcPr>
            <w:tcW w:w="34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Beschreibung</w:t>
            </w:r>
          </w:p>
        </w:tc>
        <w:tc>
          <w:tcPr>
            <w:tcW w:w="3900" w:type="dxa"/>
            <w:tcBorders>
              <w:top w:val="single" w:sz="2" w:space="0" w:color="CCCCCC"/>
              <w:start w:val="single" w:sz="2" w:space="0" w:color="CCCCCC"/>
              <w:bottom w:val="single" w:sz="2" w:space="0" w:color="CCCCCC"/>
              <w:end w:val="single" w:sz="2" w:space="0" w:color="CCCCCC"/>
            </w:tcBorders>
            <w:shd w:fill="E85D04" w:val="clear"/>
          </w:tcPr>
          <w:p>
            <w:pPr>
              <w:pStyle w:val="Normal"/>
              <w:rPr/>
            </w:pPr>
            <w:r>
              <w:rPr>
                <w:rFonts w:eastAsia="Arial" w:cs="Arial"/>
                <w:b/>
                <w:bCs/>
                <w:color w:val="FFFFFF"/>
                <w:sz w:val="20"/>
                <w:szCs w:val="20"/>
              </w:rPr>
              <w:t>Mitigation</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Smart Contract</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Contracts können Bugs haben</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Tests, Slither, SkyWolf-Audit</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Marktrisiko</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Krypto ist extrem volatil</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Deflationäre Mechanik als Stütze</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Abhängigkeit</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HellBurn hängt von TitanX ab</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Diversifizierte Burns</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Kein Notfall-Stopp</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Keine Pause bedeutet Bugs nicht stoppbar</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Extensives Testing, unveränderlich = keine Angriffsfläche</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Adoption</w:t>
            </w:r>
          </w:p>
        </w:tc>
        <w:tc>
          <w:tcPr>
            <w:tcW w:w="3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Protokoll braucht aktive Teilnehmer</w:t>
            </w:r>
          </w:p>
        </w:tc>
        <w:tc>
          <w:tcPr>
            <w:tcW w:w="39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Streak-System bindet User</w:t>
            </w:r>
          </w:p>
        </w:tc>
      </w:tr>
    </w:tbl>
    <w:p>
      <w:pPr>
        <w:pStyle w:val="Normal"/>
        <w:spacing w:before="0" w:after="80"/>
        <w:rPr/>
      </w:pPr>
      <w:r>
        <w:rPr/>
      </w:r>
    </w:p>
    <w:p>
      <w:pPr>
        <w:pStyle w:val="Normal"/>
        <w:spacing w:before="600" w:after="0"/>
        <w:jc w:val="center"/>
        <w:rPr/>
      </w:pPr>
      <w:r>
        <w:rPr>
          <w:b/>
          <w:bCs/>
          <w:color w:val="E85D04"/>
          <w:sz w:val="26"/>
          <w:szCs w:val="26"/>
        </w:rPr>
        <w:t>HELLBURN — Burn to Earn. Compete to Win.</w:t>
      </w:r>
    </w:p>
    <w:p>
      <w:pPr>
        <w:pStyle w:val="Normal"/>
        <w:jc w:val="center"/>
        <w:rPr/>
      </w:pPr>
      <w:r>
        <w:rPr>
          <w:color w:val="666666"/>
          <w:sz w:val="22"/>
          <w:szCs w:val="22"/>
        </w:rPr>
        <w:t>Vollständig Trustless. Keine Admin-Keys. Kein Guardian. Keine Pause.</w:t>
      </w:r>
    </w:p>
    <w:sectPr>
      <w:type w:val="nextPage"/>
      <w:pgSz w:w="11906" w:h="16838"/>
      <w:pgMar w:left="1200" w:right="12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zoom w:percent="14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2E"/>
        <w:sz w:val="22"/>
        <w:szCs w:val="22"/>
        <w:lang w:val="de-AT"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1A1A2E"/>
      <w:kern w:val="0"/>
      <w:sz w:val="22"/>
      <w:szCs w:val="22"/>
      <w:lang w:val="de-AT" w:eastAsia="zh-CN" w:bidi="hi-IN"/>
    </w:rPr>
  </w:style>
  <w:style w:type="paragraph" w:styleId="Heading1">
    <w:name w:val="heading 1"/>
    <w:basedOn w:val="berschrift"/>
    <w:qFormat/>
    <w:pPr>
      <w:spacing w:before="360" w:after="200"/>
      <w:outlineLvl w:val="0"/>
    </w:pPr>
    <w:rPr>
      <w:rFonts w:ascii="Arial" w:hAnsi="Arial" w:eastAsia="Arial" w:cs="Arial"/>
      <w:b/>
      <w:bCs/>
      <w:color w:val="E85D04"/>
      <w:sz w:val="32"/>
      <w:szCs w:val="32"/>
    </w:rPr>
  </w:style>
  <w:style w:type="paragraph" w:styleId="Heading2">
    <w:name w:val="heading 2"/>
    <w:basedOn w:val="berschrift"/>
    <w:qFormat/>
    <w:pPr>
      <w:spacing w:before="280" w:after="140"/>
      <w:outlineLvl w:val="1"/>
    </w:pPr>
    <w:rPr>
      <w:rFonts w:ascii="Arial" w:hAnsi="Arial" w:eastAsia="Arial" w:cs="Arial"/>
      <w:b/>
      <w:bCs/>
      <w:color w:val="1A1A2E"/>
      <w:sz w:val="26"/>
      <w:szCs w:val="26"/>
    </w:rPr>
  </w:style>
  <w:style w:type="paragraph" w:styleId="Heading3">
    <w:name w:val="heading 3"/>
    <w:basedOn w:val="berschrift"/>
    <w:qFormat/>
    <w:pPr>
      <w:spacing w:before="200" w:after="100"/>
      <w:outlineLvl w:val="2"/>
    </w:pPr>
    <w:rPr>
      <w:rFonts w:ascii="Arial" w:hAnsi="Arial" w:eastAsia="Arial" w:cs="Arial"/>
      <w:b/>
      <w:bCs/>
      <w:color w:val="E85D04"/>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1A1A2E"/>
      <w:kern w:val="0"/>
      <w:sz w:val="22"/>
      <w:szCs w:val="22"/>
      <w:lang w:val="de-AT" w:eastAsia="zh-CN" w:bidi="hi-IN"/>
    </w:rPr>
  </w:style>
  <w:style w:type="paragraph" w:styleId="ListParagraph">
    <w:name w:val="List Paragraph"/>
    <w:qFormat/>
    <w:pPr>
      <w:widowControl/>
      <w:bidi w:val="0"/>
      <w:spacing w:before="0" w:after="0"/>
      <w:jc w:val="start"/>
    </w:pPr>
    <w:rPr>
      <w:rFonts w:ascii="Arial" w:hAnsi="Arial" w:eastAsia="Arial" w:cs="Arial"/>
      <w:color w:val="1A1A2E"/>
      <w:kern w:val="0"/>
      <w:sz w:val="22"/>
      <w:szCs w:val="22"/>
      <w:lang w:val="de-A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506" w:leader="dot"/>
      </w:tabs>
      <w:ind w:hanging="0" w:start="0"/>
    </w:pPr>
    <w:rPr/>
  </w:style>
  <w:style w:type="paragraph" w:styleId="TOC2">
    <w:name w:val="toc 2"/>
    <w:basedOn w:val="Verzeichnis"/>
    <w:pPr>
      <w:tabs>
        <w:tab w:val="clear" w:pos="720"/>
        <w:tab w:val="right" w:pos="9223"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97</TotalTime>
  <Application>LibreOffice/26.2.0.3$Windows_X86_64 LibreOffice_project/620$Build-3</Application>
  <AppVersion>15.0000</AppVersion>
  <Pages>17</Pages>
  <Words>1481</Words>
  <Characters>9587</Characters>
  <CharactersWithSpaces>10825</CharactersWithSpaces>
  <Paragraphs>270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2026-03-09T09:16:42Z</dcterms:created>
  <dc:creator>Un-named</dc:creator>
  <dc:description/>
  <dc:language>de-AT</dc:language>
  <cp:lastModifiedBy/>
  <cp:lastPrinted>2026-03-09T11:24:31Z</cp:lastPrinted>
  <dcterms:modified xsi:type="dcterms:W3CDTF">2026-03-09T12:58:00Z</dcterms:modified>
  <cp:revision>5</cp:revision>
  <dc:subject/>
  <dc:title/>
</cp:coreProperties>
</file>