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auto">
    <v:background>
      <v:fill r:id="rId2" type="frame"/>
    </v:background>
  </w:background>
  <w:body>
    <w:p>
      <w:pPr>
        <w:pStyle w:val="Normal"/>
        <w:spacing w:before="2000" w:after="200"/>
        <w:jc w:val="center"/>
        <w:rPr/>
      </w:pPr>
      <w:r>
        <w:rPr>
          <w:rFonts w:eastAsia="Arial" w:cs="Arial"/>
          <w:b/>
          <w:bCs/>
          <w:color w:val="E85D04"/>
          <w:sz w:val="56"/>
          <w:szCs w:val="56"/>
        </w:rPr>
        <w:t>HELLBURN</w:t>
      </w:r>
    </w:p>
    <w:p>
      <w:pPr>
        <w:pStyle w:val="Normal"/>
        <w:spacing w:before="0" w:after="100"/>
        <w:jc w:val="center"/>
        <w:rPr/>
      </w:pPr>
      <w:r>
        <w:rPr>
          <w:color w:val="666666"/>
          <w:sz w:val="24"/>
          <w:szCs w:val="24"/>
        </w:rPr>
        <w:t>KOMPETITIVES BURN-TO-EARN PROTOKOLL</w:t>
      </w:r>
    </w:p>
    <w:p>
      <w:pPr>
        <w:pStyle w:val="Normal"/>
        <w:spacing w:before="0" w:after="200"/>
        <w:jc w:val="center"/>
        <w:rPr/>
      </w:pPr>
      <w:r>
        <w:rPr>
          <w:color w:val="666666"/>
          <w:sz w:val="22"/>
          <w:szCs w:val="22"/>
        </w:rPr>
        <w:t>Basiert auf TitanX | Verbrennt DragonX | Echte ETH-Rendite</w:t>
      </w:r>
    </w:p>
    <w:p>
      <w:pPr>
        <w:pStyle w:val="Normal"/>
        <w:spacing w:before="0" w:after="100"/>
        <w:jc w:val="center"/>
        <w:rPr/>
      </w:pPr>
      <w:r>
        <w:rPr>
          <w:b/>
          <w:bCs/>
          <w:color w:val="1A1A2E"/>
          <w:sz w:val="28"/>
          <w:szCs w:val="28"/>
        </w:rPr>
        <w:t>WHITEPAPER v4.0 — Trustless Edition</w:t>
      </w:r>
    </w:p>
    <w:p>
      <w:pPr>
        <w:pStyle w:val="Normal"/>
        <w:spacing w:before="0" w:after="600"/>
        <w:jc w:val="center"/>
        <w:rPr/>
      </w:pPr>
      <w:r>
        <w:rPr>
          <w:color w:val="666666"/>
          <w:sz w:val="22"/>
          <w:szCs w:val="22"/>
        </w:rPr>
        <w:t>März 2026</w:t>
      </w:r>
    </w:p>
    <w:p>
      <w:pPr>
        <w:pStyle w:val="Normal"/>
        <w:spacing w:before="0"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br w:type="page"/>
      </w:r>
    </w:p>
    <w:p>
      <w:pPr>
        <w:pStyle w:val="Normal"/>
        <w:spacing w:before="0"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Haftungsausschluss</w:t>
      </w:r>
    </w:p>
    <w:p>
      <w:pPr>
        <w:pStyle w:val="Normal"/>
        <w:spacing w:before="0" w:after="120"/>
        <w:rPr/>
      </w:pPr>
      <w:r>
        <w:rPr>
          <w:i/>
          <w:iCs/>
          <w:color w:val="666666"/>
          <w:sz w:val="22"/>
          <w:szCs w:val="22"/>
        </w:rPr>
        <w:t>Dieses Dokument dient ausschließlich der Information und stellt keine Finanz-, Anlage- oder Rechtsberatung dar. Kryptowährungs- und DeFi-Investitionen bergen erhebliche Risiken, einschließlich des Totalverlustes. Smart Contracts können trotz Tests und Audits Schwachstellen enthalten. DYOR.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br w:type="page"/>
      </w:r>
    </w:p>
    <w:p>
      <w:pPr>
        <w:pStyle w:val="Normal"/>
        <w:spacing w:before="0"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Inhaltsverzeichnis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r>
            <w:fldChar w:fldCharType="begin"/>
          </w:r>
          <w:r>
            <w:rPr>
              <w:rStyle w:val="Verzeichnissprung"/>
            </w:rPr>
            <w:instrText xml:space="preserve"> TOC \f \o "1-9" \h</w:instrText>
          </w:r>
          <w:r>
            <w:rPr>
              <w:rStyle w:val="Verzeichnissprung"/>
            </w:rPr>
            <w:fldChar w:fldCharType="separate"/>
          </w:r>
          <w:hyperlink w:anchor="__RefHeading___Toc3829_4185582242" w:tooltip="1. Zusammenfassung">
            <w:r>
              <w:rPr>
                <w:rStyle w:val="Verzeichnissprung"/>
              </w:rPr>
              <w:t>1. Zusammenfassung</w:t>
              <w:tab/>
              <w:t>4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31_4185582242" w:tooltip="2. Das Problem">
            <w:r>
              <w:rPr>
                <w:rStyle w:val="Verzeichnissprung"/>
              </w:rPr>
              <w:t>2. Das Problem</w:t>
              <w:tab/>
              <w:t>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3833_4185582242" w:tooltip="2.1 Einmalige Deflation">
            <w:r>
              <w:rPr>
                <w:rStyle w:val="Verzeichnissprung"/>
              </w:rPr>
              <w:t>2.1 Einmalige Deflation</w:t>
              <w:tab/>
              <w:t>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3835_4185582242" w:tooltip="2.2 Passives Staking">
            <w:r>
              <w:rPr>
                <w:rStyle w:val="Verzeichnissprung"/>
              </w:rPr>
              <w:t>2.2 Passives Staking</w:t>
              <w:tab/>
              <w:t>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3837_4185582242" w:tooltip="2.3 Fehlende Gamification">
            <w:r>
              <w:rPr>
                <w:rStyle w:val="Verzeichnissprung"/>
              </w:rPr>
              <w:t>2.3 Fehlende Gamification</w:t>
              <w:tab/>
              <w:t>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3839_4185582242" w:tooltip="2.4 Zentralisierte Vertrauensanforderungen">
            <w:r>
              <w:rPr>
                <w:rStyle w:val="Verzeichnissprung"/>
              </w:rPr>
              <w:t>2.4 Zentralisierte Vertrauensanforderungen</w:t>
              <w:tab/>
              <w:t>5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41_4185582242" w:tooltip="3. Die Lösung — Drei Innovationen">
            <w:r>
              <w:rPr>
                <w:rStyle w:val="Verzeichnissprung"/>
              </w:rPr>
              <w:t>3. Die Lösung — Drei Innovationen</w:t>
              <w:tab/>
              <w:t>6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3843_4185582242" w:tooltip="3.1 Burn Epochs: Permanenter Deflationsdruck">
            <w:r>
              <w:rPr>
                <w:rStyle w:val="Verzeichnissprung"/>
              </w:rPr>
              <w:t>3.1 Burn Epochs: Permanenter Deflationsdruck</w:t>
              <w:tab/>
              <w:t>6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3845_4185582242" w:tooltip="3.2 Streak-System: Spieltheorie als Bindung">
            <w:r>
              <w:rPr>
                <w:rStyle w:val="Verzeichnissprung"/>
              </w:rPr>
              <w:t>3.2 Streak-System: Spieltheorie als Bindung</w:t>
              <w:tab/>
              <w:t>6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3847_4185582242" w:tooltip="3.3 Burn-to-Boost Staking (&quot;Fuel&quot;)">
            <w:r>
              <w:rPr>
                <w:rStyle w:val="Verzeichnissprung"/>
              </w:rPr>
              <w:t>3.3 Burn-to-Boost Staking ("Fuel")</w:t>
              <w:tab/>
              <w:t>6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49_4185582242" w:tooltip="4. Das Deflations-Schwungrad">
            <w:r>
              <w:rPr>
                <w:rStyle w:val="Verzeichnissprung"/>
              </w:rPr>
              <w:t>4. Das Deflations-Schwungrad</w:t>
              <w:tab/>
              <w:t>7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51_4185582242" w:tooltip="5. Trustless-Architektur (NEU in v4.0)">
            <w:r>
              <w:rPr>
                <w:rStyle w:val="Verzeichnissprung"/>
              </w:rPr>
              <w:t>5. Trustless-Architektur (NEU in v4.0)</w:t>
              <w:tab/>
              <w:t>8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3853_4185582242" w:tooltip="5.1 Fair Launch LP">
            <w:r>
              <w:rPr>
                <w:rStyle w:val="Verzeichnissprung"/>
              </w:rPr>
              <w:t>5.1 Fair Launch LP</w:t>
              <w:tab/>
              <w:t>8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3855_4185582242" w:tooltip="5.2 Trustless Treasury — Niemand kann abheben">
            <w:r>
              <w:rPr>
                <w:rStyle w:val="Verzeichnissprung"/>
              </w:rPr>
              <w:t>5.2 Trustless Treasury — Niemand kann abheben</w:t>
              <w:tab/>
              <w:t>8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3857_4185582242" w:tooltip="5.3 Kein Guardian, keine Pause">
            <w:r>
              <w:rPr>
                <w:rStyle w:val="Verzeichnissprung"/>
              </w:rPr>
              <w:t>5.3 Kein Guardian, keine Pause</w:t>
              <w:tab/>
              <w:t>8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3859_4185582242" w:tooltip="5.4 Vertrauens-Verifizierung">
            <w:r>
              <w:rPr>
                <w:rStyle w:val="Verzeichnissprung"/>
              </w:rPr>
              <w:t>5.4 Vertrauens-Verifizierung</w:t>
              <w:tab/>
              <w:t>8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61_4185582242" w:tooltip="6. Genesis-Phase — Dein Einstieg">
            <w:r>
              <w:rPr>
                <w:rStyle w:val="Verzeichnissprung"/>
              </w:rPr>
              <w:t>6. Genesis-Phase — Dein Einstieg</w:t>
              <w:tab/>
              <w:t>9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63_4185582242" w:tooltip="7. Burn Epochs — Wettbewerb um ETH">
            <w:r>
              <w:rPr>
                <w:rStyle w:val="Verzeichnissprung"/>
              </w:rPr>
              <w:t>7. Burn Epochs — Wettbewerb um ETH</w:t>
              <w:tab/>
              <w:t>10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65_4185582242" w:tooltip="8. Staking &amp; echte Rendite">
            <w:r>
              <w:rPr>
                <w:rStyle w:val="Verzeichnissprung"/>
              </w:rPr>
              <w:t>8. Staking &amp; echte Rendite</w:t>
              <w:tab/>
              <w:t>11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67_4185582242" w:tooltip="9. Tokenomics">
            <w:r>
              <w:rPr>
                <w:rStyle w:val="Verzeichnissprung"/>
              </w:rPr>
              <w:t>9. Tokenomics</w:t>
              <w:tab/>
              <w:t>12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69_4185582242" w:tooltip="10. Tag 888 Strategie">
            <w:r>
              <w:rPr>
                <w:rStyle w:val="Verzeichnissprung"/>
              </w:rPr>
              <w:t>10. Tag 888 Strategie</w:t>
              <w:tab/>
              <w:t>13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71_4185582242" w:tooltip="11. Anti-Dump Mechanismen">
            <w:r>
              <w:rPr>
                <w:rStyle w:val="Verzeichnissprung"/>
              </w:rPr>
              <w:t>11. Anti-Dump Mechanismen</w:t>
              <w:tab/>
              <w:t>14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73_4185582242" w:tooltip="12. 12-Monats-Projektionen">
            <w:r>
              <w:rPr>
                <w:rStyle w:val="Verzeichnissprung"/>
              </w:rPr>
              <w:t>12. 12-Monats-Projektionen</w:t>
              <w:tab/>
              <w:t>15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75_4185582242" w:tooltip="13. Roadmap">
            <w:r>
              <w:rPr>
                <w:rStyle w:val="Verzeichnissprung"/>
              </w:rPr>
              <w:t>13. Roadmap</w:t>
              <w:tab/>
              <w:t>16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3877_4185582242" w:tooltip="14. Risiken &amp; Haftungsausschluss">
            <w:r>
              <w:rPr>
                <w:rStyle w:val="Verzeichnissprung"/>
              </w:rPr>
              <w:t>14. Risiken &amp; Haftungsausschluss</w:t>
              <w:tab/>
              <w:t>17</w:t>
            </w:r>
          </w:hyperlink>
          <w:r>
            <w:rPr>
              <w:rStyle w:val="Verzeichnissprung"/>
            </w:rPr>
            <w:fldChar w:fldCharType="end"/>
          </w:r>
        </w:p>
      </w:sdtContent>
    </w:sdt>
    <w:p>
      <w:pPr>
        <w:pStyle w:val="Normal"/>
        <w:spacing w:before="0" w:after="120"/>
        <w:rPr>
          <w:sz w:val="22"/>
          <w:szCs w:val="22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0" w:name="__RefHeading___Toc3829_4185582242"/>
      <w:bookmarkEnd w:id="0"/>
      <w:r>
        <w:rPr/>
        <w:t>1. Zusammenfassung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HellBurn ist das erste Competitive Burn-to-Earn Protokoll im TitanX-Ökosystem. Es kombiniert spielerisches, kompetitives Verbrennen mit echten ETH-Renditen und erzeugt permanenten deflationären Druck auf TitanX und DragonX.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Während bestehende Protokolle (DragonX, Helios, Hydra, B88) auf eine einmalige Minting-Phase setzen, führt HellBurn Burn Epochs ein — kompetitive 8-Tage-Zyklen, in denen Teilnehmer TitanX und DragonX verbrennen, um anteilige ETH-Belohnungen zu erhalten.</w:t>
      </w:r>
    </w:p>
    <w:p>
      <w:pPr>
        <w:pStyle w:val="Normal"/>
        <w:spacing w:before="0" w:after="120"/>
        <w:rPr/>
      </w:pPr>
      <w:r>
        <w:rPr>
          <w:b/>
          <w:bCs/>
          <w:sz w:val="22"/>
          <w:szCs w:val="22"/>
        </w:rPr>
        <w:t>Neu in v4.0 — Vollständig Trustless: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sz w:val="22"/>
          <w:szCs w:val="22"/>
        </w:rPr>
        <w:t>Keine Admin-Schlüssel, kein Guardian, keine Pause-Funktion — das Protokoll läuft autonom.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Initiale Liquidität wird vollständig vom Smart Contract erstellt (Fair Launch) — LP permanent gesperrt.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Treasury-TitanX (22%) wird automatisch im Contract gestakt (3.500 Tage) — niemand kann es abziehen. ETH-Rendite fließt automatisch in BuyAndBurn.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Alle kritischen Funktionen (endGenesis, stakeTreasury, claimTreasuryYield, collectLPFees, executeBuyAndBurn) sind von jedem aufrufbar.</w:t>
      </w:r>
    </w:p>
    <w:p>
      <w:pPr>
        <w:pStyle w:val="Normal"/>
        <w:spacing w:before="0" w:after="80"/>
        <w:rPr/>
      </w:pPr>
      <w:r>
        <w:rPr/>
      </w:r>
    </w:p>
    <w:tbl>
      <w:tblPr>
        <w:tblW w:w="95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499"/>
        <w:gridCol w:w="6001"/>
      </w:tblGrid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Wert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Token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HBURN (ERC-20, Ethereum)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Kernmechanik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Kompetitive Burn Epochs + Payout Capture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Burn-Ziele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TitanX + DragonX (Dual Burn)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Rendite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Echte ETH aus TitanX-Staking-Auszahlungen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Angebot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Fest — nur während 28-Tage-Genesis, danach permanent deaktiviert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Initiale Liquidität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Trustless — vom Smart Contract erstellt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Treasury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22% TitanX auto-gestakt im Contract — Rendite → BuyAndBurn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Admin-Schlüssel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Keine — kein Owner, kein Guardian, keine Pause, voll autonom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" w:name="__RefHeading___Toc3831_4185582242"/>
      <w:bookmarkEnd w:id="1"/>
      <w:r>
        <w:rPr/>
        <w:t>2. Das Problem</w:t>
      </w:r>
    </w:p>
    <w:p>
      <w:pPr>
        <w:pStyle w:val="Heading2"/>
        <w:rPr/>
      </w:pPr>
      <w:bookmarkStart w:id="2" w:name="__RefHeading___Toc3833_4185582242"/>
      <w:bookmarkEnd w:id="2"/>
      <w:r>
        <w:rPr/>
        <w:t>2.1 Einmalige Deflation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Jedes TitanX-Projekt folgt dem gleichen Muster: Minting-Phase, ein Teil wird verbrannt — und dann stoppt der Burn-Druck vollständig.</w:t>
      </w:r>
    </w:p>
    <w:p>
      <w:pPr>
        <w:pStyle w:val="Heading2"/>
        <w:rPr/>
      </w:pPr>
      <w:bookmarkStart w:id="3" w:name="__RefHeading___Toc3835_4185582242"/>
      <w:bookmarkEnd w:id="3"/>
      <w:r>
        <w:rPr/>
        <w:t>2.2 Passives Staking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Nach dem Minting staken User ihre Tokens und warten passiv. Dies führt zu sinkendem Engagement.</w:t>
      </w:r>
    </w:p>
    <w:p>
      <w:pPr>
        <w:pStyle w:val="Heading2"/>
        <w:rPr/>
      </w:pPr>
      <w:bookmarkStart w:id="4" w:name="__RefHeading___Toc3837_4185582242"/>
      <w:bookmarkEnd w:id="4"/>
      <w:r>
        <w:rPr/>
        <w:t>2.3 Fehlende Gamification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Ohne kompetitive Elemente gibt es keinen Grund zurückzukehren.</w:t>
      </w:r>
    </w:p>
    <w:p>
      <w:pPr>
        <w:pStyle w:val="Heading2"/>
        <w:rPr/>
      </w:pPr>
      <w:bookmarkStart w:id="5" w:name="__RefHeading___Toc3839_4185582242"/>
      <w:bookmarkEnd w:id="5"/>
      <w:r>
        <w:rPr/>
        <w:t>2.4 Zentralisierte Vertrauensanforderungen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Die meisten Protokolle erfordern Vertrauen in den Gründer: LP-Erstellung, Treasury-Verwaltung, Admin-Keys. HellBurn v4.0 eliminiert ALLE diese Vertrauensanforderungen.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6" w:name="__RefHeading___Toc3841_4185582242"/>
      <w:bookmarkEnd w:id="6"/>
      <w:r>
        <w:rPr/>
        <w:t>3. Die Lösung — Drei Innovationen</w:t>
      </w:r>
    </w:p>
    <w:p>
      <w:pPr>
        <w:pStyle w:val="Heading2"/>
        <w:rPr/>
      </w:pPr>
      <w:bookmarkStart w:id="7" w:name="__RefHeading___Toc3843_4185582242"/>
      <w:bookmarkEnd w:id="7"/>
      <w:r>
        <w:rPr/>
        <w:t>3.1 Burn Epochs: Permanenter Deflationsdruck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Alle 8 Tage beginnt eine neue Burn Epoch. Benutzer verbrennen TitanX (1x) und/oder DragonX (2x). Am Ende werden ETH-Belohnungen proportional verteilt. Verbrennung hört nie auf.</w:t>
      </w:r>
    </w:p>
    <w:p>
      <w:pPr>
        <w:pStyle w:val="Heading2"/>
        <w:rPr/>
      </w:pPr>
      <w:bookmarkStart w:id="8" w:name="__RefHeading___Toc3845_4185582242"/>
      <w:bookmarkEnd w:id="8"/>
      <w:r>
        <w:rPr/>
        <w:t>3.2 Streak-System: Spieltheorie als Bindung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Aufeinanderfolgende Epochs bauen einen Streak auf. Jede Epoch erhöht den Multiplikator um +0,2x, bis maximal 3,0x. Eine verpasste Epoch setzt alles auf 1,0x zurück.</w:t>
      </w:r>
    </w:p>
    <w:p>
      <w:pPr>
        <w:pStyle w:val="Heading2"/>
        <w:rPr/>
      </w:pPr>
      <w:bookmarkStart w:id="9" w:name="__RefHeading___Toc3847_4185582242"/>
      <w:bookmarkEnd w:id="9"/>
      <w:r>
        <w:rPr/>
        <w:t>3.3 Burn-to-Boost Staking ("Fuel")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Staker können während eines aktiven Stakes zusätzlich TitanX/DragonX verbrennen und ihre Anteile um bis zu +50% erhöhen.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0" w:name="__RefHeading___Toc3849_4185582242"/>
      <w:bookmarkEnd w:id="10"/>
      <w:r>
        <w:rPr/>
        <w:t>4. Das Deflations-Schwungrad</w:t>
      </w:r>
    </w:p>
    <w:p>
      <w:pPr>
        <w:pStyle w:val="Normal"/>
        <w:spacing w:before="0" w:after="120"/>
        <w:rPr/>
      </w:pPr>
      <w:r>
        <w:rPr>
          <w:b/>
          <w:bCs/>
          <w:sz w:val="22"/>
          <w:szCs w:val="22"/>
        </w:rPr>
        <w:t>Schritt 1: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User verbrennen TitanX/DragonX (Genesis, Epochs oder Fuel)</w:t>
      </w:r>
    </w:p>
    <w:p>
      <w:pPr>
        <w:pStyle w:val="Normal"/>
        <w:spacing w:before="0" w:after="120"/>
        <w:rPr/>
      </w:pPr>
      <w:r>
        <w:rPr>
          <w:b/>
          <w:bCs/>
          <w:sz w:val="22"/>
          <w:szCs w:val="22"/>
        </w:rPr>
        <w:t>Schritt 2: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35% permanent verbrannt, 35% DragonX Vault, 22% auto-gestakt im Contract (3.500 Tage), 8% für LP-Erstellung</w:t>
      </w:r>
    </w:p>
    <w:p>
      <w:pPr>
        <w:pStyle w:val="Normal"/>
        <w:spacing w:before="0" w:after="120"/>
        <w:rPr/>
      </w:pPr>
      <w:r>
        <w:rPr>
          <w:b/>
          <w:bCs/>
          <w:sz w:val="22"/>
          <w:szCs w:val="22"/>
        </w:rPr>
        <w:t>Schritt 3: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Gestaktes TitanX generiert ETH bei jedem Auszahlungszyklus</w:t>
      </w:r>
    </w:p>
    <w:p>
      <w:pPr>
        <w:pStyle w:val="Normal"/>
        <w:spacing w:before="0" w:after="120"/>
        <w:rPr/>
      </w:pPr>
      <w:r>
        <w:rPr>
          <w:b/>
          <w:bCs/>
          <w:sz w:val="22"/>
          <w:szCs w:val="22"/>
        </w:rPr>
        <w:t>Schritt 4: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80% der Epoch-ETH an Burner, 20% an BuyAndBurn</w:t>
      </w:r>
    </w:p>
    <w:p>
      <w:pPr>
        <w:pStyle w:val="Normal"/>
        <w:spacing w:before="0" w:after="120"/>
        <w:rPr/>
      </w:pPr>
      <w:r>
        <w:rPr>
          <w:b/>
          <w:bCs/>
          <w:sz w:val="22"/>
          <w:szCs w:val="22"/>
        </w:rPr>
        <w:t>Schritt 5: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Treasury-Rendite fließt ebenfalls in BuyAndBurn — dauerhafter Kaufdruck</w:t>
      </w:r>
    </w:p>
    <w:p>
      <w:pPr>
        <w:pStyle w:val="Normal"/>
        <w:spacing w:before="0" w:after="120"/>
        <w:rPr/>
      </w:pPr>
      <w:r>
        <w:rPr>
          <w:b/>
          <w:bCs/>
          <w:sz w:val="22"/>
          <w:szCs w:val="22"/>
        </w:rPr>
        <w:t>Schritt 6: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Mehr Burns → mehr Stakes → mehr ETH → mehr Burner → Wiederholung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1" w:name="__RefHeading___Toc3851_4185582242"/>
      <w:bookmarkEnd w:id="11"/>
      <w:r>
        <w:rPr/>
        <w:t>5. Trustless-Architektur (NEU in v4.0)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Das definierende Merkmal von HellBurn v4.0: Das gesamte Protokoll läuft ohne jegliche menschliche Intervention nach dem Deployment.</w:t>
      </w:r>
    </w:p>
    <w:p>
      <w:pPr>
        <w:pStyle w:val="Heading2"/>
        <w:rPr/>
      </w:pPr>
      <w:bookmarkStart w:id="12" w:name="__RefHeading___Toc3853_4185582242"/>
      <w:bookmarkEnd w:id="12"/>
      <w:r>
        <w:rPr/>
        <w:t>5.1 Fair Launch LP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Während der 28-tägigen Genesis sammeln sich zwei Reserven im Contract an: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  <w:sz w:val="22"/>
          <w:szCs w:val="22"/>
        </w:rPr>
        <w:t>LP HBURN Reserve (3%):</w:t>
      </w:r>
      <w:r>
        <w:rPr>
          <w:sz w:val="22"/>
          <w:szCs w:val="22"/>
        </w:rPr>
        <w:t xml:space="preserve"> Bei jedem Mint werden 3% für die LP zurückgehalten.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  <w:sz w:val="22"/>
          <w:szCs w:val="22"/>
        </w:rPr>
        <w:t>Genesis Fund (8% TitanX):</w:t>
      </w:r>
      <w:r>
        <w:rPr>
          <w:sz w:val="22"/>
          <w:szCs w:val="22"/>
        </w:rPr>
        <w:t xml:space="preserve"> Bleibt im Contract, wird am Ende zu WETH umgewandelt.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Wenn jemand endGenesis() nach 28 Tagen aufruft, erstellt der Contract automatisch einen Uniswap V3 Pool. Die LP-NFT ist permanent im Contract gesperrt.</w:t>
      </w:r>
    </w:p>
    <w:p>
      <w:pPr>
        <w:pStyle w:val="Heading2"/>
        <w:rPr/>
      </w:pPr>
      <w:bookmarkStart w:id="13" w:name="__RefHeading___Toc3855_4185582242"/>
      <w:bookmarkEnd w:id="13"/>
      <w:r>
        <w:rPr/>
        <w:t>5.2 Trustless Treasury — Niemand kann abheben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In v4.0 BLEIBEN die Treasury-TitanX im Genesis-Contract.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Nach Genesis-Ende kann jeder stakeTreasury() aufrufen, um das TitanX für 3.500 Tage zu staken. Jeder kann dann claimTreasuryYield() aufrufen, um die ETH-Rendite an BuyAndBurn weiterzuleiten.</w:t>
      </w:r>
    </w:p>
    <w:p>
      <w:pPr>
        <w:pStyle w:val="Normal"/>
        <w:spacing w:before="0" w:after="120"/>
        <w:rPr/>
      </w:pPr>
      <w:r>
        <w:rPr>
          <w:b/>
          <w:bCs/>
          <w:sz w:val="22"/>
          <w:szCs w:val="22"/>
        </w:rPr>
        <w:t>Das Ergebnis: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22% aller Genesis-TitanX erzeugen permanenten Kaufdruck auf HBURN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Niemand kann das gestakte TitanX anfassen — 3.500 Tage gesperrt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Niemand kann die ETH-Rendite umleiten — geht immer an BuyAndBurn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Beide Funktionen sind von jedem aufrufbar</w:t>
      </w:r>
    </w:p>
    <w:p>
      <w:pPr>
        <w:pStyle w:val="Heading2"/>
        <w:rPr/>
      </w:pPr>
      <w:bookmarkStart w:id="14" w:name="__RefHeading___Toc3857_4185582242"/>
      <w:bookmarkEnd w:id="14"/>
      <w:r>
        <w:rPr/>
        <w:t>5.3 Kein Guardian, keine Pause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HellBurn v4.0 entfernt den Guardian vollständig. Nach Deployment laufen die Contracts autonom: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BurnEpochs: Burns und Claims funktionieren immer.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Staking: Stakes und Unstakes funktionieren immer.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GenesisBurn: Vollständig unveränderlich ab Tag 1.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BuyAndBurn: Von jedem aufrufbar. Keine Zugriffskontrolle.</w:t>
      </w:r>
    </w:p>
    <w:p>
      <w:pPr>
        <w:pStyle w:val="Heading2"/>
        <w:rPr/>
      </w:pPr>
      <w:bookmarkStart w:id="15" w:name="__RefHeading___Toc3859_4185582242"/>
      <w:bookmarkEnd w:id="15"/>
      <w:r>
        <w:rPr/>
        <w:t>5.4 Vertrauens-Verifizierung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Jede Behauptung ist auf Etherscan überprüfbar:</w:t>
      </w:r>
    </w:p>
    <w:tbl>
      <w:tblPr>
        <w:tblW w:w="95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199"/>
        <w:gridCol w:w="63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Behauptung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Verifizierung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Keine Admin-Keys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Contract-Source lesen — keine onlyOwner/onlyGuardian Modifier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Keine Pause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Nach "pause" im Source suchen — Funktion existiert nicht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Treasury gesperrt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treasuryInfo() aufrufen — zeigt Betrag und Stake-Status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LP permanent gesperrt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Contract hält LP NFT, keine Transfer-/Withdraw-Funktion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Angebot fixiert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genesisMintingEnded() gibt true zurück nach Genesis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6" w:name="__RefHeading___Toc3861_4185582242"/>
      <w:bookmarkEnd w:id="16"/>
      <w:r>
        <w:rPr/>
        <w:t>6. Genesis-Phase — Dein Einstieg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Die Genesis Burn Phase (28 Tage) ist die einzige Gelegenheit, HBURN zu minten. 3% gehen an die LP-Reserve; Benutzer erhalten 97%.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800"/>
        <w:gridCol w:w="1600"/>
        <w:gridCol w:w="1600"/>
        <w:gridCol w:w="1800"/>
        <w:gridCol w:w="2200"/>
      </w:tblGrid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Woche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Basis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Bonus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Effektiv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 erhält (97%)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Woche 1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1:1,00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+15%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1:1,15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1:1,1155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Woche 2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1:0,95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+10%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1:1,045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1:1,0137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Woche 3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1:0,90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+5%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1:0,945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1:0,9167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Woche 4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1:0,85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1:0,85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1:0,8245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  <w:sz w:val="22"/>
          <w:szCs w:val="22"/>
        </w:rPr>
        <w:t>TitanX-Verteilung: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35% permanent verbrannt (Dead Address)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35% DragonX Vault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22% auto-gestakt im Contract (3.500 Tage) — ETH-Rendite → BuyAndBurn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8% Genesis Fund für LP-Erstellung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7" w:name="__RefHeading___Toc3863_4185582242"/>
      <w:bookmarkEnd w:id="17"/>
      <w:r>
        <w:rPr/>
        <w:t>7. Burn Epochs — Wettbewerb um ETH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Nach Genesis beginnen kompetitive Epochs. Alle 8 Tage verbrennen User TitanX (1x) oder DragonX (2x). Am Ende werden ETH-Belohnungen proportional verteilt.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2001"/>
        <w:gridCol w:w="1800"/>
        <w:gridCol w:w="3000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Epochs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Multiplikator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Zeitraum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Belohnung vs. 1,0x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1,0x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 Tage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Basis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1,4x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24 Tage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+40%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1,8x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40 Tage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+80%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2,4x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64 Tage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+140%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11+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3,0x (MAX)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88+ Tage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+200%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8" w:name="__RefHeading___Toc3865_4185582242"/>
      <w:bookmarkEnd w:id="18"/>
      <w:r>
        <w:rPr/>
        <w:t>8. Staking &amp; echte Rendite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HBURN-Staking bietet echte ETH-Rendite. Shares = Betrag × Zeitbonus × Fuel-Bonus × Loyalitätsbonus.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Strafe bei vorzeitigem Ausstieg: 50% permanent verbrannt, 50% bleibt im Staking-Contract.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Keine Pause möglich: User können jederzeit staken und unstaken.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9" w:name="__RefHeading___Toc3867_4185582242"/>
      <w:bookmarkEnd w:id="19"/>
      <w:r>
        <w:rPr/>
        <w:t>9. Tokenomics</w:t>
      </w:r>
    </w:p>
    <w:tbl>
      <w:tblPr>
        <w:tblW w:w="95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199"/>
        <w:gridCol w:w="6301"/>
      </w:tblGrid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Wert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 / Ticker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HellBurn / HBURN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Standard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ERC-20 (Ethereum)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Gesamtangebot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Bestimmt durch Genesis, dann permanent fixiert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Inflationsrate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0% — kein weiteres Minting möglich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LP Reserve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3% geminteter HBURN → Contract-erstellte Uniswap V3 LP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Treasury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22% TitanX auto-gestakt 3.500 Tage — Rendite → BuyAndBurn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Admin-Schlüssel</w:t>
            </w:r>
          </w:p>
        </w:tc>
        <w:tc>
          <w:tcPr>
            <w:tcW w:w="6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Keine — kein Owner, kein Guardian, keine Pause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0" w:name="__RefHeading___Toc3869_4185582242"/>
      <w:bookmarkEnd w:id="20"/>
      <w:r>
        <w:rPr/>
        <w:t>10. Tag 888 Strategie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TitanX Tag 888 ist das größte Auszahlungsereignis: ~727 ETH (~$2,39M). Die 22% Treasury-TitanX im Contract bauen Stake-Anteile für diese Auszahlung auf. Jeder kann claimTreasuryYield() aufrufen, um die ETH durch BuyAndBurn zu leiten.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1" w:name="__RefHeading___Toc3871_4185582242"/>
      <w:bookmarkEnd w:id="21"/>
      <w:r>
        <w:rPr/>
        <w:t>11. Anti-Dump Mechanismen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3600"/>
        <w:gridCol w:w="3201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Ebene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Mechanismus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Effekt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 Fair Launch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Contract-erstellte LP, keine Insider-Tokens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 Pre-Mine-Dump möglich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2. Trustless Treasury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22% TitanX im Contract gesperrt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 Founder-Rug möglich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3. Vesting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25% sofort, 75% über 28 Tage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 Tag-1-Dump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4. Strafen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Gesperrt bis 50%, steigende Strafe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Früher Ausstieg kostet bis 50%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5. Loyalität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1,1x Bonus bei Restake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Anreiz zum Halten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6. Buy &amp; Burn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20% Epoch-ETH + Treasury-Rendite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Dauerhafter Kaufdruck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2" w:name="__RefHeading___Toc3873_4185582242"/>
      <w:bookmarkEnd w:id="22"/>
      <w:r>
        <w:rPr/>
        <w:t>12. 12-Monats-Projektionen</w:t>
      </w:r>
    </w:p>
    <w:p>
      <w:pPr>
        <w:pStyle w:val="Normal"/>
        <w:spacing w:before="0" w:after="120"/>
        <w:rPr/>
      </w:pPr>
      <w:r>
        <w:rPr>
          <w:i/>
          <w:iCs/>
          <w:color w:val="666666"/>
          <w:sz w:val="22"/>
          <w:szCs w:val="22"/>
        </w:rPr>
        <w:t>WICHTIG: Hypothetische Szenarien, KEINE Finanzberatung oder Garantien.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Best Case (~50x): Bullenmarkt, viraler Tag 888, hohe Streak-Adoption.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Base Case (~12x): Solide Community, stetige Beteiligung, organisches Wachstum.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Worst Case (~0,6x): Bärenmarkt, niedrige Beteiligung, aber deflationäre Mechanik bietet Boden.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3" w:name="__RefHeading___Toc3875_4185582242"/>
      <w:bookmarkEnd w:id="23"/>
      <w:r>
        <w:rPr/>
        <w:t>13. Roadmap</w:t>
      </w:r>
    </w:p>
    <w:tbl>
      <w:tblPr>
        <w:tblW w:w="95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99"/>
        <w:gridCol w:w="2401"/>
        <w:gridCol w:w="5500"/>
      </w:tblGrid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Zeitraum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Meilensteine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0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März 2026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Smart Contract Entwicklung, Tests, Community-Aufbau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1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Vor Tag 888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Deployment, Audit (inkl. Trustless Delta-Audit), Genesis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2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Tag 888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Payout Capture, Burn-Kaskade, Marketing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3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Tag 888+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 LP + Treasury Stake, Epoch 1, UI Launch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4" w:name="__RefHeading___Toc3877_4185582242"/>
      <w:bookmarkEnd w:id="24"/>
      <w:r>
        <w:rPr/>
        <w:t>14. Risiken &amp; Haftungsausschluss</w:t>
      </w:r>
    </w:p>
    <w:tbl>
      <w:tblPr>
        <w:tblW w:w="95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00"/>
        <w:gridCol w:w="3400"/>
        <w:gridCol w:w="3900"/>
      </w:tblGrid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5D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Smart Contract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Contracts können Bugs haben</w:t>
            </w:r>
          </w:p>
        </w:tc>
        <w:tc>
          <w:tcPr>
            <w:tcW w:w="3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Tests, Slither, SkyWolf-Audit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Marktrisiko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Krypto ist extrem volatil</w:t>
            </w:r>
          </w:p>
        </w:tc>
        <w:tc>
          <w:tcPr>
            <w:tcW w:w="3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Deflationäre Mechanik als Stütze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Abhängigkeit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HellBurn hängt von TitanX ab</w:t>
            </w:r>
          </w:p>
        </w:tc>
        <w:tc>
          <w:tcPr>
            <w:tcW w:w="3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Diversifizierte Burns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 Notfall-Stopp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Keine Pause bedeutet Bugs nicht stoppbar</w:t>
            </w:r>
          </w:p>
        </w:tc>
        <w:tc>
          <w:tcPr>
            <w:tcW w:w="3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Extensives Testing, unveränderlich = keine Angriffsfläche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Adoption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Protokoll braucht aktive Teilnehmer</w:t>
            </w:r>
          </w:p>
        </w:tc>
        <w:tc>
          <w:tcPr>
            <w:tcW w:w="3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Streak-System bindet User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0" w:after="0"/>
        <w:jc w:val="center"/>
        <w:rPr/>
      </w:pPr>
      <w:r>
        <w:rPr>
          <w:b/>
          <w:bCs/>
          <w:color w:val="E85D04"/>
          <w:sz w:val="26"/>
          <w:szCs w:val="26"/>
        </w:rPr>
        <w:t>HELLBURN — Burn to Earn. Compete to Win.</w:t>
      </w:r>
    </w:p>
    <w:p>
      <w:pPr>
        <w:pStyle w:val="Normal"/>
        <w:jc w:val="center"/>
        <w:rPr/>
      </w:pPr>
      <w:r>
        <w:rPr>
          <w:color w:val="666666"/>
          <w:sz w:val="22"/>
          <w:szCs w:val="22"/>
        </w:rPr>
        <w:t>Vollständig Trustless. Keine Admin-Keys. Kein Guardian. Keine Pause.</w:t>
      </w:r>
    </w:p>
    <w:sectPr>
      <w:type w:val="nextPage"/>
      <w:pgSz w:w="11906" w:h="16838"/>
      <w:pgMar w:left="1200" w:right="12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sz w:val="22"/>
        <w:szCs w:val="22"/>
        <w:lang w:val="de-A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de-AT" w:eastAsia="zh-CN" w:bidi="hi-IN"/>
    </w:rPr>
  </w:style>
  <w:style w:type="paragraph" w:styleId="Heading1">
    <w:name w:val="heading 1"/>
    <w:basedOn w:val="berschrift"/>
    <w:qFormat/>
    <w:pPr>
      <w:spacing w:before="360" w:after="200"/>
      <w:outlineLvl w:val="0"/>
    </w:pPr>
    <w:rPr>
      <w:rFonts w:ascii="Arial" w:hAnsi="Arial" w:eastAsia="Arial" w:cs="Arial"/>
      <w:b/>
      <w:bCs/>
      <w:color w:val="E85D04"/>
      <w:sz w:val="32"/>
      <w:szCs w:val="32"/>
    </w:rPr>
  </w:style>
  <w:style w:type="paragraph" w:styleId="Heading2">
    <w:name w:val="heading 2"/>
    <w:basedOn w:val="berschrift"/>
    <w:qFormat/>
    <w:pPr>
      <w:spacing w:before="280" w:after="140"/>
      <w:outlineLvl w:val="1"/>
    </w:pPr>
    <w:rPr>
      <w:rFonts w:ascii="Arial" w:hAnsi="Arial" w:eastAsia="Arial" w:cs="Arial"/>
      <w:b/>
      <w:bCs/>
      <w:color w:val="1A1A2E"/>
      <w:sz w:val="26"/>
      <w:szCs w:val="26"/>
    </w:rPr>
  </w:style>
  <w:style w:type="paragraph" w:styleId="Heading3">
    <w:name w:val="heading 3"/>
    <w:basedOn w:val="berschrift"/>
    <w:qFormat/>
    <w:pPr>
      <w:spacing w:before="200" w:after="100"/>
      <w:outlineLvl w:val="2"/>
    </w:pPr>
    <w:rPr>
      <w:rFonts w:ascii="Arial" w:hAnsi="Arial" w:eastAsia="Arial" w:cs="Arial"/>
      <w:b/>
      <w:bCs/>
      <w:color w:val="E85D04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Verzeichnissprung">
    <w:name w:val="Verzeichnissprung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2E"/>
      <w:kern w:val="0"/>
      <w:sz w:val="22"/>
      <w:szCs w:val="22"/>
      <w:lang w:val="de-A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de-A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Verzeichnis"/>
    <w:pPr>
      <w:tabs>
        <w:tab w:val="clear" w:pos="720"/>
        <w:tab w:val="right" w:pos="9506" w:leader="dot"/>
      </w:tabs>
      <w:ind w:hanging="0" w:start="0"/>
    </w:pPr>
    <w:rPr/>
  </w:style>
  <w:style w:type="paragraph" w:styleId="TOC2">
    <w:name w:val="toc 2"/>
    <w:basedOn w:val="Verzeichnis"/>
    <w:pPr>
      <w:tabs>
        <w:tab w:val="clear" w:pos="720"/>
        <w:tab w:val="right" w:pos="9223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LibreOffice/26.2.0.3$Windows_X86_64 LibreOffice_project/620$Build-3</Application>
  <AppVersion>15.0000</AppVersion>
  <Pages>17</Pages>
  <Words>1331</Words>
  <Characters>8554</Characters>
  <CharactersWithSpaces>9629</CharactersWithSpaces>
  <Paragraphs>268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2026-03-09T09:16:42Z</dcterms:created>
  <dc:creator>Un-named</dc:creator>
  <dc:description/>
  <dc:language>de-AT</dc:language>
  <cp:lastModifiedBy/>
  <dcterms:modified xsi:type="dcterms:W3CDTF">2026-03-09T11:23:59Z</dcterms:modified>
  <cp:revision>2</cp:revision>
  <dc:subject/>
  <dc:title/>
</cp:coreProperties>
</file>