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frame"/>
    </v:background>
  </w:background>
  <w:body>
    <w:p>
      <w:pPr>
        <w:pStyle w:val="Normal"/>
        <w:spacing w:before="2000" w:after="200"/>
        <w:jc w:val="center"/>
        <w:rPr/>
      </w:pPr>
      <w:r>
        <w:rPr>
          <w:rFonts w:eastAsia="Arial" w:cs="Arial"/>
          <w:b/>
          <w:bCs/>
          <w:color w:val="E85D04"/>
          <w:sz w:val="56"/>
          <w:szCs w:val="56"/>
        </w:rPr>
        <w:t>HELLBURN</w:t>
      </w:r>
    </w:p>
    <w:p>
      <w:pPr>
        <w:pStyle w:val="Normal"/>
        <w:spacing w:before="0" w:after="100"/>
        <w:jc w:val="center"/>
        <w:rPr/>
      </w:pPr>
      <w:r>
        <w:rPr>
          <w:color w:val="666666"/>
          <w:sz w:val="24"/>
          <w:szCs w:val="24"/>
        </w:rPr>
        <w:t>COMPETITIVE BURN-TO-EARN PROTOCOL</w:t>
      </w:r>
    </w:p>
    <w:p>
      <w:pPr>
        <w:pStyle w:val="Normal"/>
        <w:spacing w:before="0" w:after="200"/>
        <w:jc w:val="center"/>
        <w:rPr/>
      </w:pPr>
      <w:r>
        <w:rPr>
          <w:color w:val="666666"/>
          <w:sz w:val="22"/>
          <w:szCs w:val="22"/>
        </w:rPr>
        <w:t>Built on TitanX | Burns DragonX | Real ETH Yield</w:t>
      </w:r>
    </w:p>
    <w:p>
      <w:pPr>
        <w:pStyle w:val="Normal"/>
        <w:spacing w:before="0" w:after="100"/>
        <w:jc w:val="center"/>
        <w:rPr/>
      </w:pPr>
      <w:r>
        <w:rPr>
          <w:b/>
          <w:bCs/>
          <w:color w:val="1A1A2E"/>
          <w:sz w:val="28"/>
          <w:szCs w:val="28"/>
        </w:rPr>
        <w:t>WHITEPAPER v4.0 — Trustless Edition</w:t>
      </w:r>
    </w:p>
    <w:p>
      <w:pPr>
        <w:pStyle w:val="Normal"/>
        <w:spacing w:before="0" w:after="600"/>
        <w:jc w:val="center"/>
        <w:rPr/>
      </w:pPr>
      <w:r>
        <w:rPr>
          <w:color w:val="666666"/>
          <w:sz w:val="22"/>
          <w:szCs w:val="22"/>
        </w:rPr>
        <w:t>March 2026</w:t>
      </w:r>
    </w:p>
    <w:p>
      <w:pPr>
        <w:pStyle w:val="Normal"/>
        <w:spacing w:before="0" w:after="120"/>
        <w:rPr>
          <w:b/>
          <w:bCs/>
          <w:sz w:val="22"/>
          <w:szCs w:val="22"/>
        </w:rPr>
      </w:pPr>
      <w:r>
        <w:rPr>
          <w:b/>
          <w:bCs/>
          <w:sz w:val="22"/>
          <w:szCs w:val="22"/>
        </w:rPr>
      </w:r>
      <w:r>
        <w:br w:type="page"/>
      </w:r>
    </w:p>
    <w:p>
      <w:pPr>
        <w:pStyle w:val="Normal"/>
        <w:spacing w:before="0" w:after="120"/>
        <w:rPr>
          <w:b/>
          <w:bCs/>
          <w:sz w:val="22"/>
          <w:szCs w:val="22"/>
        </w:rPr>
      </w:pPr>
      <w:r>
        <w:rPr>
          <w:b/>
          <w:bCs/>
          <w:sz w:val="22"/>
          <w:szCs w:val="22"/>
        </w:rPr>
        <w:t>Disclaimer</w:t>
      </w:r>
    </w:p>
    <w:p>
      <w:pPr>
        <w:pStyle w:val="Normal"/>
        <w:spacing w:before="0" w:after="120"/>
        <w:rPr/>
      </w:pPr>
      <w:r>
        <w:rPr>
          <w:i/>
          <w:iCs/>
          <w:color w:val="666666"/>
          <w:sz w:val="22"/>
          <w:szCs w:val="22"/>
        </w:rPr>
        <w:t>This document is for informational purposes only and does not constitute financial, investment, or legal advice. Cryptocurrency and DeFi investments carry significant risk, including the potential loss of all invested capital. Smart contracts, despite testing and audits, may contain vulnerabilities. Past performance of similar protocols does not guarantee future results. All projections are hypothetical. DYOR.</w:t>
      </w:r>
    </w:p>
    <w:p>
      <w:pPr>
        <w:pStyle w:val="Normal"/>
        <w:spacing w:before="0" w:after="80"/>
        <w:rPr/>
      </w:pPr>
      <w:r>
        <w:rPr/>
      </w:r>
    </w:p>
    <w:p>
      <w:pPr>
        <w:pStyle w:val="Normal"/>
        <w:spacing w:before="0" w:after="120"/>
        <w:rPr>
          <w:b/>
          <w:bCs/>
          <w:sz w:val="22"/>
          <w:szCs w:val="22"/>
        </w:rPr>
      </w:pPr>
      <w:r>
        <w:rPr>
          <w:b/>
          <w:bCs/>
          <w:sz w:val="22"/>
          <w:szCs w:val="22"/>
        </w:rPr>
        <w:br/>
      </w:r>
      <w:r>
        <w:br w:type="page"/>
      </w:r>
    </w:p>
    <w:p>
      <w:pPr>
        <w:pStyle w:val="Normal"/>
        <w:spacing w:before="0" w:after="120"/>
        <w:rPr>
          <w:b/>
          <w:bCs/>
          <w:sz w:val="22"/>
          <w:szCs w:val="22"/>
        </w:rPr>
      </w:pPr>
      <w:r>
        <w:rPr>
          <w:b/>
          <w:bCs/>
          <w:sz w:val="22"/>
          <w:szCs w:val="22"/>
        </w:rPr>
        <w:t>Table of Contents</w:t>
      </w:r>
    </w:p>
    <w:sdt>
      <w:sdtPr>
        <w:docPartObj>
          <w:docPartGallery w:val="Table of Contents"/>
          <w:docPartUnique w:val="true"/>
        </w:docPartObj>
      </w:sdtPr>
      <w:sdtContent>
        <w:p>
          <w:pPr>
            <w:pStyle w:val="TOC1"/>
            <w:tabs>
              <w:tab w:val="clear" w:pos="9506"/>
              <w:tab w:val="right" w:pos="9505" w:leader="dot"/>
            </w:tabs>
            <w:rPr/>
          </w:pPr>
          <w:r>
            <w:fldChar w:fldCharType="begin"/>
          </w:r>
          <w:r>
            <w:rPr>
              <w:rStyle w:val="Verzeichnissprung"/>
            </w:rPr>
            <w:instrText xml:space="preserve"> TOC \f \o "1-9" \h</w:instrText>
          </w:r>
          <w:r>
            <w:rPr>
              <w:rStyle w:val="Verzeichnissprung"/>
            </w:rPr>
            <w:fldChar w:fldCharType="separate"/>
          </w:r>
          <w:hyperlink w:anchor="__RefHeading___Toc3981_4185582242" w:tooltip="1. Executive Summary">
            <w:r>
              <w:rPr>
                <w:rStyle w:val="Verzeichnissprung"/>
              </w:rPr>
              <w:t>1. Executive Summary</w:t>
              <w:tab/>
              <w:t>4</w:t>
            </w:r>
          </w:hyperlink>
        </w:p>
        <w:p>
          <w:pPr>
            <w:pStyle w:val="TOC1"/>
            <w:tabs>
              <w:tab w:val="clear" w:pos="9506"/>
              <w:tab w:val="right" w:pos="9505" w:leader="dot"/>
            </w:tabs>
            <w:rPr/>
          </w:pPr>
          <w:hyperlink w:anchor="__RefHeading___Toc3983_4185582242" w:tooltip="2. The Problem — Why Existing Protocols Fall Short">
            <w:r>
              <w:rPr>
                <w:rStyle w:val="Verzeichnissprung"/>
              </w:rPr>
              <w:t>2. The Problem — Why Existing Protocols Fall Short</w:t>
              <w:tab/>
              <w:t>5</w:t>
            </w:r>
          </w:hyperlink>
        </w:p>
        <w:p>
          <w:pPr>
            <w:pStyle w:val="TOC2"/>
            <w:tabs>
              <w:tab w:val="clear" w:pos="9223"/>
              <w:tab w:val="right" w:pos="9505" w:leader="dot"/>
            </w:tabs>
            <w:rPr/>
          </w:pPr>
          <w:hyperlink w:anchor="__RefHeading___Toc3985_4185582242" w:tooltip="2.1 One-Time Deflationary Pressure">
            <w:r>
              <w:rPr>
                <w:rStyle w:val="Verzeichnissprung"/>
              </w:rPr>
              <w:t>2.1 One-Time Deflationary Pressure</w:t>
              <w:tab/>
              <w:t>5</w:t>
            </w:r>
          </w:hyperlink>
        </w:p>
        <w:p>
          <w:pPr>
            <w:pStyle w:val="TOC2"/>
            <w:tabs>
              <w:tab w:val="clear" w:pos="9223"/>
              <w:tab w:val="right" w:pos="9505" w:leader="dot"/>
            </w:tabs>
            <w:rPr/>
          </w:pPr>
          <w:hyperlink w:anchor="__RefHeading___Toc3987_4185582242" w:tooltip="2.2 Passive Staking Without Engagement">
            <w:r>
              <w:rPr>
                <w:rStyle w:val="Verzeichnissprung"/>
              </w:rPr>
              <w:t>2.2 Passive Staking Without Engagement</w:t>
              <w:tab/>
              <w:t>5</w:t>
            </w:r>
          </w:hyperlink>
        </w:p>
        <w:p>
          <w:pPr>
            <w:pStyle w:val="TOC2"/>
            <w:tabs>
              <w:tab w:val="clear" w:pos="9223"/>
              <w:tab w:val="right" w:pos="9505" w:leader="dot"/>
            </w:tabs>
            <w:rPr/>
          </w:pPr>
          <w:hyperlink w:anchor="__RefHeading___Toc3989_4185582242" w:tooltip="2.3 Missing Gamification">
            <w:r>
              <w:rPr>
                <w:rStyle w:val="Verzeichnissprung"/>
              </w:rPr>
              <w:t>2.3 Missing Gamification</w:t>
              <w:tab/>
              <w:t>5</w:t>
            </w:r>
          </w:hyperlink>
        </w:p>
        <w:p>
          <w:pPr>
            <w:pStyle w:val="TOC2"/>
            <w:tabs>
              <w:tab w:val="clear" w:pos="9223"/>
              <w:tab w:val="right" w:pos="9505" w:leader="dot"/>
            </w:tabs>
            <w:rPr/>
          </w:pPr>
          <w:hyperlink w:anchor="__RefHeading___Toc3991_4185582242" w:tooltip="2.4 Centralized Trust Requirements">
            <w:r>
              <w:rPr>
                <w:rStyle w:val="Verzeichnissprung"/>
              </w:rPr>
              <w:t>2.4 Centralized Trust Requirements</w:t>
              <w:tab/>
              <w:t>5</w:t>
            </w:r>
          </w:hyperlink>
        </w:p>
        <w:p>
          <w:pPr>
            <w:pStyle w:val="TOC1"/>
            <w:tabs>
              <w:tab w:val="clear" w:pos="9506"/>
              <w:tab w:val="right" w:pos="9505" w:leader="dot"/>
            </w:tabs>
            <w:rPr/>
          </w:pPr>
          <w:hyperlink w:anchor="__RefHeading___Toc3993_4185582242" w:tooltip="3. The Solution — HellBurn’s Three Innovations">
            <w:r>
              <w:rPr>
                <w:rStyle w:val="Verzeichnissprung"/>
              </w:rPr>
              <w:t>3. The Solution — HellBurn’s Three Innovations</w:t>
              <w:tab/>
              <w:t>6</w:t>
            </w:r>
          </w:hyperlink>
        </w:p>
        <w:p>
          <w:pPr>
            <w:pStyle w:val="TOC2"/>
            <w:tabs>
              <w:tab w:val="clear" w:pos="9223"/>
              <w:tab w:val="right" w:pos="9505" w:leader="dot"/>
            </w:tabs>
            <w:rPr/>
          </w:pPr>
          <w:hyperlink w:anchor="__RefHeading___Toc3995_4185582242" w:tooltip="3.1 Burn Epochs: Perpetual Deflationary Pressure">
            <w:r>
              <w:rPr>
                <w:rStyle w:val="Verzeichnissprung"/>
              </w:rPr>
              <w:t>3.1 Burn Epochs: Perpetual Deflationary Pressure</w:t>
              <w:tab/>
              <w:t>6</w:t>
            </w:r>
          </w:hyperlink>
        </w:p>
        <w:p>
          <w:pPr>
            <w:pStyle w:val="TOC2"/>
            <w:tabs>
              <w:tab w:val="clear" w:pos="9223"/>
              <w:tab w:val="right" w:pos="9505" w:leader="dot"/>
            </w:tabs>
            <w:rPr/>
          </w:pPr>
          <w:hyperlink w:anchor="__RefHeading___Toc3997_4185582242" w:tooltip="3.2 Streak System: Game Theory as Retention">
            <w:r>
              <w:rPr>
                <w:rStyle w:val="Verzeichnissprung"/>
              </w:rPr>
              <w:t>3.2 Streak System: Game Theory as Retention</w:t>
              <w:tab/>
              <w:t>6</w:t>
            </w:r>
          </w:hyperlink>
        </w:p>
        <w:p>
          <w:pPr>
            <w:pStyle w:val="TOC2"/>
            <w:tabs>
              <w:tab w:val="clear" w:pos="9223"/>
              <w:tab w:val="right" w:pos="9505" w:leader="dot"/>
            </w:tabs>
            <w:rPr/>
          </w:pPr>
          <w:hyperlink w:anchor="__RefHeading___Toc3999_4185582242" w:tooltip="3.3 Burn-to-Boost Staking (&quot;Fuel&quot;)">
            <w:r>
              <w:rPr>
                <w:rStyle w:val="Verzeichnissprung"/>
              </w:rPr>
              <w:t>3.3 Burn-to-Boost Staking ("Fuel")</w:t>
              <w:tab/>
              <w:t>6</w:t>
            </w:r>
          </w:hyperlink>
        </w:p>
        <w:p>
          <w:pPr>
            <w:pStyle w:val="TOC1"/>
            <w:tabs>
              <w:tab w:val="clear" w:pos="9506"/>
              <w:tab w:val="right" w:pos="9505" w:leader="dot"/>
            </w:tabs>
            <w:rPr/>
          </w:pPr>
          <w:hyperlink w:anchor="__RefHeading___Toc4001_4185582242" w:tooltip="4. The Deflation Flywheel">
            <w:r>
              <w:rPr>
                <w:rStyle w:val="Verzeichnissprung"/>
              </w:rPr>
              <w:t>4. The Deflation Flywheel</w:t>
              <w:tab/>
              <w:t>7</w:t>
            </w:r>
          </w:hyperlink>
        </w:p>
        <w:p>
          <w:pPr>
            <w:pStyle w:val="TOC1"/>
            <w:tabs>
              <w:tab w:val="clear" w:pos="9506"/>
              <w:tab w:val="right" w:pos="9505" w:leader="dot"/>
            </w:tabs>
            <w:rPr/>
          </w:pPr>
          <w:hyperlink w:anchor="__RefHeading___Toc4003_4185582242" w:tooltip="5. Trustless Architecture (NEW in v4.0)">
            <w:r>
              <w:rPr>
                <w:rStyle w:val="Verzeichnissprung"/>
              </w:rPr>
              <w:t>5. Trustless Architecture (NEW in v4.0)</w:t>
              <w:tab/>
              <w:t>8</w:t>
            </w:r>
          </w:hyperlink>
        </w:p>
        <w:p>
          <w:pPr>
            <w:pStyle w:val="TOC2"/>
            <w:tabs>
              <w:tab w:val="clear" w:pos="9223"/>
              <w:tab w:val="right" w:pos="9505" w:leader="dot"/>
            </w:tabs>
            <w:rPr/>
          </w:pPr>
          <w:hyperlink w:anchor="__RefHeading___Toc4005_4185582242" w:tooltip="5.1 Fair Launch LP — No Human Touches Liquidity">
            <w:r>
              <w:rPr>
                <w:rStyle w:val="Verzeichnissprung"/>
              </w:rPr>
              <w:t>5.1 Fair Launch LP — No Human Touches Liquidity</w:t>
              <w:tab/>
              <w:t>8</w:t>
            </w:r>
          </w:hyperlink>
        </w:p>
        <w:p>
          <w:pPr>
            <w:pStyle w:val="TOC2"/>
            <w:tabs>
              <w:tab w:val="clear" w:pos="9223"/>
              <w:tab w:val="right" w:pos="9505" w:leader="dot"/>
            </w:tabs>
            <w:rPr/>
          </w:pPr>
          <w:hyperlink w:anchor="__RefHeading___Toc4007_4185582242" w:tooltip="5.2 Trustless Treasury — No One Can Withdraw">
            <w:r>
              <w:rPr>
                <w:rStyle w:val="Verzeichnissprung"/>
              </w:rPr>
              <w:t>5.2 Trustless Treasury — No One Can Withdraw</w:t>
              <w:tab/>
              <w:t>8</w:t>
            </w:r>
          </w:hyperlink>
        </w:p>
        <w:p>
          <w:pPr>
            <w:pStyle w:val="TOC2"/>
            <w:tabs>
              <w:tab w:val="clear" w:pos="9223"/>
              <w:tab w:val="right" w:pos="9505" w:leader="dot"/>
            </w:tabs>
            <w:rPr/>
          </w:pPr>
          <w:hyperlink w:anchor="__RefHeading___Toc4009_4185582242" w:tooltip="5.3 No Guardian, No Pause — Fully Autonomous">
            <w:r>
              <w:rPr>
                <w:rStyle w:val="Verzeichnissprung"/>
              </w:rPr>
              <w:t>5.3 No Guardian, No Pause — Fully Autonomous</w:t>
              <w:tab/>
              <w:t>8</w:t>
            </w:r>
          </w:hyperlink>
        </w:p>
        <w:p>
          <w:pPr>
            <w:pStyle w:val="TOC2"/>
            <w:tabs>
              <w:tab w:val="clear" w:pos="9223"/>
              <w:tab w:val="right" w:pos="9505" w:leader="dot"/>
            </w:tabs>
            <w:rPr/>
          </w:pPr>
          <w:hyperlink w:anchor="__RefHeading___Toc4011_4185582242" w:tooltip="5.4 Trust Verification">
            <w:r>
              <w:rPr>
                <w:rStyle w:val="Verzeichnissprung"/>
              </w:rPr>
              <w:t>5.4 Trust Verification</w:t>
              <w:tab/>
              <w:t>8</w:t>
            </w:r>
          </w:hyperlink>
        </w:p>
        <w:p>
          <w:pPr>
            <w:pStyle w:val="TOC1"/>
            <w:tabs>
              <w:tab w:val="clear" w:pos="9506"/>
              <w:tab w:val="right" w:pos="9505" w:leader="dot"/>
            </w:tabs>
            <w:rPr/>
          </w:pPr>
          <w:hyperlink w:anchor="__RefHeading___Toc4013_4185582242" w:tooltip="6. Genesis Phase — Your Entry Point">
            <w:r>
              <w:rPr>
                <w:rStyle w:val="Verzeichnissprung"/>
              </w:rPr>
              <w:t>6. Genesis Phase — Your Entry Point</w:t>
              <w:tab/>
              <w:t>10</w:t>
            </w:r>
          </w:hyperlink>
        </w:p>
        <w:p>
          <w:pPr>
            <w:pStyle w:val="TOC1"/>
            <w:tabs>
              <w:tab w:val="clear" w:pos="9506"/>
              <w:tab w:val="right" w:pos="9505" w:leader="dot"/>
            </w:tabs>
            <w:rPr/>
          </w:pPr>
          <w:hyperlink w:anchor="__RefHeading___Toc4015_4185582242" w:tooltip="7. Burn Epochs — Competing for ETH">
            <w:r>
              <w:rPr>
                <w:rStyle w:val="Verzeichnissprung"/>
              </w:rPr>
              <w:t>7. Burn Epochs — Competing for ETH</w:t>
              <w:tab/>
              <w:t>11</w:t>
            </w:r>
          </w:hyperlink>
        </w:p>
        <w:p>
          <w:pPr>
            <w:pStyle w:val="TOC1"/>
            <w:tabs>
              <w:tab w:val="clear" w:pos="9506"/>
              <w:tab w:val="right" w:pos="9505" w:leader="dot"/>
            </w:tabs>
            <w:rPr/>
          </w:pPr>
          <w:hyperlink w:anchor="__RefHeading___Toc4017_4185582242" w:tooltip="8. Staking &amp; Real Yield">
            <w:r>
              <w:rPr>
                <w:rStyle w:val="Verzeichnissprung"/>
              </w:rPr>
              <w:t>8. Staking &amp; Real Yield</w:t>
              <w:tab/>
              <w:t>12</w:t>
            </w:r>
          </w:hyperlink>
        </w:p>
        <w:p>
          <w:pPr>
            <w:pStyle w:val="TOC1"/>
            <w:tabs>
              <w:tab w:val="clear" w:pos="9506"/>
              <w:tab w:val="right" w:pos="9505" w:leader="dot"/>
            </w:tabs>
            <w:rPr/>
          </w:pPr>
          <w:hyperlink w:anchor="__RefHeading___Toc4019_4185582242" w:tooltip="9. Tokenomics Deep Dive">
            <w:r>
              <w:rPr>
                <w:rStyle w:val="Verzeichnissprung"/>
              </w:rPr>
              <w:t>9. Tokenomics Deep Dive</w:t>
              <w:tab/>
              <w:t>13</w:t>
            </w:r>
          </w:hyperlink>
        </w:p>
        <w:p>
          <w:pPr>
            <w:pStyle w:val="TOC1"/>
            <w:tabs>
              <w:tab w:val="clear" w:pos="9506"/>
              <w:tab w:val="right" w:pos="9505" w:leader="dot"/>
            </w:tabs>
            <w:rPr/>
          </w:pPr>
          <w:hyperlink w:anchor="__RefHeading___Toc4021_4185582242" w:tooltip="10. Day 888 Strategy — The Catalyst Event">
            <w:r>
              <w:rPr>
                <w:rStyle w:val="Verzeichnissprung"/>
              </w:rPr>
              <w:t>10. Day 888 Strategy — The Catalyst Event</w:t>
              <w:tab/>
              <w:t>14</w:t>
            </w:r>
          </w:hyperlink>
        </w:p>
        <w:p>
          <w:pPr>
            <w:pStyle w:val="TOC1"/>
            <w:tabs>
              <w:tab w:val="clear" w:pos="9506"/>
              <w:tab w:val="right" w:pos="9505" w:leader="dot"/>
            </w:tabs>
            <w:rPr/>
          </w:pPr>
          <w:hyperlink w:anchor="__RefHeading___Toc4023_4185582242" w:tooltip="11. Anti-Dump Mechanisms">
            <w:r>
              <w:rPr>
                <w:rStyle w:val="Verzeichnissprung"/>
              </w:rPr>
              <w:t>11. Anti-Dump Mechanisms</w:t>
              <w:tab/>
              <w:t>15</w:t>
            </w:r>
          </w:hyperlink>
        </w:p>
        <w:p>
          <w:pPr>
            <w:pStyle w:val="TOC1"/>
            <w:tabs>
              <w:tab w:val="clear" w:pos="9506"/>
              <w:tab w:val="right" w:pos="9505" w:leader="dot"/>
            </w:tabs>
            <w:rPr/>
          </w:pPr>
          <w:hyperlink w:anchor="__RefHeading___Toc4025_4185582242" w:tooltip="12. 12-Month Projections">
            <w:r>
              <w:rPr>
                <w:rStyle w:val="Verzeichnissprung"/>
              </w:rPr>
              <w:t>12. 12-Month Projections</w:t>
              <w:tab/>
              <w:t>16</w:t>
            </w:r>
          </w:hyperlink>
        </w:p>
        <w:p>
          <w:pPr>
            <w:pStyle w:val="TOC1"/>
            <w:tabs>
              <w:tab w:val="clear" w:pos="9506"/>
              <w:tab w:val="right" w:pos="9505" w:leader="dot"/>
            </w:tabs>
            <w:rPr/>
          </w:pPr>
          <w:hyperlink w:anchor="__RefHeading___Toc4027_4185582242" w:tooltip="13. Roadmap">
            <w:r>
              <w:rPr>
                <w:rStyle w:val="Verzeichnissprung"/>
              </w:rPr>
              <w:t>13. Roadmap</w:t>
              <w:tab/>
              <w:t>17</w:t>
            </w:r>
          </w:hyperlink>
        </w:p>
        <w:p>
          <w:pPr>
            <w:pStyle w:val="TOC1"/>
            <w:tabs>
              <w:tab w:val="clear" w:pos="9506"/>
              <w:tab w:val="right" w:pos="9505" w:leader="dot"/>
            </w:tabs>
            <w:rPr/>
          </w:pPr>
          <w:hyperlink w:anchor="__RefHeading___Toc4029_4185582242" w:tooltip="14. Risks &amp; Disclaimers">
            <w:r>
              <w:rPr>
                <w:rStyle w:val="Verzeichnissprung"/>
              </w:rPr>
              <w:t>14. Risks &amp; Disclaimers</w:t>
              <w:tab/>
              <w:t>18</w:t>
            </w:r>
          </w:hyperlink>
          <w:r>
            <w:rPr>
              <w:rStyle w:val="Verzeichnissprung"/>
            </w:rPr>
            <w:fldChar w:fldCharType="end"/>
          </w:r>
        </w:p>
      </w:sdtContent>
    </w:sdt>
    <w:p>
      <w:pPr>
        <w:pStyle w:val="Normal"/>
        <w:spacing w:before="0" w:after="120"/>
        <w:rPr>
          <w:sz w:val="22"/>
          <w:szCs w:val="22"/>
        </w:rPr>
      </w:pPr>
      <w:r>
        <w:rPr/>
      </w:r>
    </w:p>
    <w:p>
      <w:pPr>
        <w:pStyle w:val="Normal"/>
        <w:rPr/>
      </w:pPr>
      <w:r>
        <w:rPr/>
      </w:r>
      <w:r>
        <w:br w:type="page"/>
      </w:r>
    </w:p>
    <w:p>
      <w:pPr>
        <w:pStyle w:val="Heading1"/>
        <w:spacing w:before="0" w:after="200"/>
        <w:rPr/>
      </w:pPr>
      <w:bookmarkStart w:id="0" w:name="__RefHeading___Toc3981_4185582242"/>
      <w:bookmarkEnd w:id="0"/>
      <w:r>
        <w:rPr/>
        <w:t>1. Executive Summary</w:t>
      </w:r>
    </w:p>
    <w:p>
      <w:pPr>
        <w:pStyle w:val="Normal"/>
        <w:spacing w:before="0" w:after="120"/>
        <w:rPr/>
      </w:pPr>
      <w:r>
        <w:rPr>
          <w:sz w:val="22"/>
          <w:szCs w:val="22"/>
        </w:rPr>
        <w:t>HellBurn is the first Competitive Burn-to-Earn Protocol in the TitanX ecosystem. It combines gamified, competitive burning with real ETH yield and creates perpetual deflationary pressure on both TitanX and DragonX.</w:t>
      </w:r>
    </w:p>
    <w:p>
      <w:pPr>
        <w:pStyle w:val="Normal"/>
        <w:spacing w:before="0" w:after="120"/>
        <w:rPr/>
      </w:pPr>
      <w:r>
        <w:rPr>
          <w:sz w:val="22"/>
          <w:szCs w:val="22"/>
        </w:rPr>
        <w:t>While existing TitanX ecosystem protocols (DragonX, Helios, Hydra, B88) rely on a one-time minting phase followed by passive staking, HellBurn introduces Burn Epochs — competitive 8-day cycles where participants burn TitanX and DragonX to earn a proportional share of ETH rewards. A streak system rewards consistent participation with up to 3x multiplier.</w:t>
      </w:r>
    </w:p>
    <w:p>
      <w:pPr>
        <w:pStyle w:val="Normal"/>
        <w:spacing w:before="0" w:after="120"/>
        <w:rPr/>
      </w:pPr>
      <w:r>
        <w:rPr>
          <w:sz w:val="22"/>
          <w:szCs w:val="22"/>
        </w:rPr>
        <w:t>The result: A self-reinforcing deflationary flywheel that runs in perpetuity. HellBurn strategically leverages the historic TitanX Day-888 payout (~727 ETH, ~$2.39M) as the ignition event.</w:t>
      </w:r>
    </w:p>
    <w:p>
      <w:pPr>
        <w:pStyle w:val="Normal"/>
        <w:spacing w:before="0" w:after="120"/>
        <w:rPr/>
      </w:pPr>
      <w:r>
        <w:rPr>
          <w:b/>
          <w:bCs/>
          <w:sz w:val="22"/>
          <w:szCs w:val="22"/>
        </w:rPr>
        <w:t>New in v4.0 — Fully Trustless:</w:t>
      </w:r>
    </w:p>
    <w:p>
      <w:pPr>
        <w:pStyle w:val="ListParagraph"/>
        <w:numPr>
          <w:ilvl w:val="0"/>
          <w:numId w:val="3"/>
        </w:numPr>
        <w:spacing w:before="0" w:after="60"/>
        <w:rPr/>
      </w:pPr>
      <w:r>
        <w:rPr>
          <w:sz w:val="22"/>
          <w:szCs w:val="22"/>
        </w:rPr>
        <w:t>No admin keys, no guardian, no pause function — the protocol runs autonomously once deployed.</w:t>
      </w:r>
    </w:p>
    <w:p>
      <w:pPr>
        <w:pStyle w:val="ListParagraph"/>
        <w:numPr>
          <w:ilvl w:val="0"/>
          <w:numId w:val="1"/>
        </w:numPr>
        <w:spacing w:before="0" w:after="60"/>
        <w:rPr/>
      </w:pPr>
      <w:r>
        <w:rPr>
          <w:sz w:val="22"/>
          <w:szCs w:val="22"/>
        </w:rPr>
        <w:t>Initial liquidity is created entirely by the smart contract (Fair Launch) — LP locked forever.</w:t>
      </w:r>
    </w:p>
    <w:p>
      <w:pPr>
        <w:pStyle w:val="ListParagraph"/>
        <w:numPr>
          <w:ilvl w:val="0"/>
          <w:numId w:val="1"/>
        </w:numPr>
        <w:spacing w:before="0" w:after="60"/>
        <w:rPr/>
      </w:pPr>
      <w:r>
        <w:rPr>
          <w:sz w:val="22"/>
          <w:szCs w:val="22"/>
        </w:rPr>
        <w:t>Treasury TitanX (22%) is auto-staked inside the contract for 3,500 days — no one can withdraw it. ETH yield flows to BuyAndBurn automatically.</w:t>
      </w:r>
    </w:p>
    <w:p>
      <w:pPr>
        <w:pStyle w:val="ListParagraph"/>
        <w:numPr>
          <w:ilvl w:val="0"/>
          <w:numId w:val="1"/>
        </w:numPr>
        <w:spacing w:before="0" w:after="60"/>
        <w:rPr/>
      </w:pPr>
      <w:r>
        <w:rPr>
          <w:sz w:val="22"/>
          <w:szCs w:val="22"/>
        </w:rPr>
        <w:t>Every critical function (endGenesis, stakeTreasury, claimTreasuryYield, collectLPFees, executeBuyAndBurn) is callable by anyone. Zero admin dependencies.</w:t>
      </w:r>
    </w:p>
    <w:p>
      <w:pPr>
        <w:pStyle w:val="Normal"/>
        <w:spacing w:before="0" w:after="80"/>
        <w:rPr/>
      </w:pPr>
      <w:r>
        <w:rPr/>
      </w:r>
    </w:p>
    <w:tbl>
      <w:tblPr>
        <w:tblW w:w="9500" w:type="dxa"/>
        <w:jc w:val="start"/>
        <w:tblInd w:w="0" w:type="dxa"/>
        <w:tblLayout w:type="fixed"/>
        <w:tblCellMar>
          <w:top w:w="60" w:type="dxa"/>
          <w:start w:w="100" w:type="dxa"/>
          <w:bottom w:w="60" w:type="dxa"/>
          <w:end w:w="100" w:type="dxa"/>
        </w:tblCellMar>
      </w:tblPr>
      <w:tblGrid>
        <w:gridCol w:w="3499"/>
        <w:gridCol w:w="6001"/>
      </w:tblGrid>
      <w:tr>
        <w:trPr/>
        <w:tc>
          <w:tcPr>
            <w:tcW w:w="34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Parameter</w:t>
            </w:r>
          </w:p>
        </w:tc>
        <w:tc>
          <w:tcPr>
            <w:tcW w:w="60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Value</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Token</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HBURN (ERC-20, Ethereum)</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Core Mechanic</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Competitive Burn Epochs + Payout Capture</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Burn Targets</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TitanX + DragonX (dual burn)</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Yield</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Real ETH from TitanX staking payouts</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Fixed — mint only during 28-day Genesis, then permanently disabled</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Liquidity</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Trustless — created by smart contract (Fair Launch)</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Treasury</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 TitanX auto-staked in contract — yield → BuyAndBurn</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Admin Keys</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 no owner, no guardian, no pause, fully autonomous</w:t>
            </w:r>
          </w:p>
        </w:tc>
      </w:tr>
      <w:tr>
        <w:trPr/>
        <w:tc>
          <w:tcPr>
            <w:tcW w:w="34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Launch Event</w:t>
            </w:r>
          </w:p>
        </w:tc>
        <w:tc>
          <w:tcPr>
            <w:tcW w:w="60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Before TitanX Day 888 (~April 2026)</w:t>
            </w:r>
          </w:p>
        </w:tc>
      </w:tr>
    </w:tbl>
    <w:p>
      <w:pPr>
        <w:pStyle w:val="Normal"/>
        <w:rPr/>
      </w:pPr>
      <w:r>
        <w:rPr/>
      </w:r>
      <w:r>
        <w:br w:type="page"/>
      </w:r>
    </w:p>
    <w:p>
      <w:pPr>
        <w:pStyle w:val="Heading1"/>
        <w:spacing w:before="0" w:after="200"/>
        <w:rPr/>
      </w:pPr>
      <w:bookmarkStart w:id="1" w:name="__RefHeading___Toc3983_4185582242"/>
      <w:bookmarkEnd w:id="1"/>
      <w:r>
        <w:rPr/>
        <w:t>2. The Problem — Why Existing Protocols Fall Short</w:t>
      </w:r>
    </w:p>
    <w:p>
      <w:pPr>
        <w:pStyle w:val="Heading2"/>
        <w:rPr/>
      </w:pPr>
      <w:bookmarkStart w:id="2" w:name="__RefHeading___Toc3985_4185582242"/>
      <w:bookmarkEnd w:id="2"/>
      <w:r>
        <w:rPr/>
        <w:t>2.1 One-Time Deflationary Pressure</w:t>
      </w:r>
    </w:p>
    <w:p>
      <w:pPr>
        <w:pStyle w:val="Normal"/>
        <w:spacing w:before="0" w:after="120"/>
        <w:rPr/>
      </w:pPr>
      <w:r>
        <w:rPr>
          <w:sz w:val="22"/>
          <w:szCs w:val="22"/>
        </w:rPr>
        <w:t>Every TitanX ecosystem project follows the same pattern: A minting phase where users deposit TitanX to receive new tokens, a portion gets burned, and then the burn pressure stops completely.</w:t>
      </w:r>
    </w:p>
    <w:p>
      <w:pPr>
        <w:pStyle w:val="Heading2"/>
        <w:rPr/>
      </w:pPr>
      <w:bookmarkStart w:id="3" w:name="__RefHeading___Toc3987_4185582242"/>
      <w:bookmarkEnd w:id="3"/>
      <w:r>
        <w:rPr/>
        <w:t>2.2 Passive Staking Without Engagement</w:t>
      </w:r>
    </w:p>
    <w:p>
      <w:pPr>
        <w:pStyle w:val="Normal"/>
        <w:spacing w:before="0" w:after="120"/>
        <w:rPr/>
      </w:pPr>
      <w:r>
        <w:rPr>
          <w:sz w:val="22"/>
          <w:szCs w:val="22"/>
        </w:rPr>
        <w:t>After minting, users stake their tokens and wait passively. This leads to declining engagement and a classic "mint → stake → forget → dump" cycle.</w:t>
      </w:r>
    </w:p>
    <w:p>
      <w:pPr>
        <w:pStyle w:val="Heading2"/>
        <w:rPr/>
      </w:pPr>
      <w:bookmarkStart w:id="4" w:name="__RefHeading___Toc3989_4185582242"/>
      <w:bookmarkEnd w:id="4"/>
      <w:r>
        <w:rPr/>
        <w:t>2.3 Missing Gamification</w:t>
      </w:r>
    </w:p>
    <w:p>
      <w:pPr>
        <w:pStyle w:val="Normal"/>
        <w:spacing w:before="0" w:after="120"/>
        <w:rPr/>
      </w:pPr>
      <w:r>
        <w:rPr>
          <w:sz w:val="22"/>
          <w:szCs w:val="22"/>
        </w:rPr>
        <w:t>Without competitive and game-theoretic elements, there is no reason to return. The most successful DeFi protocols (Curve, Convex, GMX, Pendle) have proven that competitive mechanics are the strongest retention drivers.</w:t>
      </w:r>
    </w:p>
    <w:p>
      <w:pPr>
        <w:pStyle w:val="Heading2"/>
        <w:rPr/>
      </w:pPr>
      <w:bookmarkStart w:id="5" w:name="__RefHeading___Toc3991_4185582242"/>
      <w:bookmarkEnd w:id="5"/>
      <w:r>
        <w:rPr/>
        <w:t>2.4 Centralized Trust Requirements</w:t>
      </w:r>
    </w:p>
    <w:p>
      <w:pPr>
        <w:pStyle w:val="Normal"/>
        <w:spacing w:before="0" w:after="120"/>
        <w:rPr/>
      </w:pPr>
      <w:r>
        <w:rPr>
          <w:sz w:val="22"/>
          <w:szCs w:val="22"/>
        </w:rPr>
        <w:t>Most protocols require trust in the founder: to create the LP pool fairly, to not drain the treasury, to not abuse admin keys. HellBurn v4.0 eliminates ALL of these trust requirements through smart contract automation.</w:t>
      </w:r>
    </w:p>
    <w:p>
      <w:pPr>
        <w:pStyle w:val="Normal"/>
        <w:rPr/>
      </w:pPr>
      <w:r>
        <w:rPr/>
      </w:r>
      <w:r>
        <w:br w:type="page"/>
      </w:r>
    </w:p>
    <w:p>
      <w:pPr>
        <w:pStyle w:val="Heading1"/>
        <w:spacing w:before="0" w:after="200"/>
        <w:rPr/>
      </w:pPr>
      <w:bookmarkStart w:id="6" w:name="__RefHeading___Toc3993_4185582242"/>
      <w:bookmarkEnd w:id="6"/>
      <w:r>
        <w:rPr/>
        <w:t>3. The Solution — HellBurn’s Three Innovations</w:t>
      </w:r>
    </w:p>
    <w:p>
      <w:pPr>
        <w:pStyle w:val="Heading2"/>
        <w:rPr/>
      </w:pPr>
      <w:bookmarkStart w:id="7" w:name="__RefHeading___Toc3995_4185582242"/>
      <w:bookmarkEnd w:id="7"/>
      <w:r>
        <w:rPr/>
        <w:t>3.1 Burn Epochs: Perpetual Deflationary Pressure</w:t>
      </w:r>
    </w:p>
    <w:p>
      <w:pPr>
        <w:pStyle w:val="Normal"/>
        <w:spacing w:before="0" w:after="120"/>
        <w:rPr/>
      </w:pPr>
      <w:r>
        <w:rPr>
          <w:sz w:val="22"/>
          <w:szCs w:val="22"/>
        </w:rPr>
        <w:t>Every 8 days, a new Burn Epoch begins. Users burn TitanX (1x weight) and/or DragonX (2x weight) into the Epoch Pool. At epoch end, ETH rewards are distributed proportionally. Burning never stops — as long as ETH rewards flow, there is always an incentive to burn.</w:t>
      </w:r>
    </w:p>
    <w:p>
      <w:pPr>
        <w:pStyle w:val="Heading2"/>
        <w:rPr/>
      </w:pPr>
      <w:bookmarkStart w:id="8" w:name="__RefHeading___Toc3997_4185582242"/>
      <w:bookmarkEnd w:id="8"/>
      <w:r>
        <w:rPr/>
        <w:t>3.2 Streak System: Game Theory as Retention</w:t>
      </w:r>
    </w:p>
    <w:p>
      <w:pPr>
        <w:pStyle w:val="Normal"/>
        <w:spacing w:before="0" w:after="120"/>
        <w:rPr/>
      </w:pPr>
      <w:r>
        <w:rPr>
          <w:sz w:val="22"/>
          <w:szCs w:val="22"/>
        </w:rPr>
        <w:t>Consecutive epoch participation builds a streak. Each epoch increases the multiplier by +0.2x, up to 3.0x maximum (11 consecutive epochs). Missing a single epoch resets to 1.0x. The psychological lock-in keeps participants active.</w:t>
      </w:r>
    </w:p>
    <w:p>
      <w:pPr>
        <w:pStyle w:val="Heading2"/>
        <w:rPr/>
      </w:pPr>
      <w:bookmarkStart w:id="9" w:name="__RefHeading___Toc3999_4185582242"/>
      <w:bookmarkEnd w:id="9"/>
      <w:r>
        <w:rPr/>
        <w:t>3.3 Burn-to-Boost Staking ("Fuel")</w:t>
      </w:r>
    </w:p>
    <w:p>
      <w:pPr>
        <w:pStyle w:val="Normal"/>
        <w:spacing w:before="0" w:after="120"/>
        <w:rPr/>
      </w:pPr>
      <w:r>
        <w:rPr>
          <w:sz w:val="22"/>
          <w:szCs w:val="22"/>
        </w:rPr>
        <w:t>Stakers can burn additional TitanX/DragonX during an active stake to boost their shares by up to +50%. This creates triple deflationary pressure: at minting, at epochs, and within staking.</w:t>
      </w:r>
    </w:p>
    <w:p>
      <w:pPr>
        <w:pStyle w:val="Normal"/>
        <w:rPr/>
      </w:pPr>
      <w:r>
        <w:rPr/>
      </w:r>
      <w:r>
        <w:br w:type="page"/>
      </w:r>
    </w:p>
    <w:p>
      <w:pPr>
        <w:pStyle w:val="Heading1"/>
        <w:spacing w:before="0" w:after="200"/>
        <w:rPr/>
      </w:pPr>
      <w:bookmarkStart w:id="10" w:name="__RefHeading___Toc4001_4185582242"/>
      <w:bookmarkEnd w:id="10"/>
      <w:r>
        <w:rPr/>
        <w:t>4. The Deflation Flywheel</w:t>
      </w:r>
    </w:p>
    <w:p>
      <w:pPr>
        <w:pStyle w:val="Normal"/>
        <w:spacing w:before="0" w:after="120"/>
        <w:rPr/>
      </w:pPr>
      <w:r>
        <w:rPr>
          <w:b/>
          <w:bCs/>
          <w:sz w:val="22"/>
          <w:szCs w:val="22"/>
        </w:rPr>
        <w:t>Step 1:</w:t>
      </w:r>
    </w:p>
    <w:p>
      <w:pPr>
        <w:pStyle w:val="Normal"/>
        <w:spacing w:before="0" w:after="120"/>
        <w:rPr/>
      </w:pPr>
      <w:r>
        <w:rPr>
          <w:sz w:val="22"/>
          <w:szCs w:val="22"/>
        </w:rPr>
        <w:t>Users burn TitanX/DragonX (via Genesis, Epochs, or Fuel)</w:t>
      </w:r>
    </w:p>
    <w:p>
      <w:pPr>
        <w:pStyle w:val="Normal"/>
        <w:spacing w:before="0" w:after="120"/>
        <w:rPr/>
      </w:pPr>
      <w:r>
        <w:rPr>
          <w:b/>
          <w:bCs/>
          <w:sz w:val="22"/>
          <w:szCs w:val="22"/>
        </w:rPr>
        <w:t>Step 2:</w:t>
      </w:r>
    </w:p>
    <w:p>
      <w:pPr>
        <w:pStyle w:val="Normal"/>
        <w:spacing w:before="0" w:after="120"/>
        <w:rPr/>
      </w:pPr>
      <w:r>
        <w:rPr>
          <w:sz w:val="22"/>
          <w:szCs w:val="22"/>
        </w:rPr>
        <w:t>35% permanently burned, 35% to DragonX Vault, 22% auto-staked in contract treasury (3,500 days), 8% accumulated for LP creation</w:t>
      </w:r>
    </w:p>
    <w:p>
      <w:pPr>
        <w:pStyle w:val="Normal"/>
        <w:spacing w:before="0" w:after="120"/>
        <w:rPr/>
      </w:pPr>
      <w:r>
        <w:rPr>
          <w:b/>
          <w:bCs/>
          <w:sz w:val="22"/>
          <w:szCs w:val="22"/>
        </w:rPr>
        <w:t>Step 3:</w:t>
      </w:r>
    </w:p>
    <w:p>
      <w:pPr>
        <w:pStyle w:val="Normal"/>
        <w:spacing w:before="0" w:after="120"/>
        <w:rPr/>
      </w:pPr>
      <w:r>
        <w:rPr>
          <w:sz w:val="22"/>
          <w:szCs w:val="22"/>
        </w:rPr>
        <w:t>Staked TitanX generates ETH at every payout cycle (8/28/90/369/888 days)</w:t>
      </w:r>
    </w:p>
    <w:p>
      <w:pPr>
        <w:pStyle w:val="Normal"/>
        <w:spacing w:before="0" w:after="120"/>
        <w:rPr/>
      </w:pPr>
      <w:r>
        <w:rPr>
          <w:b/>
          <w:bCs/>
          <w:sz w:val="22"/>
          <w:szCs w:val="22"/>
        </w:rPr>
        <w:t>Step 4:</w:t>
      </w:r>
    </w:p>
    <w:p>
      <w:pPr>
        <w:pStyle w:val="Normal"/>
        <w:spacing w:before="0" w:after="120"/>
        <w:rPr/>
      </w:pPr>
      <w:r>
        <w:rPr>
          <w:sz w:val="22"/>
          <w:szCs w:val="22"/>
        </w:rPr>
        <w:t>80% of epoch ETH flows to burners, 20% to BuyAndBurn (buys + burns HBURN)</w:t>
      </w:r>
    </w:p>
    <w:p>
      <w:pPr>
        <w:pStyle w:val="Normal"/>
        <w:spacing w:before="0" w:after="120"/>
        <w:rPr/>
      </w:pPr>
      <w:r>
        <w:rPr>
          <w:b/>
          <w:bCs/>
          <w:sz w:val="22"/>
          <w:szCs w:val="22"/>
        </w:rPr>
        <w:t>Step 5:</w:t>
      </w:r>
    </w:p>
    <w:p>
      <w:pPr>
        <w:pStyle w:val="Normal"/>
        <w:spacing w:before="0" w:after="120"/>
        <w:rPr/>
      </w:pPr>
      <w:r>
        <w:rPr>
          <w:sz w:val="22"/>
          <w:szCs w:val="22"/>
        </w:rPr>
        <w:t>Treasury yield also flows to BuyAndBurn — continuous buying pressure</w:t>
      </w:r>
    </w:p>
    <w:p>
      <w:pPr>
        <w:pStyle w:val="Normal"/>
        <w:spacing w:before="0" w:after="120"/>
        <w:rPr/>
      </w:pPr>
      <w:r>
        <w:rPr>
          <w:b/>
          <w:bCs/>
          <w:sz w:val="22"/>
          <w:szCs w:val="22"/>
        </w:rPr>
        <w:t>Step 6:</w:t>
      </w:r>
    </w:p>
    <w:p>
      <w:pPr>
        <w:pStyle w:val="Normal"/>
        <w:spacing w:before="0" w:after="120"/>
        <w:rPr/>
      </w:pPr>
      <w:r>
        <w:rPr>
          <w:sz w:val="22"/>
          <w:szCs w:val="22"/>
        </w:rPr>
        <w:t>More burns → more stakes → more ETH → more burners → repeat</w:t>
      </w:r>
    </w:p>
    <w:p>
      <w:pPr>
        <w:pStyle w:val="Normal"/>
        <w:spacing w:before="0" w:after="120"/>
        <w:rPr/>
      </w:pPr>
      <w:r>
        <w:rPr>
          <w:sz w:val="22"/>
          <w:szCs w:val="22"/>
        </w:rPr>
        <w:t>Additionally, 3% of all HBURN minted during Genesis is reserved for the initial liquidity pool. The Flywheel begins with built-in trading liquidity from Day 1 after Genesis.</w:t>
      </w:r>
    </w:p>
    <w:p>
      <w:pPr>
        <w:pStyle w:val="Normal"/>
        <w:rPr/>
      </w:pPr>
      <w:r>
        <w:rPr/>
      </w:r>
      <w:r>
        <w:br w:type="page"/>
      </w:r>
    </w:p>
    <w:p>
      <w:pPr>
        <w:pStyle w:val="Heading1"/>
        <w:spacing w:before="0" w:after="200"/>
        <w:rPr/>
      </w:pPr>
      <w:bookmarkStart w:id="11" w:name="__RefHeading___Toc4003_4185582242"/>
      <w:bookmarkEnd w:id="11"/>
      <w:r>
        <w:rPr/>
        <w:t>5. Trustless Architecture (NEW in v4.0)</w:t>
      </w:r>
    </w:p>
    <w:p>
      <w:pPr>
        <w:pStyle w:val="Normal"/>
        <w:spacing w:before="0" w:after="120"/>
        <w:rPr/>
      </w:pPr>
      <w:r>
        <w:rPr>
          <w:sz w:val="22"/>
          <w:szCs w:val="22"/>
        </w:rPr>
        <w:t>This is the defining feature of HellBurn v4.0. The entire protocol operates without any human intervention after deployment. No admin keys, no guardian, no pause buttons, no multi-sig — pure smart contract automation.</w:t>
      </w:r>
    </w:p>
    <w:p>
      <w:pPr>
        <w:pStyle w:val="Heading2"/>
        <w:rPr/>
      </w:pPr>
      <w:bookmarkStart w:id="12" w:name="__RefHeading___Toc4005_4185582242"/>
      <w:bookmarkEnd w:id="12"/>
      <w:r>
        <w:rPr/>
        <w:t>5.1 Fair Launch LP — No Human Touches Liquidity</w:t>
      </w:r>
    </w:p>
    <w:p>
      <w:pPr>
        <w:pStyle w:val="Normal"/>
        <w:spacing w:before="0" w:after="120"/>
        <w:rPr/>
      </w:pPr>
      <w:r>
        <w:rPr>
          <w:sz w:val="22"/>
          <w:szCs w:val="22"/>
        </w:rPr>
        <w:t>During the 28-day Genesis, two reserves accumulate inside the contract:</w:t>
      </w:r>
    </w:p>
    <w:p>
      <w:pPr>
        <w:pStyle w:val="ListParagraph"/>
        <w:numPr>
          <w:ilvl w:val="0"/>
          <w:numId w:val="1"/>
        </w:numPr>
        <w:spacing w:before="0" w:after="60"/>
        <w:rPr/>
      </w:pPr>
      <w:r>
        <w:rPr>
          <w:b/>
          <w:bCs/>
          <w:sz w:val="22"/>
          <w:szCs w:val="22"/>
        </w:rPr>
        <w:t>LP HBURN Reserve (3%):</w:t>
      </w:r>
      <w:r>
        <w:rPr>
          <w:sz w:val="22"/>
          <w:szCs w:val="22"/>
        </w:rPr>
        <w:t xml:space="preserve"> Every HBURN mint sets aside 3% for the LP. Users receive 97%.</w:t>
      </w:r>
    </w:p>
    <w:p>
      <w:pPr>
        <w:pStyle w:val="ListParagraph"/>
        <w:numPr>
          <w:ilvl w:val="0"/>
          <w:numId w:val="1"/>
        </w:numPr>
        <w:spacing w:before="0" w:after="60"/>
        <w:rPr/>
      </w:pPr>
      <w:r>
        <w:rPr>
          <w:b/>
          <w:bCs/>
          <w:sz w:val="22"/>
          <w:szCs w:val="22"/>
        </w:rPr>
        <w:t>Genesis Fund (8% TitanX):</w:t>
      </w:r>
      <w:r>
        <w:rPr>
          <w:sz w:val="22"/>
          <w:szCs w:val="22"/>
        </w:rPr>
        <w:t xml:space="preserve"> Stays in the contract, converted to WETH at genesis end.</w:t>
      </w:r>
    </w:p>
    <w:p>
      <w:pPr>
        <w:pStyle w:val="Normal"/>
        <w:spacing w:before="0" w:after="120"/>
        <w:rPr/>
      </w:pPr>
      <w:r>
        <w:rPr>
          <w:sz w:val="22"/>
          <w:szCs w:val="22"/>
        </w:rPr>
        <w:t>When anyone calls endGenesis() after 28 days, the contract: (1) swaps TitanX to WETH, (2) creates a Uniswap V3 HBURN/WETH pool, (3) mints a permanent LP position. The LP NFT is locked forever in the contract — no withdraw function exists.</w:t>
      </w:r>
    </w:p>
    <w:p>
      <w:pPr>
        <w:pStyle w:val="Heading2"/>
        <w:rPr/>
      </w:pPr>
      <w:bookmarkStart w:id="13" w:name="__RefHeading___Toc4007_4185582242"/>
      <w:bookmarkEnd w:id="13"/>
      <w:r>
        <w:rPr/>
        <w:t>5.2 Trustless Treasury — No One Can Withdraw</w:t>
      </w:r>
    </w:p>
    <w:p>
      <w:pPr>
        <w:pStyle w:val="Normal"/>
        <w:spacing w:before="0" w:after="120"/>
        <w:rPr/>
      </w:pPr>
      <w:r>
        <w:rPr>
          <w:sz w:val="22"/>
          <w:szCs w:val="22"/>
        </w:rPr>
        <w:t>In v4.0, the treasury TitanX STAYS in the Genesis contract.</w:t>
      </w:r>
    </w:p>
    <w:p>
      <w:pPr>
        <w:pStyle w:val="Normal"/>
        <w:spacing w:before="0" w:after="120"/>
        <w:rPr/>
      </w:pPr>
      <w:r>
        <w:rPr>
          <w:sz w:val="22"/>
          <w:szCs w:val="22"/>
        </w:rPr>
        <w:t>After genesis ends, anyone can call stakeTreasury() to lock the TitanX in a 3,500-day TitanX stake. This generates ETH yield over the entire staking period. Anyone can then call claimTreasuryYield() to collect the accumulated ETH and forward it to the BuyAndBurn contract, where it buys HBURN on the open market and burns it.</w:t>
      </w:r>
    </w:p>
    <w:p>
      <w:pPr>
        <w:pStyle w:val="Normal"/>
        <w:spacing w:before="0" w:after="120"/>
        <w:rPr/>
      </w:pPr>
      <w:r>
        <w:rPr>
          <w:b/>
          <w:bCs/>
          <w:sz w:val="22"/>
          <w:szCs w:val="22"/>
        </w:rPr>
        <w:t>The result:</w:t>
      </w:r>
    </w:p>
    <w:p>
      <w:pPr>
        <w:pStyle w:val="ListParagraph"/>
        <w:numPr>
          <w:ilvl w:val="0"/>
          <w:numId w:val="1"/>
        </w:numPr>
        <w:spacing w:before="0" w:after="60"/>
        <w:rPr/>
      </w:pPr>
      <w:r>
        <w:rPr>
          <w:sz w:val="22"/>
          <w:szCs w:val="22"/>
        </w:rPr>
        <w:t>22% of all Genesis TitanX generates permanent buying pressure on HBURN</w:t>
      </w:r>
    </w:p>
    <w:p>
      <w:pPr>
        <w:pStyle w:val="ListParagraph"/>
        <w:numPr>
          <w:ilvl w:val="0"/>
          <w:numId w:val="1"/>
        </w:numPr>
        <w:spacing w:before="0" w:after="60"/>
        <w:rPr/>
      </w:pPr>
      <w:r>
        <w:rPr>
          <w:sz w:val="22"/>
          <w:szCs w:val="22"/>
        </w:rPr>
        <w:t>No human can touch the staked TitanX — it’s locked for 3,500 days</w:t>
      </w:r>
    </w:p>
    <w:p>
      <w:pPr>
        <w:pStyle w:val="ListParagraph"/>
        <w:numPr>
          <w:ilvl w:val="0"/>
          <w:numId w:val="1"/>
        </w:numPr>
        <w:spacing w:before="0" w:after="60"/>
        <w:rPr/>
      </w:pPr>
      <w:r>
        <w:rPr>
          <w:sz w:val="22"/>
          <w:szCs w:val="22"/>
        </w:rPr>
        <w:t>No human can redirect the ETH yield — it always goes to BuyAndBurn</w:t>
      </w:r>
    </w:p>
    <w:p>
      <w:pPr>
        <w:pStyle w:val="ListParagraph"/>
        <w:numPr>
          <w:ilvl w:val="0"/>
          <w:numId w:val="1"/>
        </w:numPr>
        <w:spacing w:before="0" w:after="60"/>
        <w:rPr/>
      </w:pPr>
      <w:r>
        <w:rPr>
          <w:sz w:val="22"/>
          <w:szCs w:val="22"/>
        </w:rPr>
        <w:t>Both functions are callable by anyone — zero admin dependency</w:t>
      </w:r>
    </w:p>
    <w:p>
      <w:pPr>
        <w:pStyle w:val="Heading2"/>
        <w:rPr/>
      </w:pPr>
      <w:bookmarkStart w:id="14" w:name="__RefHeading___Toc4009_4185582242"/>
      <w:bookmarkEnd w:id="14"/>
      <w:r>
        <w:rPr/>
        <w:t>5.3 No Guardian, No Pause — Fully Autonomous</w:t>
      </w:r>
    </w:p>
    <w:p>
      <w:pPr>
        <w:pStyle w:val="Normal"/>
        <w:spacing w:before="0" w:after="120"/>
        <w:rPr/>
      </w:pPr>
      <w:r>
        <w:rPr>
          <w:sz w:val="22"/>
          <w:szCs w:val="22"/>
        </w:rPr>
        <w:t>Many DeFi protocols include a "guardian" role that can pause the protocol. While intended for emergencies, this introduces centralization: the guardian can grief users by permanently pausing deposits or staking.</w:t>
      </w:r>
    </w:p>
    <w:p>
      <w:pPr>
        <w:pStyle w:val="Normal"/>
        <w:spacing w:before="0" w:after="120"/>
        <w:rPr/>
      </w:pPr>
      <w:r>
        <w:rPr>
          <w:sz w:val="22"/>
          <w:szCs w:val="22"/>
        </w:rPr>
        <w:t>HellBurn v4.0 removes the guardian entirely. Once deployed, the contracts run autonomously:</w:t>
      </w:r>
    </w:p>
    <w:p>
      <w:pPr>
        <w:pStyle w:val="ListParagraph"/>
        <w:numPr>
          <w:ilvl w:val="0"/>
          <w:numId w:val="1"/>
        </w:numPr>
        <w:spacing w:before="0" w:after="60"/>
        <w:rPr/>
      </w:pPr>
      <w:r>
        <w:rPr>
          <w:sz w:val="22"/>
          <w:szCs w:val="22"/>
        </w:rPr>
        <w:t>BurnEpochs: Burns and claims always work. No one can pause them.</w:t>
      </w:r>
    </w:p>
    <w:p>
      <w:pPr>
        <w:pStyle w:val="ListParagraph"/>
        <w:numPr>
          <w:ilvl w:val="0"/>
          <w:numId w:val="1"/>
        </w:numPr>
        <w:spacing w:before="0" w:after="60"/>
        <w:rPr/>
      </w:pPr>
      <w:r>
        <w:rPr>
          <w:sz w:val="22"/>
          <w:szCs w:val="22"/>
        </w:rPr>
        <w:t>Staking: Stakes and unstakes always work. No one can freeze funds.</w:t>
      </w:r>
    </w:p>
    <w:p>
      <w:pPr>
        <w:pStyle w:val="ListParagraph"/>
        <w:numPr>
          <w:ilvl w:val="0"/>
          <w:numId w:val="1"/>
        </w:numPr>
        <w:spacing w:before="0" w:after="60"/>
        <w:rPr/>
      </w:pPr>
      <w:r>
        <w:rPr>
          <w:sz w:val="22"/>
          <w:szCs w:val="22"/>
        </w:rPr>
        <w:t>GenesisBurn: Fully immutable from Day 1. No admin of any kind.</w:t>
      </w:r>
    </w:p>
    <w:p>
      <w:pPr>
        <w:pStyle w:val="ListParagraph"/>
        <w:numPr>
          <w:ilvl w:val="0"/>
          <w:numId w:val="1"/>
        </w:numPr>
        <w:spacing w:before="0" w:after="60"/>
        <w:rPr/>
      </w:pPr>
      <w:r>
        <w:rPr>
          <w:sz w:val="22"/>
          <w:szCs w:val="22"/>
        </w:rPr>
        <w:t>BuyAndBurn: Callable by anyone. No access controls.</w:t>
      </w:r>
    </w:p>
    <w:p>
      <w:pPr>
        <w:pStyle w:val="Heading2"/>
        <w:rPr/>
      </w:pPr>
      <w:bookmarkStart w:id="15" w:name="__RefHeading___Toc4011_4185582242"/>
      <w:bookmarkEnd w:id="15"/>
      <w:r>
        <w:rPr/>
        <w:t>5.4 Trust Verification</w:t>
      </w:r>
    </w:p>
    <w:p>
      <w:pPr>
        <w:pStyle w:val="Normal"/>
        <w:spacing w:before="0" w:after="120"/>
        <w:rPr/>
      </w:pPr>
      <w:r>
        <w:rPr>
          <w:sz w:val="22"/>
          <w:szCs w:val="22"/>
        </w:rPr>
        <w:t>Every claim in this whitepaper is verifiable on Etherscan:</w:t>
      </w:r>
    </w:p>
    <w:tbl>
      <w:tblPr>
        <w:tblW w:w="9500" w:type="dxa"/>
        <w:jc w:val="start"/>
        <w:tblInd w:w="0" w:type="dxa"/>
        <w:tblLayout w:type="fixed"/>
        <w:tblCellMar>
          <w:top w:w="60" w:type="dxa"/>
          <w:start w:w="100" w:type="dxa"/>
          <w:bottom w:w="60" w:type="dxa"/>
          <w:end w:w="100" w:type="dxa"/>
        </w:tblCellMar>
      </w:tblPr>
      <w:tblGrid>
        <w:gridCol w:w="3199"/>
        <w:gridCol w:w="6301"/>
      </w:tblGrid>
      <w:tr>
        <w:trPr/>
        <w:tc>
          <w:tcPr>
            <w:tcW w:w="31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Claim</w:t>
            </w:r>
          </w:p>
        </w:tc>
        <w:tc>
          <w:tcPr>
            <w:tcW w:w="63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How to Verify</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admin keys</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Read contract source — no onlyOwner, no onlyGuardian modifiers</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pause</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Search for "pause" in source — function does not exist</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Treasury locked</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Call treasuryInfo() — shows amount and staked status</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LP locked forever</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Contract holds LP NFT, no transfer/withdraw function</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Supply fixed</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genesisMintingEnded() returns true after genesis</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All functions public</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access modifiers on endGenesis, stakeTreasury, etc.</w:t>
            </w:r>
          </w:p>
        </w:tc>
      </w:tr>
    </w:tbl>
    <w:p>
      <w:pPr>
        <w:pStyle w:val="Normal"/>
        <w:rPr/>
      </w:pPr>
      <w:r>
        <w:rPr/>
      </w:r>
      <w:r>
        <w:br w:type="page"/>
      </w:r>
    </w:p>
    <w:p>
      <w:pPr>
        <w:pStyle w:val="Heading1"/>
        <w:spacing w:before="0" w:after="200"/>
        <w:rPr/>
      </w:pPr>
      <w:bookmarkStart w:id="16" w:name="__RefHeading___Toc4013_4185582242"/>
      <w:bookmarkEnd w:id="16"/>
      <w:r>
        <w:rPr/>
        <w:t>6. Genesis Phase — Your Entry Point</w:t>
      </w:r>
    </w:p>
    <w:p>
      <w:pPr>
        <w:pStyle w:val="Normal"/>
        <w:spacing w:before="0" w:after="120"/>
        <w:rPr/>
      </w:pPr>
      <w:r>
        <w:rPr>
          <w:sz w:val="22"/>
          <w:szCs w:val="22"/>
        </w:rPr>
        <w:t>The Genesis Burn Phase (28 days) is the only opportunity to mint HBURN. Users burn TitanX and receive HBURN at a decreasing ratio. 3% goes to the LP reserve; users receive 97%.</w:t>
      </w:r>
    </w:p>
    <w:p>
      <w:pPr>
        <w:pStyle w:val="Normal"/>
        <w:spacing w:before="0" w:after="80"/>
        <w:rPr/>
      </w:pPr>
      <w:r>
        <w:rPr/>
      </w:r>
    </w:p>
    <w:tbl>
      <w:tblPr>
        <w:tblW w:w="9000" w:type="dxa"/>
        <w:jc w:val="start"/>
        <w:tblInd w:w="0" w:type="dxa"/>
        <w:tblLayout w:type="fixed"/>
        <w:tblCellMar>
          <w:top w:w="60" w:type="dxa"/>
          <w:start w:w="100" w:type="dxa"/>
          <w:bottom w:w="60" w:type="dxa"/>
          <w:end w:w="100" w:type="dxa"/>
        </w:tblCellMar>
      </w:tblPr>
      <w:tblGrid>
        <w:gridCol w:w="1800"/>
        <w:gridCol w:w="1600"/>
        <w:gridCol w:w="1600"/>
        <w:gridCol w:w="1800"/>
        <w:gridCol w:w="2200"/>
      </w:tblGrid>
      <w:tr>
        <w:trPr/>
        <w:tc>
          <w:tcPr>
            <w:tcW w:w="1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Week</w:t>
            </w:r>
          </w:p>
        </w:tc>
        <w:tc>
          <w:tcPr>
            <w:tcW w:w="16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Base Ratio</w:t>
            </w:r>
          </w:p>
        </w:tc>
        <w:tc>
          <w:tcPr>
            <w:tcW w:w="16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Early Bonus</w:t>
            </w:r>
          </w:p>
        </w:tc>
        <w:tc>
          <w:tcPr>
            <w:tcW w:w="1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Effective Rate</w:t>
            </w:r>
          </w:p>
        </w:tc>
        <w:tc>
          <w:tcPr>
            <w:tcW w:w="22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User Gets (97%)</w:t>
            </w:r>
          </w:p>
        </w:tc>
      </w:tr>
      <w:tr>
        <w:trPr/>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Week 1 (Day 1-7)</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1:1.00</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+15%</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1:1.15</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1:1.1155</w:t>
            </w:r>
          </w:p>
        </w:tc>
      </w:tr>
      <w:tr>
        <w:trPr/>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Week 2 (Day 8-14)</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1:0.95</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1:1.045</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1:1.0137</w:t>
            </w:r>
          </w:p>
        </w:tc>
      </w:tr>
      <w:tr>
        <w:trPr/>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Week 3 (Day 15-21)</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1:0.90</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1:0.945</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1:0.9167</w:t>
            </w:r>
          </w:p>
        </w:tc>
      </w:tr>
      <w:tr>
        <w:trPr/>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Week 4 (Day 22-28)</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1:0.85</w:t>
            </w:r>
          </w:p>
        </w:tc>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1:0.85</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1:0.8245</w:t>
            </w:r>
          </w:p>
        </w:tc>
      </w:tr>
    </w:tbl>
    <w:p>
      <w:pPr>
        <w:pStyle w:val="Normal"/>
        <w:spacing w:before="0" w:after="80"/>
        <w:rPr/>
      </w:pPr>
      <w:r>
        <w:rPr/>
      </w:r>
    </w:p>
    <w:p>
      <w:pPr>
        <w:pStyle w:val="Normal"/>
        <w:spacing w:before="0" w:after="120"/>
        <w:rPr/>
      </w:pPr>
      <w:r>
        <w:rPr>
          <w:b/>
          <w:bCs/>
          <w:sz w:val="22"/>
          <w:szCs w:val="22"/>
        </w:rPr>
        <w:t>Example: Alice burns 5B TitanX in Week 1</w:t>
      </w:r>
    </w:p>
    <w:p>
      <w:pPr>
        <w:pStyle w:val="ListParagraph"/>
        <w:numPr>
          <w:ilvl w:val="0"/>
          <w:numId w:val="1"/>
        </w:numPr>
        <w:spacing w:before="0" w:after="60"/>
        <w:rPr/>
      </w:pPr>
      <w:r>
        <w:rPr>
          <w:sz w:val="22"/>
          <w:szCs w:val="22"/>
        </w:rPr>
        <w:t>Total HBURN minted: 5B × 1.15 = 5.75B HBURN</w:t>
      </w:r>
    </w:p>
    <w:p>
      <w:pPr>
        <w:pStyle w:val="ListParagraph"/>
        <w:numPr>
          <w:ilvl w:val="0"/>
          <w:numId w:val="1"/>
        </w:numPr>
        <w:spacing w:before="0" w:after="60"/>
        <w:rPr/>
      </w:pPr>
      <w:r>
        <w:rPr>
          <w:sz w:val="22"/>
          <w:szCs w:val="22"/>
        </w:rPr>
        <w:t>LP Reserve (3%): 172.5M HBURN → stays in contract</w:t>
      </w:r>
    </w:p>
    <w:p>
      <w:pPr>
        <w:pStyle w:val="ListParagraph"/>
        <w:numPr>
          <w:ilvl w:val="0"/>
          <w:numId w:val="1"/>
        </w:numPr>
        <w:spacing w:before="0" w:after="60"/>
        <w:rPr/>
      </w:pPr>
      <w:r>
        <w:rPr>
          <w:sz w:val="22"/>
          <w:szCs w:val="22"/>
        </w:rPr>
        <w:t>Alice receives (97%): 5.577B HBURN (25% instant + 75% vesting over 28 days)</w:t>
      </w:r>
    </w:p>
    <w:p>
      <w:pPr>
        <w:pStyle w:val="Normal"/>
        <w:spacing w:before="0" w:after="120"/>
        <w:rPr/>
      </w:pPr>
      <w:r>
        <w:rPr>
          <w:b/>
          <w:bCs/>
          <w:sz w:val="22"/>
          <w:szCs w:val="22"/>
        </w:rPr>
        <w:t>Her 5B TitanX is distributed:</w:t>
      </w:r>
    </w:p>
    <w:p>
      <w:pPr>
        <w:pStyle w:val="ListParagraph"/>
        <w:numPr>
          <w:ilvl w:val="0"/>
          <w:numId w:val="1"/>
        </w:numPr>
        <w:spacing w:before="0" w:after="60"/>
        <w:rPr/>
      </w:pPr>
      <w:r>
        <w:rPr>
          <w:sz w:val="22"/>
          <w:szCs w:val="22"/>
        </w:rPr>
        <w:t>35% → permanently burned (1.75B to dead address)</w:t>
      </w:r>
    </w:p>
    <w:p>
      <w:pPr>
        <w:pStyle w:val="ListParagraph"/>
        <w:numPr>
          <w:ilvl w:val="0"/>
          <w:numId w:val="1"/>
        </w:numPr>
        <w:spacing w:before="0" w:after="60"/>
        <w:rPr/>
      </w:pPr>
      <w:r>
        <w:rPr>
          <w:sz w:val="22"/>
          <w:szCs w:val="22"/>
        </w:rPr>
        <w:t>35% → DragonX Vault (1.75B)</w:t>
      </w:r>
    </w:p>
    <w:p>
      <w:pPr>
        <w:pStyle w:val="ListParagraph"/>
        <w:numPr>
          <w:ilvl w:val="0"/>
          <w:numId w:val="1"/>
        </w:numPr>
        <w:spacing w:before="0" w:after="60"/>
        <w:rPr/>
      </w:pPr>
      <w:r>
        <w:rPr>
          <w:sz w:val="22"/>
          <w:szCs w:val="22"/>
        </w:rPr>
        <w:t>22% → auto-staked in contract treasury (1.1B, locked 3,500 days)</w:t>
      </w:r>
    </w:p>
    <w:p>
      <w:pPr>
        <w:pStyle w:val="ListParagraph"/>
        <w:numPr>
          <w:ilvl w:val="0"/>
          <w:numId w:val="1"/>
        </w:numPr>
        <w:spacing w:before="0" w:after="60"/>
        <w:rPr/>
      </w:pPr>
      <w:r>
        <w:rPr>
          <w:sz w:val="22"/>
          <w:szCs w:val="22"/>
        </w:rPr>
        <w:t>8% → Genesis Fund for LP creation (400M)</w:t>
      </w:r>
    </w:p>
    <w:p>
      <w:pPr>
        <w:pStyle w:val="Normal"/>
        <w:rPr/>
      </w:pPr>
      <w:r>
        <w:rPr/>
      </w:r>
      <w:r>
        <w:br w:type="page"/>
      </w:r>
    </w:p>
    <w:p>
      <w:pPr>
        <w:pStyle w:val="Heading1"/>
        <w:spacing w:before="0" w:after="200"/>
        <w:rPr/>
      </w:pPr>
      <w:bookmarkStart w:id="17" w:name="__RefHeading___Toc4015_4185582242"/>
      <w:bookmarkEnd w:id="17"/>
      <w:r>
        <w:rPr/>
        <w:t>7. Burn Epochs — Competing for ETH</w:t>
      </w:r>
    </w:p>
    <w:p>
      <w:pPr>
        <w:pStyle w:val="Normal"/>
        <w:spacing w:before="0" w:after="120"/>
        <w:rPr/>
      </w:pPr>
      <w:r>
        <w:rPr>
          <w:sz w:val="22"/>
          <w:szCs w:val="22"/>
        </w:rPr>
        <w:t>After Genesis ends and the contract creates the LP, competitive epochs begin. Every 8 days, users burn TitanX (1x) or DragonX (2x) to compete for ETH rewards.</w:t>
      </w:r>
    </w:p>
    <w:p>
      <w:pPr>
        <w:pStyle w:val="Normal"/>
        <w:spacing w:before="0" w:after="80"/>
        <w:rPr/>
      </w:pPr>
      <w:r>
        <w:rPr/>
      </w:r>
    </w:p>
    <w:tbl>
      <w:tblPr>
        <w:tblW w:w="9000" w:type="dxa"/>
        <w:jc w:val="start"/>
        <w:tblInd w:w="0" w:type="dxa"/>
        <w:tblLayout w:type="fixed"/>
        <w:tblCellMar>
          <w:top w:w="60" w:type="dxa"/>
          <w:start w:w="100" w:type="dxa"/>
          <w:bottom w:w="60" w:type="dxa"/>
          <w:end w:w="100" w:type="dxa"/>
        </w:tblCellMar>
      </w:tblPr>
      <w:tblGrid>
        <w:gridCol w:w="2199"/>
        <w:gridCol w:w="1800"/>
        <w:gridCol w:w="1800"/>
        <w:gridCol w:w="3201"/>
      </w:tblGrid>
      <w:tr>
        <w:trPr/>
        <w:tc>
          <w:tcPr>
            <w:tcW w:w="21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Consecutive Epochs</w:t>
            </w:r>
          </w:p>
        </w:tc>
        <w:tc>
          <w:tcPr>
            <w:tcW w:w="1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Multiplier</w:t>
            </w:r>
          </w:p>
        </w:tc>
        <w:tc>
          <w:tcPr>
            <w:tcW w:w="1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Timeframe</w:t>
            </w:r>
          </w:p>
        </w:tc>
        <w:tc>
          <w:tcPr>
            <w:tcW w:w="32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Reward vs 1.0x</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1.0x</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Baseline</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1.4x</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1.8x</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40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2.4x</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64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+140%</w:t>
            </w:r>
          </w:p>
        </w:tc>
      </w:tr>
      <w:tr>
        <w:trPr/>
        <w:tc>
          <w:tcPr>
            <w:tcW w:w="2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3.0x (MAX)</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88+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w:t>
            </w:r>
          </w:p>
        </w:tc>
      </w:tr>
    </w:tbl>
    <w:p>
      <w:pPr>
        <w:pStyle w:val="Normal"/>
        <w:spacing w:before="0" w:after="80"/>
        <w:rPr/>
      </w:pPr>
      <w:r>
        <w:rPr/>
      </w:r>
    </w:p>
    <w:p>
      <w:pPr>
        <w:pStyle w:val="Normal"/>
        <w:spacing w:before="0" w:after="120"/>
        <w:rPr/>
      </w:pPr>
      <w:r>
        <w:rPr>
          <w:b/>
          <w:bCs/>
          <w:sz w:val="22"/>
          <w:szCs w:val="22"/>
        </w:rPr>
        <w:t>No pause possible:</w:t>
      </w:r>
    </w:p>
    <w:p>
      <w:pPr>
        <w:pStyle w:val="Normal"/>
        <w:spacing w:before="0" w:after="120"/>
        <w:rPr/>
      </w:pPr>
      <w:r>
        <w:rPr>
          <w:sz w:val="22"/>
          <w:szCs w:val="22"/>
        </w:rPr>
        <w:t>Burns and claims work at all times. No one can interfere with the epoch system.</w:t>
      </w:r>
    </w:p>
    <w:p>
      <w:pPr>
        <w:pStyle w:val="Normal"/>
        <w:rPr/>
      </w:pPr>
      <w:r>
        <w:rPr/>
      </w:r>
      <w:r>
        <w:br w:type="page"/>
      </w:r>
    </w:p>
    <w:p>
      <w:pPr>
        <w:pStyle w:val="Heading1"/>
        <w:spacing w:before="0" w:after="200"/>
        <w:rPr/>
      </w:pPr>
      <w:bookmarkStart w:id="18" w:name="__RefHeading___Toc4017_4185582242"/>
      <w:bookmarkEnd w:id="18"/>
      <w:r>
        <w:rPr/>
        <w:t>8. Staking &amp; Real Yield</w:t>
      </w:r>
    </w:p>
    <w:p>
      <w:pPr>
        <w:pStyle w:val="Normal"/>
        <w:spacing w:before="0" w:after="120"/>
        <w:rPr/>
      </w:pPr>
      <w:r>
        <w:rPr>
          <w:sz w:val="22"/>
          <w:szCs w:val="22"/>
        </w:rPr>
        <w:t>HBURN staking offers real ETH yield — not inflationary token rewards. Shares = Amount × Time Bonus × Fuel Bonus × Loyalty Bonus.</w:t>
      </w:r>
    </w:p>
    <w:p>
      <w:pPr>
        <w:pStyle w:val="Normal"/>
        <w:spacing w:before="0" w:after="80"/>
        <w:rPr/>
      </w:pPr>
      <w:r>
        <w:rPr/>
      </w:r>
    </w:p>
    <w:tbl>
      <w:tblPr>
        <w:tblW w:w="9000" w:type="dxa"/>
        <w:jc w:val="start"/>
        <w:tblInd w:w="0" w:type="dxa"/>
        <w:tblLayout w:type="fixed"/>
        <w:tblCellMar>
          <w:top w:w="60" w:type="dxa"/>
          <w:start w:w="100" w:type="dxa"/>
          <w:bottom w:w="60" w:type="dxa"/>
          <w:end w:w="100" w:type="dxa"/>
        </w:tblCellMar>
      </w:tblPr>
      <w:tblGrid>
        <w:gridCol w:w="1600"/>
        <w:gridCol w:w="2000"/>
        <w:gridCol w:w="1800"/>
        <w:gridCol w:w="3600"/>
      </w:tblGrid>
      <w:tr>
        <w:trPr/>
        <w:tc>
          <w:tcPr>
            <w:tcW w:w="16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Maturity</w:t>
            </w:r>
          </w:p>
        </w:tc>
        <w:tc>
          <w:tcPr>
            <w:tcW w:w="20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Status</w:t>
            </w:r>
          </w:p>
        </w:tc>
        <w:tc>
          <w:tcPr>
            <w:tcW w:w="1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Penalty</w:t>
            </w:r>
          </w:p>
        </w:tc>
        <w:tc>
          <w:tcPr>
            <w:tcW w:w="36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What Happens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0-49%</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Locked</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Cannot unstake</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Must wait</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Earliest exit</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Nearly all HBURN lost</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75%</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Mid-maturity</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Half returned</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Mature</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Full HBURN + ETH rewards</w:t>
            </w:r>
          </w:p>
        </w:tc>
      </w:tr>
      <w:tr>
        <w:trPr/>
        <w:tc>
          <w:tcPr>
            <w:tcW w:w="1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100%+7d</w:t>
            </w:r>
          </w:p>
        </w:tc>
        <w:tc>
          <w:tcPr>
            <w:tcW w:w="20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Grace period</w:t>
            </w:r>
          </w:p>
        </w:tc>
        <w:tc>
          <w:tcPr>
            <w:tcW w:w="1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w:t>
            </w:r>
          </w:p>
        </w:tc>
        <w:tc>
          <w:tcPr>
            <w:tcW w:w="36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Optimal exit window</w:t>
            </w:r>
          </w:p>
        </w:tc>
      </w:tr>
    </w:tbl>
    <w:p>
      <w:pPr>
        <w:pStyle w:val="Normal"/>
        <w:spacing w:before="0" w:after="80"/>
        <w:rPr/>
      </w:pPr>
      <w:r>
        <w:rPr/>
      </w:r>
    </w:p>
    <w:p>
      <w:pPr>
        <w:pStyle w:val="Normal"/>
        <w:spacing w:before="0" w:after="120"/>
        <w:rPr/>
      </w:pPr>
      <w:r>
        <w:rPr>
          <w:sz w:val="22"/>
          <w:szCs w:val="22"/>
        </w:rPr>
        <w:t>Penalty: 50% burned permanently (deflation), 50% stays in staking contract.</w:t>
      </w:r>
    </w:p>
    <w:p>
      <w:pPr>
        <w:pStyle w:val="Normal"/>
        <w:spacing w:before="0" w:after="120"/>
        <w:rPr/>
      </w:pPr>
      <w:r>
        <w:rPr>
          <w:b/>
          <w:bCs/>
          <w:sz w:val="22"/>
          <w:szCs w:val="22"/>
        </w:rPr>
        <w:t>No pause possible:</w:t>
      </w:r>
    </w:p>
    <w:p>
      <w:pPr>
        <w:pStyle w:val="Normal"/>
        <w:spacing w:before="0" w:after="120"/>
        <w:rPr/>
      </w:pPr>
      <w:r>
        <w:rPr>
          <w:sz w:val="22"/>
          <w:szCs w:val="22"/>
        </w:rPr>
        <w:t>Users can always stake and unstake. No one can freeze funds.</w:t>
      </w:r>
    </w:p>
    <w:p>
      <w:pPr>
        <w:pStyle w:val="Normal"/>
        <w:rPr/>
      </w:pPr>
      <w:r>
        <w:rPr/>
      </w:r>
      <w:r>
        <w:br w:type="page"/>
      </w:r>
    </w:p>
    <w:p>
      <w:pPr>
        <w:pStyle w:val="Heading1"/>
        <w:spacing w:before="0" w:after="200"/>
        <w:rPr/>
      </w:pPr>
      <w:bookmarkStart w:id="19" w:name="__RefHeading___Toc4019_4185582242"/>
      <w:bookmarkEnd w:id="19"/>
      <w:r>
        <w:rPr/>
        <w:t>9. Tokenomics Deep Dive</w:t>
      </w:r>
    </w:p>
    <w:tbl>
      <w:tblPr>
        <w:tblW w:w="9500" w:type="dxa"/>
        <w:jc w:val="start"/>
        <w:tblInd w:w="0" w:type="dxa"/>
        <w:tblLayout w:type="fixed"/>
        <w:tblCellMar>
          <w:top w:w="60" w:type="dxa"/>
          <w:start w:w="100" w:type="dxa"/>
          <w:bottom w:w="60" w:type="dxa"/>
          <w:end w:w="100" w:type="dxa"/>
        </w:tblCellMar>
      </w:tblPr>
      <w:tblGrid>
        <w:gridCol w:w="3199"/>
        <w:gridCol w:w="6301"/>
      </w:tblGrid>
      <w:tr>
        <w:trPr/>
        <w:tc>
          <w:tcPr>
            <w:tcW w:w="31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Parameter</w:t>
            </w:r>
          </w:p>
        </w:tc>
        <w:tc>
          <w:tcPr>
            <w:tcW w:w="63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Value</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Name / Ticker</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HellBurn / HBURN</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Standard</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ERC-20 (Ethereum)</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Total Supply</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Determined by Genesis, then permanently fixed</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Inflation Rate</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0% — no further minting possible</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LP Reserve</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 of minted HBURN → contract-created Uniswap V3 LP</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Treasury</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 TitanX auto-staked for 3,500 days — yield → BuyAndBurn</w:t>
            </w:r>
          </w:p>
        </w:tc>
      </w:tr>
      <w:tr>
        <w:trPr/>
        <w:tc>
          <w:tcPr>
            <w:tcW w:w="31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Admin Keys</w:t>
            </w:r>
          </w:p>
        </w:tc>
        <w:tc>
          <w:tcPr>
            <w:tcW w:w="63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None — no owner, no guardian, no pause</w:t>
            </w:r>
          </w:p>
        </w:tc>
      </w:tr>
    </w:tbl>
    <w:p>
      <w:pPr>
        <w:pStyle w:val="Normal"/>
        <w:spacing w:before="0" w:after="80"/>
        <w:rPr/>
      </w:pPr>
      <w:r>
        <w:rPr/>
      </w:r>
    </w:p>
    <w:p>
      <w:pPr>
        <w:pStyle w:val="Normal"/>
        <w:spacing w:before="0" w:after="120"/>
        <w:rPr/>
      </w:pPr>
      <w:r>
        <w:rPr>
          <w:b/>
          <w:bCs/>
          <w:sz w:val="22"/>
          <w:szCs w:val="22"/>
        </w:rPr>
        <w:t>TitanX Distribution During Genesis:</w:t>
      </w:r>
    </w:p>
    <w:tbl>
      <w:tblPr>
        <w:tblW w:w="9500" w:type="dxa"/>
        <w:jc w:val="start"/>
        <w:tblInd w:w="0" w:type="dxa"/>
        <w:tblLayout w:type="fixed"/>
        <w:tblCellMar>
          <w:top w:w="60" w:type="dxa"/>
          <w:start w:w="100" w:type="dxa"/>
          <w:bottom w:w="60" w:type="dxa"/>
          <w:end w:w="100" w:type="dxa"/>
        </w:tblCellMar>
      </w:tblPr>
      <w:tblGrid>
        <w:gridCol w:w="2799"/>
        <w:gridCol w:w="1201"/>
        <w:gridCol w:w="5500"/>
      </w:tblGrid>
      <w:tr>
        <w:trPr/>
        <w:tc>
          <w:tcPr>
            <w:tcW w:w="27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Destination</w:t>
            </w:r>
          </w:p>
        </w:tc>
        <w:tc>
          <w:tcPr>
            <w:tcW w:w="12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Share</w:t>
            </w:r>
          </w:p>
        </w:tc>
        <w:tc>
          <w:tcPr>
            <w:tcW w:w="55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Purpose</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Permanent Burn</w:t>
            </w:r>
          </w:p>
        </w:tc>
        <w:tc>
          <w:tcPr>
            <w:tcW w:w="1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Sent to dead address — gone forever</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DragonX Vault</w:t>
            </w:r>
          </w:p>
        </w:tc>
        <w:tc>
          <w:tcPr>
            <w:tcW w:w="1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35%</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Buys &amp; locks DragonX</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Treasury (in contract)</w:t>
            </w:r>
          </w:p>
        </w:tc>
        <w:tc>
          <w:tcPr>
            <w:tcW w:w="1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Auto-staked 3,500 days → ETH yield → BuyAndBurn</w:t>
            </w:r>
          </w:p>
        </w:tc>
      </w:tr>
      <w:tr>
        <w:trPr/>
        <w:tc>
          <w:tcPr>
            <w:tcW w:w="27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Genesis Fund (LP)</w:t>
            </w:r>
          </w:p>
        </w:tc>
        <w:tc>
          <w:tcPr>
            <w:tcW w:w="1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8%</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Stays in contract → swapped to WETH for LP</w:t>
            </w:r>
          </w:p>
        </w:tc>
      </w:tr>
    </w:tbl>
    <w:p>
      <w:pPr>
        <w:pStyle w:val="Normal"/>
        <w:spacing w:before="0" w:after="80"/>
        <w:rPr/>
      </w:pPr>
      <w:r>
        <w:rPr/>
      </w:r>
    </w:p>
    <w:p>
      <w:pPr>
        <w:pStyle w:val="Normal"/>
        <w:spacing w:before="0" w:after="120"/>
        <w:rPr/>
      </w:pPr>
      <w:r>
        <w:rPr>
          <w:b/>
          <w:bCs/>
          <w:sz w:val="22"/>
          <w:szCs w:val="22"/>
        </w:rPr>
        <w:t>Deflationary Forces:</w:t>
      </w:r>
    </w:p>
    <w:p>
      <w:pPr>
        <w:pStyle w:val="Normal"/>
        <w:spacing w:before="0" w:after="120"/>
        <w:rPr/>
      </w:pPr>
      <w:r>
        <w:rPr>
          <w:sz w:val="22"/>
          <w:szCs w:val="22"/>
        </w:rPr>
        <w:t>(1) BuyAndBurn: 20% of epoch ETH + treasury yield buys &amp; burns HBURN. (2) Early unstake penalties: 50% burned. (3) Fuel mechanism: TitanX/DragonX burned. (4) LP fee burns: HBURN fees from locked LP burned automatically.</w:t>
      </w:r>
    </w:p>
    <w:p>
      <w:pPr>
        <w:pStyle w:val="Normal"/>
        <w:rPr/>
      </w:pPr>
      <w:r>
        <w:rPr/>
      </w:r>
      <w:r>
        <w:br w:type="page"/>
      </w:r>
    </w:p>
    <w:p>
      <w:pPr>
        <w:pStyle w:val="Heading1"/>
        <w:spacing w:before="0" w:after="200"/>
        <w:rPr/>
      </w:pPr>
      <w:bookmarkStart w:id="20" w:name="__RefHeading___Toc4021_4185582242"/>
      <w:bookmarkEnd w:id="20"/>
      <w:r>
        <w:rPr/>
        <w:t>10. Day 888 Strategy — The Catalyst Event</w:t>
      </w:r>
    </w:p>
    <w:p>
      <w:pPr>
        <w:pStyle w:val="Normal"/>
        <w:spacing w:before="0" w:after="120"/>
        <w:rPr/>
      </w:pPr>
      <w:r>
        <w:rPr>
          <w:sz w:val="22"/>
          <w:szCs w:val="22"/>
        </w:rPr>
        <w:t>TitanX Day 888 is the largest payout event: ~727 ETH (~$2.39M). HellBurn launches Genesis before Day 888 to capture a proportional share of this payout.</w:t>
      </w:r>
    </w:p>
    <w:p>
      <w:pPr>
        <w:pStyle w:val="Normal"/>
        <w:spacing w:before="0" w:after="120"/>
        <w:rPr/>
      </w:pPr>
      <w:r>
        <w:rPr>
          <w:sz w:val="22"/>
          <w:szCs w:val="22"/>
        </w:rPr>
        <w:t>The 22% treasury TitanX is auto-staked inside the contract, building share allocation for the 888 payout. When the payout triggers, anyone can call claimTreasuryYield() to funnel the ETH through BuyAndBurn — creating massive buying pressure on HBURN.</w:t>
      </w:r>
    </w:p>
    <w:p>
      <w:pPr>
        <w:pStyle w:val="Normal"/>
        <w:rPr/>
      </w:pPr>
      <w:r>
        <w:rPr/>
      </w:r>
      <w:r>
        <w:br w:type="page"/>
      </w:r>
    </w:p>
    <w:p>
      <w:pPr>
        <w:pStyle w:val="Heading1"/>
        <w:spacing w:before="0" w:after="200"/>
        <w:rPr/>
      </w:pPr>
      <w:bookmarkStart w:id="21" w:name="__RefHeading___Toc4023_4185582242"/>
      <w:bookmarkEnd w:id="21"/>
      <w:r>
        <w:rPr/>
        <w:t>11. Anti-Dump Mechanisms</w:t>
      </w:r>
    </w:p>
    <w:p>
      <w:pPr>
        <w:pStyle w:val="Normal"/>
        <w:spacing w:before="0" w:after="120"/>
        <w:rPr/>
      </w:pPr>
      <w:r>
        <w:rPr>
          <w:sz w:val="22"/>
          <w:szCs w:val="22"/>
        </w:rPr>
        <w:t>HellBurn implements a six-layer anti-dump system:</w:t>
      </w:r>
    </w:p>
    <w:tbl>
      <w:tblPr>
        <w:tblW w:w="9000" w:type="dxa"/>
        <w:jc w:val="start"/>
        <w:tblInd w:w="0" w:type="dxa"/>
        <w:tblLayout w:type="fixed"/>
        <w:tblCellMar>
          <w:top w:w="60" w:type="dxa"/>
          <w:start w:w="100" w:type="dxa"/>
          <w:bottom w:w="60" w:type="dxa"/>
          <w:end w:w="100" w:type="dxa"/>
        </w:tblCellMar>
      </w:tblPr>
      <w:tblGrid>
        <w:gridCol w:w="1999"/>
        <w:gridCol w:w="3800"/>
        <w:gridCol w:w="3201"/>
      </w:tblGrid>
      <w:tr>
        <w:trPr/>
        <w:tc>
          <w:tcPr>
            <w:tcW w:w="19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Layer</w:t>
            </w:r>
          </w:p>
        </w:tc>
        <w:tc>
          <w:tcPr>
            <w:tcW w:w="38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Mechanism</w:t>
            </w:r>
          </w:p>
        </w:tc>
        <w:tc>
          <w:tcPr>
            <w:tcW w:w="32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Effect</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 Fair Launch</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Contract-created LP, no insider tokens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pre-mine dump possible</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 Trustless Treasury</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22% TitanX locked in contract, yield → BuyBurn</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founder rug possible</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 Vesting</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25% instant, 75% vested over 28 days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Day-1 massive dump</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4. Penalties</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Locked until 50% maturity, sliding penalty</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Early exits cost up to 50%</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 Loyalty</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1.1x bonus on restake, Phoenix at 3 restakes</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Incentivizes holding</w:t>
            </w:r>
          </w:p>
        </w:tc>
      </w:tr>
      <w:tr>
        <w:trPr/>
        <w:tc>
          <w:tcPr>
            <w:tcW w:w="19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6. Buy &amp; Burn</w:t>
            </w:r>
          </w:p>
        </w:tc>
        <w:tc>
          <w:tcPr>
            <w:tcW w:w="38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 epoch ETH + treasury yield buys &amp; burns HBURN</w:t>
            </w:r>
          </w:p>
        </w:tc>
        <w:tc>
          <w:tcPr>
            <w:tcW w:w="32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Constant buy pressure</w:t>
            </w:r>
          </w:p>
        </w:tc>
      </w:tr>
    </w:tbl>
    <w:p>
      <w:pPr>
        <w:pStyle w:val="Normal"/>
        <w:rPr/>
      </w:pPr>
      <w:r>
        <w:rPr/>
      </w:r>
      <w:r>
        <w:br w:type="page"/>
      </w:r>
    </w:p>
    <w:p>
      <w:pPr>
        <w:pStyle w:val="Heading1"/>
        <w:spacing w:before="0" w:after="200"/>
        <w:rPr/>
      </w:pPr>
      <w:bookmarkStart w:id="22" w:name="__RefHeading___Toc4025_4185582242"/>
      <w:bookmarkEnd w:id="22"/>
      <w:r>
        <w:rPr/>
        <w:t>12. 12-Month Projections</w:t>
      </w:r>
    </w:p>
    <w:p>
      <w:pPr>
        <w:pStyle w:val="Normal"/>
        <w:spacing w:before="0" w:after="120"/>
        <w:rPr/>
      </w:pPr>
      <w:r>
        <w:rPr>
          <w:i/>
          <w:iCs/>
          <w:color w:val="666666"/>
          <w:sz w:val="22"/>
          <w:szCs w:val="22"/>
        </w:rPr>
        <w:t>IMPORTANT: The following are hypothetical scenarios, NOT financial advice or guarantees.</w:t>
      </w:r>
    </w:p>
    <w:p>
      <w:pPr>
        <w:pStyle w:val="Normal"/>
        <w:spacing w:before="0" w:after="80"/>
        <w:rPr/>
      </w:pPr>
      <w:r>
        <w:rPr/>
      </w:r>
    </w:p>
    <w:tbl>
      <w:tblPr>
        <w:tblW w:w="9500" w:type="dxa"/>
        <w:jc w:val="start"/>
        <w:tblInd w:w="0" w:type="dxa"/>
        <w:tblLayout w:type="fixed"/>
        <w:tblCellMar>
          <w:top w:w="60" w:type="dxa"/>
          <w:start w:w="100" w:type="dxa"/>
          <w:bottom w:w="60" w:type="dxa"/>
          <w:end w:w="100" w:type="dxa"/>
        </w:tblCellMar>
      </w:tblPr>
      <w:tblGrid>
        <w:gridCol w:w="2399"/>
        <w:gridCol w:w="2401"/>
        <w:gridCol w:w="2400"/>
        <w:gridCol w:w="2300"/>
      </w:tblGrid>
      <w:tr>
        <w:trPr/>
        <w:tc>
          <w:tcPr>
            <w:tcW w:w="23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Factor</w:t>
            </w:r>
          </w:p>
        </w:tc>
        <w:tc>
          <w:tcPr>
            <w:tcW w:w="24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Best Case</w:t>
            </w:r>
          </w:p>
        </w:tc>
        <w:tc>
          <w:tcPr>
            <w:tcW w:w="24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Base Case</w:t>
            </w:r>
          </w:p>
        </w:tc>
        <w:tc>
          <w:tcPr>
            <w:tcW w:w="23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Worst Case</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Genesis Participation</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200B+ TitanX</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50-100B TitanX</w:t>
            </w:r>
          </w:p>
        </w:tc>
        <w:tc>
          <w:tcPr>
            <w:tcW w:w="2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&lt;20B TitanX</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Epoch Participation</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500+ burners</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100-300 burners</w:t>
            </w:r>
          </w:p>
        </w:tc>
        <w:tc>
          <w:tcPr>
            <w:tcW w:w="2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&lt;50 burners</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Market Conditions</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Bull, ETH &gt;$5K</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Sideways, ETH $2-4K</w:t>
            </w:r>
          </w:p>
        </w:tc>
        <w:tc>
          <w:tcPr>
            <w:tcW w:w="2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Bear, ETH &lt;$2K</w:t>
            </w:r>
          </w:p>
        </w:tc>
      </w:tr>
      <w:tr>
        <w:trPr/>
        <w:tc>
          <w:tcPr>
            <w:tcW w:w="2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Streak Adoption</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&gt;60% maintain</w:t>
            </w:r>
          </w:p>
        </w:tc>
        <w:tc>
          <w:tcPr>
            <w:tcW w:w="2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30-50% maintain</w:t>
            </w:r>
          </w:p>
        </w:tc>
        <w:tc>
          <w:tcPr>
            <w:tcW w:w="23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&lt;20% maintain</w:t>
            </w:r>
          </w:p>
        </w:tc>
      </w:tr>
    </w:tbl>
    <w:p>
      <w:pPr>
        <w:pStyle w:val="Normal"/>
        <w:spacing w:before="0" w:after="80"/>
        <w:rPr/>
      </w:pPr>
      <w:r>
        <w:rPr/>
      </w:r>
    </w:p>
    <w:p>
      <w:pPr>
        <w:pStyle w:val="Normal"/>
        <w:spacing w:before="0" w:after="120"/>
        <w:rPr/>
      </w:pPr>
      <w:r>
        <w:rPr>
          <w:sz w:val="22"/>
          <w:szCs w:val="22"/>
        </w:rPr>
        <w:t>Best Case (~50x): Bull market, viral Day 888, high streak adoption.</w:t>
      </w:r>
    </w:p>
    <w:p>
      <w:pPr>
        <w:pStyle w:val="Normal"/>
        <w:spacing w:before="0" w:after="120"/>
        <w:rPr/>
      </w:pPr>
      <w:r>
        <w:rPr>
          <w:sz w:val="22"/>
          <w:szCs w:val="22"/>
        </w:rPr>
        <w:t>Base Case (~12x): Solid community, steady participation, organic growth.</w:t>
      </w:r>
    </w:p>
    <w:p>
      <w:pPr>
        <w:pStyle w:val="Normal"/>
        <w:spacing w:before="0" w:after="120"/>
        <w:rPr/>
      </w:pPr>
      <w:r>
        <w:rPr>
          <w:sz w:val="22"/>
          <w:szCs w:val="22"/>
        </w:rPr>
        <w:t>Worst Case (~0.6x): Bear market, low participation, but deflationary mechanics provide floor.</w:t>
      </w:r>
    </w:p>
    <w:p>
      <w:pPr>
        <w:pStyle w:val="Normal"/>
        <w:rPr/>
      </w:pPr>
      <w:r>
        <w:rPr/>
      </w:r>
      <w:r>
        <w:br w:type="page"/>
      </w:r>
    </w:p>
    <w:p>
      <w:pPr>
        <w:pStyle w:val="Heading1"/>
        <w:spacing w:before="0" w:after="200"/>
        <w:rPr/>
      </w:pPr>
      <w:bookmarkStart w:id="23" w:name="__RefHeading___Toc4027_4185582242"/>
      <w:bookmarkEnd w:id="23"/>
      <w:r>
        <w:rPr/>
        <w:t>13. Roadmap</w:t>
      </w:r>
    </w:p>
    <w:tbl>
      <w:tblPr>
        <w:tblW w:w="9500" w:type="dxa"/>
        <w:jc w:val="start"/>
        <w:tblInd w:w="0" w:type="dxa"/>
        <w:tblLayout w:type="fixed"/>
        <w:tblCellMar>
          <w:top w:w="60" w:type="dxa"/>
          <w:start w:w="100" w:type="dxa"/>
          <w:bottom w:w="60" w:type="dxa"/>
          <w:end w:w="100" w:type="dxa"/>
        </w:tblCellMar>
      </w:tblPr>
      <w:tblGrid>
        <w:gridCol w:w="1599"/>
        <w:gridCol w:w="2401"/>
        <w:gridCol w:w="5500"/>
      </w:tblGrid>
      <w:tr>
        <w:trPr/>
        <w:tc>
          <w:tcPr>
            <w:tcW w:w="1599"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Phase</w:t>
            </w:r>
          </w:p>
        </w:tc>
        <w:tc>
          <w:tcPr>
            <w:tcW w:w="2401"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Timeframe</w:t>
            </w:r>
          </w:p>
        </w:tc>
        <w:tc>
          <w:tcPr>
            <w:tcW w:w="55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Milestones</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Phase 0</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March 2026</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Smart Contract Development, Testing, Community Building</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Phase 1</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Before Day 888</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Deployment, Audit (incl. Trustless Delta-Audit), Genesis Launch</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Phase 2</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Day 888</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Payout Capture, Burn Cascade, Marketing Push</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Phase 3</w:t>
            </w:r>
          </w:p>
        </w:tc>
        <w:tc>
          <w:tcPr>
            <w:tcW w:w="24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Day 888+</w:t>
            </w:r>
          </w:p>
        </w:tc>
        <w:tc>
          <w:tcPr>
            <w:tcW w:w="55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 LP + Treasury Stake, Epoch 1, UI Launch</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c>
          <w:tcPr>
            <w:tcW w:w="2401"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c>
          <w:tcPr>
            <w:tcW w:w="550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c>
          <w:tcPr>
            <w:tcW w:w="2401"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c>
          <w:tcPr>
            <w:tcW w:w="5500" w:type="dxa"/>
            <w:tcBorders>
              <w:top w:val="single" w:sz="2" w:space="0" w:color="CCCCCC"/>
              <w:start w:val="single" w:sz="2" w:space="0" w:color="CCCCCC"/>
              <w:bottom w:val="single" w:sz="2" w:space="0" w:color="CCCCCC"/>
              <w:end w:val="single" w:sz="2" w:space="0" w:color="CCCCCC"/>
            </w:tcBorders>
          </w:tcPr>
          <w:p>
            <w:pPr>
              <w:pStyle w:val="Normal"/>
              <w:rPr>
                <w:rFonts w:ascii="Arial" w:hAnsi="Arial" w:eastAsia="Arial" w:cs="Arial"/>
                <w:sz w:val="20"/>
                <w:szCs w:val="20"/>
              </w:rPr>
            </w:pPr>
            <w:r>
              <w:rPr/>
            </w:r>
          </w:p>
        </w:tc>
      </w:tr>
    </w:tbl>
    <w:p>
      <w:pPr>
        <w:pStyle w:val="Normal"/>
        <w:rPr/>
      </w:pPr>
      <w:r>
        <w:rPr/>
      </w:r>
      <w:r>
        <w:br w:type="page"/>
      </w:r>
    </w:p>
    <w:p>
      <w:pPr>
        <w:pStyle w:val="Heading1"/>
        <w:spacing w:before="0" w:after="200"/>
        <w:rPr/>
      </w:pPr>
      <w:bookmarkStart w:id="24" w:name="__RefHeading___Toc4029_4185582242"/>
      <w:bookmarkEnd w:id="24"/>
      <w:r>
        <w:rPr/>
        <w:t>14. Risks &amp; Disclaimers</w:t>
      </w:r>
    </w:p>
    <w:tbl>
      <w:tblPr>
        <w:tblW w:w="9500" w:type="dxa"/>
        <w:jc w:val="start"/>
        <w:tblInd w:w="0" w:type="dxa"/>
        <w:tblLayout w:type="fixed"/>
        <w:tblCellMar>
          <w:top w:w="60" w:type="dxa"/>
          <w:start w:w="100" w:type="dxa"/>
          <w:bottom w:w="60" w:type="dxa"/>
          <w:end w:w="100" w:type="dxa"/>
        </w:tblCellMar>
      </w:tblPr>
      <w:tblGrid>
        <w:gridCol w:w="2200"/>
        <w:gridCol w:w="3400"/>
        <w:gridCol w:w="3900"/>
      </w:tblGrid>
      <w:tr>
        <w:trPr/>
        <w:tc>
          <w:tcPr>
            <w:tcW w:w="22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Risk Category</w:t>
            </w:r>
          </w:p>
        </w:tc>
        <w:tc>
          <w:tcPr>
            <w:tcW w:w="34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Description</w:t>
            </w:r>
          </w:p>
        </w:tc>
        <w:tc>
          <w:tcPr>
            <w:tcW w:w="3900" w:type="dxa"/>
            <w:tcBorders>
              <w:top w:val="single" w:sz="2" w:space="0" w:color="CCCCCC"/>
              <w:start w:val="single" w:sz="2" w:space="0" w:color="CCCCCC"/>
              <w:bottom w:val="single" w:sz="2" w:space="0" w:color="CCCCCC"/>
              <w:end w:val="single" w:sz="2" w:space="0" w:color="CCCCCC"/>
            </w:tcBorders>
            <w:shd w:fill="E85D04" w:val="clear"/>
          </w:tcPr>
          <w:p>
            <w:pPr>
              <w:pStyle w:val="Normal"/>
              <w:rPr/>
            </w:pPr>
            <w:r>
              <w:rPr>
                <w:rFonts w:eastAsia="Arial" w:cs="Arial"/>
                <w:b/>
                <w:bCs/>
                <w:color w:val="FFFFFF"/>
                <w:sz w:val="20"/>
                <w:szCs w:val="20"/>
              </w:rPr>
              <w:t>Mitigation</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Smart Contract</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Contracts may have undiscovered bugs</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Testing, Slither analysis, SkyWolf audit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Market Risk</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Crypto is extremely volatile</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Deflationary mechanics provide structural support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Dependency</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HellBurn depends on TitanX protocol</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Diversified burns (TitanX + DragonX)</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Liquidity</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Initial LP may be thin</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Auto-scaling with Genesis + optional manual boost</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Emergency Stop</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No pause function means bugs cannot be halted</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Extensive testing, immutable = no attack surface</w:t>
            </w:r>
          </w:p>
        </w:tc>
      </w:tr>
      <w:tr>
        <w:trPr/>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Adoption</w:t>
            </w:r>
          </w:p>
        </w:tc>
        <w:tc>
          <w:tcPr>
            <w:tcW w:w="34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Protocol needs active participants</w:t>
            </w:r>
          </w:p>
        </w:tc>
        <w:tc>
          <w:tcPr>
            <w:tcW w:w="3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20"/>
                <w:szCs w:val="20"/>
              </w:rPr>
              <w:t>Streak system incentivizes retention</w:t>
            </w:r>
          </w:p>
        </w:tc>
      </w:tr>
    </w:tbl>
    <w:p>
      <w:pPr>
        <w:pStyle w:val="Normal"/>
        <w:spacing w:before="0" w:after="80"/>
        <w:rPr/>
      </w:pPr>
      <w:r>
        <w:rPr/>
      </w:r>
    </w:p>
    <w:p>
      <w:pPr>
        <w:pStyle w:val="Normal"/>
        <w:spacing w:before="600" w:after="0"/>
        <w:jc w:val="center"/>
        <w:rPr/>
      </w:pPr>
      <w:r>
        <w:rPr>
          <w:b/>
          <w:bCs/>
          <w:color w:val="E85D04"/>
          <w:sz w:val="26"/>
          <w:szCs w:val="26"/>
        </w:rPr>
        <w:t>HELLBURN — Burn to Earn. Compete to Win.</w:t>
      </w:r>
    </w:p>
    <w:p>
      <w:pPr>
        <w:pStyle w:val="Normal"/>
        <w:spacing w:before="0" w:after="200"/>
        <w:jc w:val="center"/>
        <w:rPr/>
      </w:pPr>
      <w:r>
        <w:rPr>
          <w:color w:val="666666"/>
          <w:sz w:val="22"/>
          <w:szCs w:val="22"/>
        </w:rPr>
        <w:t>Fully Trustless. No Admin Keys. No Guardian. No Pause.</w:t>
      </w:r>
    </w:p>
    <w:sectPr>
      <w:type w:val="nextPage"/>
      <w:pgSz w:w="11906" w:h="16838"/>
      <w:pgMar w:left="1200" w:right="12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2E"/>
        <w:sz w:val="22"/>
        <w:szCs w:val="22"/>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2E"/>
      <w:kern w:val="0"/>
      <w:sz w:val="22"/>
      <w:szCs w:val="22"/>
      <w:lang w:val="de-AT" w:eastAsia="zh-CN" w:bidi="hi-IN"/>
    </w:rPr>
  </w:style>
  <w:style w:type="paragraph" w:styleId="Heading1">
    <w:name w:val="heading 1"/>
    <w:basedOn w:val="berschrift"/>
    <w:qFormat/>
    <w:pPr>
      <w:spacing w:before="360" w:after="200"/>
      <w:outlineLvl w:val="0"/>
    </w:pPr>
    <w:rPr>
      <w:rFonts w:ascii="Arial" w:hAnsi="Arial" w:eastAsia="Arial" w:cs="Arial"/>
      <w:b/>
      <w:bCs/>
      <w:color w:val="E85D04"/>
      <w:sz w:val="32"/>
      <w:szCs w:val="32"/>
    </w:rPr>
  </w:style>
  <w:style w:type="paragraph" w:styleId="Heading2">
    <w:name w:val="heading 2"/>
    <w:basedOn w:val="berschrift"/>
    <w:qFormat/>
    <w:pPr>
      <w:spacing w:before="280" w:after="140"/>
      <w:outlineLvl w:val="1"/>
    </w:pPr>
    <w:rPr>
      <w:rFonts w:ascii="Arial" w:hAnsi="Arial" w:eastAsia="Arial" w:cs="Arial"/>
      <w:b/>
      <w:bCs/>
      <w:color w:val="1A1A2E"/>
      <w:sz w:val="26"/>
      <w:szCs w:val="26"/>
    </w:rPr>
  </w:style>
  <w:style w:type="paragraph" w:styleId="Heading3">
    <w:name w:val="heading 3"/>
    <w:basedOn w:val="berschrift"/>
    <w:qFormat/>
    <w:pPr>
      <w:spacing w:before="200" w:after="100"/>
      <w:outlineLvl w:val="2"/>
    </w:pPr>
    <w:rPr>
      <w:rFonts w:ascii="Arial" w:hAnsi="Arial" w:eastAsia="Arial" w:cs="Arial"/>
      <w:b/>
      <w:bCs/>
      <w:color w:val="E85D04"/>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2E"/>
      <w:kern w:val="0"/>
      <w:sz w:val="22"/>
      <w:szCs w:val="22"/>
      <w:lang w:val="de-AT" w:eastAsia="zh-CN" w:bidi="hi-IN"/>
    </w:rPr>
  </w:style>
  <w:style w:type="paragraph" w:styleId="ListParagraph">
    <w:name w:val="List Paragraph"/>
    <w:qFormat/>
    <w:pPr>
      <w:widowControl/>
      <w:bidi w:val="0"/>
      <w:spacing w:before="0" w:after="0"/>
      <w:jc w:val="start"/>
    </w:pPr>
    <w:rPr>
      <w:rFonts w:ascii="Arial" w:hAnsi="Arial" w:eastAsia="Arial" w:cs="Arial"/>
      <w:color w:val="1A1A2E"/>
      <w:kern w:val="0"/>
      <w:sz w:val="22"/>
      <w:szCs w:val="22"/>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TOC1">
    <w:name w:val="toc 1"/>
    <w:basedOn w:val="Verzeichnis"/>
    <w:pPr>
      <w:tabs>
        <w:tab w:val="clear" w:pos="720"/>
        <w:tab w:val="right" w:pos="9506" w:leader="dot"/>
      </w:tabs>
      <w:ind w:hanging="0" w:start="0"/>
    </w:pPr>
    <w:rPr/>
  </w:style>
  <w:style w:type="paragraph" w:styleId="TOC2">
    <w:name w:val="toc 2"/>
    <w:basedOn w:val="Verzeichnis"/>
    <w:pPr>
      <w:tabs>
        <w:tab w:val="clear" w:pos="720"/>
        <w:tab w:val="right" w:pos="9223" w:leader="dot"/>
      </w:tabs>
      <w:ind w:hanging="0"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60</TotalTime>
  <Application>LibreOffice/26.2.0.3$Windows_X86_64 LibreOffice_project/620$Build-3</Application>
  <AppVersion>15.0000</AppVersion>
  <Pages>18</Pages>
  <Words>2172</Words>
  <Characters>11787</Characters>
  <CharactersWithSpaces>13633</CharactersWithSpaces>
  <Paragraphs>350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2026-03-09T09:16:42Z</dcterms:created>
  <dc:creator>Un-named</dc:creator>
  <dc:description/>
  <dc:language>de-AT</dc:language>
  <cp:lastModifiedBy/>
  <cp:lastPrinted>2026-03-09T11:20:13Z</cp:lastPrinted>
  <dcterms:modified xsi:type="dcterms:W3CDTF">2026-03-09T11:25:23Z</dcterms:modified>
  <cp:revision>3</cp:revision>
  <dc:subject/>
  <dc:title/>
</cp:coreProperties>
</file>