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rPr/>
      </w:pPr>
      <w:r>
        <w:rPr/>
      </w:r>
    </w:p>
    <w:p>
      <w:pPr>
        <w:pStyle w:val="Normal"/>
        <w:spacing w:before="0" w:after="80"/>
        <w:jc w:val="center"/>
        <w:rPr/>
      </w:pPr>
      <w:r>
        <w:rPr>
          <w:rFonts w:eastAsia="Arial" w:cs="Arial"/>
          <w:sz w:val="72"/>
          <w:szCs w:val="72"/>
        </w:rPr>
        <w:t>🔥</w:t>
      </w:r>
    </w:p>
    <w:p>
      <w:pPr>
        <w:pStyle w:val="Normal"/>
        <w:spacing w:before="0" w:after="120"/>
        <w:jc w:val="center"/>
        <w:rPr/>
      </w:pPr>
      <w:r>
        <w:rPr>
          <w:rFonts w:eastAsia="Arial" w:cs="Arial"/>
          <w:b/>
          <w:bCs/>
          <w:color w:val="C0392B"/>
          <w:sz w:val="56"/>
          <w:szCs w:val="56"/>
        </w:rPr>
        <w:t>HellBurn's Vault</w:t>
      </w:r>
    </w:p>
    <w:p>
      <w:pPr>
        <w:pStyle w:val="Normal"/>
        <w:spacing w:before="0" w:after="80"/>
        <w:jc w:val="center"/>
        <w:rPr/>
      </w:pPr>
      <w:r>
        <w:rPr>
          <w:rFonts w:eastAsia="Arial" w:cs="Arial"/>
          <w:color w:val="1A1A2E"/>
          <w:sz w:val="28"/>
          <w:szCs w:val="28"/>
        </w:rPr>
        <w:t>NFT-gesteuerter deflationaerer Burn Vault</w:t>
      </w:r>
    </w:p>
    <w:p>
      <w:pPr>
        <w:pStyle w:val="Normal"/>
        <w:spacing w:before="0" w:after="80"/>
        <w:jc w:val="center"/>
        <w:rPr/>
      </w:pPr>
      <w:r>
        <w:rPr>
          <w:rFonts w:eastAsia="Arial" w:cs="Arial"/>
          <w:color w:val="7F8C8D"/>
          <w:sz w:val="22"/>
          <w:szCs w:val="22"/>
        </w:rPr>
        <w:t>Whitepaper v1.0</w:t>
      </w:r>
    </w:p>
    <w:p>
      <w:pPr>
        <w:pStyle w:val="Normal"/>
        <w:spacing w:before="0" w:after="400"/>
        <w:jc w:val="center"/>
        <w:rPr/>
      </w:pPr>
      <w:r>
        <w:rPr>
          <w:rFonts w:eastAsia="Arial" w:cs="Arial"/>
          <w:color w:val="7F8C8D"/>
          <w:sz w:val="20"/>
          <w:szCs w:val="20"/>
        </w:rPr>
        <w:t>Aufgebaut auf HellBurn Protocol — Ethereum Mainnet</w:t>
      </w:r>
    </w:p>
    <w:p>
      <w:pPr>
        <w:pStyle w:val="Normal"/>
        <w:pBdr>
          <w:bottom w:val="single" w:sz="4" w:space="1" w:color="C0392B"/>
        </w:pBdr>
        <w:spacing w:before="200" w:after="200"/>
        <w:rPr/>
      </w:pPr>
      <w:r>
        <w:rPr/>
      </w:r>
    </w:p>
    <w:p>
      <w:pPr>
        <w:pStyle w:val="Normal"/>
        <w:spacing w:before="0" w:after="240"/>
        <w:rPr/>
      </w:pPr>
      <w:r>
        <w:rPr/>
      </w:r>
    </w:p>
    <w:p>
      <w:pPr>
        <w:pStyle w:val="Heading1"/>
        <w:spacing w:before="400" w:after="160"/>
        <w:rPr/>
      </w:pPr>
      <w:r>
        <w:rPr>
          <w:rFonts w:eastAsia="Arial" w:cs="Arial" w:ascii="Arial" w:hAnsi="Arial"/>
          <w:b/>
          <w:bCs/>
          <w:color w:val="1A1A2E"/>
          <w:sz w:val="36"/>
          <w:szCs w:val="36"/>
        </w:rPr>
        <w:t>1. Einleitung</w:t>
      </w:r>
    </w:p>
    <w:p>
      <w:pPr>
        <w:pStyle w:val="Normal"/>
        <w:spacing w:before="80" w:after="120"/>
        <w:rPr/>
      </w:pPr>
      <w:r>
        <w:rPr>
          <w:rFonts w:eastAsia="Arial" w:cs="Arial"/>
          <w:b w:val="false"/>
          <w:bCs w:val="false"/>
          <w:i w:val="false"/>
          <w:iCs w:val="false"/>
          <w:color w:val="333333"/>
          <w:sz w:val="22"/>
          <w:szCs w:val="22"/>
        </w:rPr>
        <w:t>HellBurn's Vault ist ein neues DeFi-Protokoll, das auf dem HellBurn-Oekosystem auf Ethereum Mainnet aufbaut. Es kombiniert drei kraftvolle Konzepte: NFT-Besitz, automatische ETH-Rendite-Generierung und deflationaere Burn-Mechanik.</w:t>
      </w:r>
    </w:p>
    <w:p>
      <w:pPr>
        <w:pStyle w:val="Normal"/>
        <w:spacing w:before="80" w:after="120"/>
        <w:rPr/>
      </w:pPr>
      <w:r>
        <w:rPr>
          <w:rFonts w:eastAsia="Arial" w:cs="Arial"/>
          <w:b w:val="false"/>
          <w:bCs w:val="false"/>
          <w:i w:val="false"/>
          <w:iCs w:val="false"/>
          <w:color w:val="333333"/>
          <w:sz w:val="22"/>
          <w:szCs w:val="22"/>
        </w:rPr>
        <w:t>Die Kernidee ist einfach: Du mintest ein NFT mit ETH, der Vault setzt dieses ETH automatisch in drei renditegenerierende Strategien ein, und du erhaeltst einen proportionalen Anteil der generierten ETH — passiv, fuer immer, solange du dein NFT haeltst.</w:t>
      </w:r>
    </w:p>
    <w:p>
      <w:pPr>
        <w:pStyle w:val="Normal"/>
        <w:spacing w:before="80" w:after="120"/>
        <w:rPr/>
      </w:pPr>
      <w:r>
        <w:rPr>
          <w:rFonts w:eastAsia="Arial" w:cs="Arial"/>
          <w:b w:val="false"/>
          <w:bCs w:val="false"/>
          <w:i w:val="false"/>
          <w:iCs w:val="false"/>
          <w:color w:val="333333"/>
          <w:sz w:val="22"/>
          <w:szCs w:val="22"/>
        </w:rPr>
        <w:t>HellBurn's Vault ist vollstaendig trustless — kein Admin-Key, keine Pause-Funktion, kein Auszahlungsmechanismus. Wie HellBurn Protocol selbst ist er nach dem Deployment unveraenderlich.</w:t>
      </w:r>
    </w:p>
    <w:p>
      <w:pPr>
        <w:pStyle w:val="Normal"/>
        <w:spacing w:before="0" w:after="120"/>
        <w:rPr/>
      </w:pPr>
      <w:r>
        <w:rPr/>
      </w:r>
    </w:p>
    <w:p>
      <w:pPr>
        <w:pStyle w:val="Heading1"/>
        <w:spacing w:before="400" w:after="160"/>
        <w:rPr/>
      </w:pPr>
      <w:r>
        <w:rPr>
          <w:rFonts w:eastAsia="Arial" w:cs="Arial" w:ascii="Arial" w:hAnsi="Arial"/>
          <w:b/>
          <w:bCs/>
          <w:color w:val="1A1A2E"/>
          <w:sz w:val="36"/>
          <w:szCs w:val="36"/>
        </w:rPr>
        <w:t>2. Das Problem</w:t>
      </w:r>
    </w:p>
    <w:p>
      <w:pPr>
        <w:pStyle w:val="Normal"/>
        <w:spacing w:before="80" w:after="120"/>
        <w:rPr/>
      </w:pPr>
      <w:r>
        <w:rPr>
          <w:rFonts w:eastAsia="Arial" w:cs="Arial"/>
          <w:b w:val="false"/>
          <w:bCs w:val="false"/>
          <w:i w:val="false"/>
          <w:iCs w:val="false"/>
          <w:color w:val="333333"/>
          <w:sz w:val="22"/>
          <w:szCs w:val="22"/>
        </w:rPr>
        <w:t>Die meisten DeFi-Protokolle haben dieselben grundlegenden Herausforderungen:</w:t>
      </w:r>
    </w:p>
    <w:p>
      <w:pPr>
        <w:pStyle w:val="ListParagraph"/>
        <w:numPr>
          <w:ilvl w:val="0"/>
          <w:numId w:val="3"/>
        </w:numPr>
        <w:spacing w:before="60" w:after="60"/>
        <w:rPr/>
      </w:pPr>
      <w:r>
        <w:rPr>
          <w:rFonts w:eastAsia="Arial" w:cs="Arial"/>
          <w:color w:val="333333"/>
          <w:sz w:val="22"/>
          <w:szCs w:val="22"/>
        </w:rPr>
        <w:t>Zu komplex fuer normale Nutzer — viele Tokens, viele Schritte, manuelles Management</w:t>
      </w:r>
    </w:p>
    <w:p>
      <w:pPr>
        <w:pStyle w:val="ListParagraph"/>
        <w:numPr>
          <w:ilvl w:val="0"/>
          <w:numId w:val="1"/>
        </w:numPr>
        <w:spacing w:before="60" w:after="60"/>
        <w:rPr/>
      </w:pPr>
      <w:r>
        <w:rPr>
          <w:rFonts w:eastAsia="Arial" w:cs="Arial"/>
          <w:color w:val="333333"/>
          <w:sz w:val="22"/>
          <w:szCs w:val="22"/>
        </w:rPr>
        <w:t>Passives Einkommen erfordert aktive Teilnahme — Staking, Claiming, Compounding</w:t>
      </w:r>
    </w:p>
    <w:p>
      <w:pPr>
        <w:pStyle w:val="ListParagraph"/>
        <w:numPr>
          <w:ilvl w:val="0"/>
          <w:numId w:val="1"/>
        </w:numPr>
        <w:spacing w:before="60" w:after="60"/>
        <w:rPr/>
      </w:pPr>
      <w:r>
        <w:rPr>
          <w:rFonts w:eastAsia="Arial" w:cs="Arial"/>
          <w:color w:val="333333"/>
          <w:sz w:val="22"/>
          <w:szCs w:val="22"/>
        </w:rPr>
        <w:t>Kein deflationaerer Druck — Tokenmenge waechst, Wert verwaessert</w:t>
      </w:r>
    </w:p>
    <w:p>
      <w:pPr>
        <w:pStyle w:val="ListParagraph"/>
        <w:numPr>
          <w:ilvl w:val="0"/>
          <w:numId w:val="1"/>
        </w:numPr>
        <w:spacing w:before="60" w:after="60"/>
        <w:rPr/>
      </w:pPr>
      <w:r>
        <w:rPr>
          <w:rFonts w:eastAsia="Arial" w:cs="Arial"/>
          <w:color w:val="333333"/>
          <w:sz w:val="22"/>
          <w:szCs w:val="22"/>
        </w:rPr>
        <w:t>Kein externer Kapitalzufluss — Protokolle recyceln bestehendes Kapital</w:t>
      </w:r>
    </w:p>
    <w:p>
      <w:pPr>
        <w:pStyle w:val="Normal"/>
        <w:spacing w:before="0" w:after="120"/>
        <w:rPr/>
      </w:pPr>
      <w:r>
        <w:rPr/>
      </w:r>
    </w:p>
    <w:p>
      <w:pPr>
        <w:pStyle w:val="Normal"/>
        <w:spacing w:before="80" w:after="120"/>
        <w:rPr/>
      </w:pPr>
      <w:r>
        <w:rPr>
          <w:rFonts w:eastAsia="Arial" w:cs="Arial"/>
          <w:b/>
          <w:bCs/>
          <w:i w:val="false"/>
          <w:iCs w:val="false"/>
          <w:color w:val="333333"/>
          <w:sz w:val="22"/>
          <w:szCs w:val="22"/>
        </w:rPr>
        <w:t>HellBurn's Vault loest alle vier Probleme in einem einzigen Produkt.</w:t>
      </w:r>
    </w:p>
    <w:p>
      <w:pPr>
        <w:pStyle w:val="Normal"/>
        <w:spacing w:before="0" w:after="120"/>
        <w:rPr/>
      </w:pPr>
      <w:r>
        <w:rPr/>
      </w:r>
    </w:p>
    <w:p>
      <w:pPr>
        <w:pStyle w:val="Heading1"/>
        <w:spacing w:before="400" w:after="160"/>
        <w:rPr/>
      </w:pPr>
      <w:r>
        <w:rPr>
          <w:rFonts w:eastAsia="Arial" w:cs="Arial" w:ascii="Arial" w:hAnsi="Arial"/>
          <w:b/>
          <w:bCs/>
          <w:color w:val="1A1A2E"/>
          <w:sz w:val="36"/>
          <w:szCs w:val="36"/>
        </w:rPr>
        <w:t>3. Die Loesung — HellBurn's Vault</w:t>
      </w:r>
    </w:p>
    <w:p>
      <w:pPr>
        <w:pStyle w:val="Normal"/>
        <w:spacing w:before="80" w:after="120"/>
        <w:rPr/>
      </w:pPr>
      <w:r>
        <w:rPr>
          <w:rFonts w:eastAsia="Arial" w:cs="Arial"/>
          <w:b w:val="false"/>
          <w:bCs w:val="false"/>
          <w:i w:val="false"/>
          <w:iCs w:val="false"/>
          <w:color w:val="333333"/>
          <w:sz w:val="22"/>
          <w:szCs w:val="22"/>
        </w:rPr>
        <w:t>HellBurn's Vault ist ein NFT-gesteuerter deflationaerer Burn Vault:</w:t>
      </w:r>
    </w:p>
    <w:p>
      <w:pPr>
        <w:pStyle w:val="ListParagraph"/>
        <w:numPr>
          <w:ilvl w:val="0"/>
          <w:numId w:val="1"/>
        </w:numPr>
        <w:spacing w:before="60" w:after="60"/>
        <w:rPr/>
      </w:pPr>
      <w:r>
        <w:rPr>
          <w:rFonts w:eastAsia="Arial" w:cs="Arial"/>
          <w:color w:val="333333"/>
          <w:sz w:val="22"/>
          <w:szCs w:val="22"/>
        </w:rPr>
        <w:t>Nur eine Aktion: NFT mit ETH minten — alles andere laeuft automatisch</w:t>
      </w:r>
    </w:p>
    <w:p>
      <w:pPr>
        <w:pStyle w:val="ListParagraph"/>
        <w:numPr>
          <w:ilvl w:val="0"/>
          <w:numId w:val="1"/>
        </w:numPr>
        <w:spacing w:before="60" w:after="60"/>
        <w:rPr/>
      </w:pPr>
      <w:r>
        <w:rPr>
          <w:rFonts w:eastAsia="Arial" w:cs="Arial"/>
          <w:color w:val="333333"/>
          <w:sz w:val="22"/>
          <w:szCs w:val="22"/>
        </w:rPr>
        <w:t>Drei Renditequellen: Burn-Deflation + LP-Trading-Fees + ETH-Staking</w:t>
      </w:r>
    </w:p>
    <w:p>
      <w:pPr>
        <w:pStyle w:val="ListParagraph"/>
        <w:numPr>
          <w:ilvl w:val="0"/>
          <w:numId w:val="1"/>
        </w:numPr>
        <w:spacing w:before="60" w:after="60"/>
        <w:rPr/>
      </w:pPr>
      <w:r>
        <w:rPr>
          <w:rFonts w:eastAsia="Arial" w:cs="Arial"/>
          <w:color w:val="333333"/>
          <w:sz w:val="22"/>
          <w:szCs w:val="22"/>
        </w:rPr>
        <w:t>Vollstaendig passiv: ETH-Rewards fliessen automatisch an NFT-Holder</w:t>
      </w:r>
    </w:p>
    <w:p>
      <w:pPr>
        <w:pStyle w:val="ListParagraph"/>
        <w:numPr>
          <w:ilvl w:val="0"/>
          <w:numId w:val="1"/>
        </w:numPr>
        <w:spacing w:before="60" w:after="60"/>
        <w:rPr/>
      </w:pPr>
      <w:r>
        <w:rPr>
          <w:rFonts w:eastAsia="Arial" w:cs="Arial"/>
          <w:color w:val="333333"/>
          <w:sz w:val="22"/>
          <w:szCs w:val="22"/>
        </w:rPr>
        <w:t>Deflationaer: Jeder Mint reduziert den HBURN-Umlauf dauerhaft</w:t>
      </w:r>
    </w:p>
    <w:p>
      <w:pPr>
        <w:pStyle w:val="ListParagraph"/>
        <w:numPr>
          <w:ilvl w:val="0"/>
          <w:numId w:val="1"/>
        </w:numPr>
        <w:spacing w:before="60" w:after="60"/>
        <w:rPr/>
      </w:pPr>
      <w:r>
        <w:rPr>
          <w:rFonts w:eastAsia="Arial" w:cs="Arial"/>
          <w:color w:val="333333"/>
          <w:sz w:val="22"/>
          <w:szCs w:val="22"/>
        </w:rPr>
        <w:t>Trustless: Kein Admin, keine Pause, keine Auszahlungsschlussel — jemals</w:t>
      </w:r>
    </w:p>
    <w:p>
      <w:pPr>
        <w:pStyle w:val="ListParagraph"/>
        <w:numPr>
          <w:ilvl w:val="0"/>
          <w:numId w:val="1"/>
        </w:numPr>
        <w:spacing w:before="60" w:after="60"/>
        <w:rPr/>
      </w:pPr>
      <w:r>
        <w:rPr>
          <w:rFonts w:eastAsia="Arial" w:cs="Arial"/>
          <w:color w:val="333333"/>
          <w:sz w:val="22"/>
          <w:szCs w:val="22"/>
        </w:rPr>
        <w:t>Limitiertes Angebot: maximal 10.000 NFTs gesamt ueber alle Tiers</w:t>
      </w:r>
    </w:p>
    <w:p>
      <w:pPr>
        <w:pStyle w:val="Normal"/>
        <w:spacing w:before="0" w:after="120"/>
        <w:rPr/>
      </w:pPr>
      <w:r>
        <w:rPr/>
      </w:r>
    </w:p>
    <w:p>
      <w:pPr>
        <w:pStyle w:val="Heading2"/>
        <w:spacing w:before="320" w:after="120"/>
        <w:rPr/>
      </w:pPr>
      <w:r>
        <w:rPr>
          <w:rFonts w:eastAsia="Arial" w:cs="Arial" w:ascii="Arial" w:hAnsi="Arial"/>
          <w:b/>
          <w:bCs/>
          <w:color w:val="C0392B"/>
          <w:sz w:val="28"/>
          <w:szCs w:val="28"/>
        </w:rPr>
        <w:t>So funktioniert es — Schritt fuer Schritt</w:t>
      </w:r>
    </w:p>
    <w:tbl>
      <w:tblPr>
        <w:tblW w:w="9360" w:type="dxa"/>
        <w:jc w:val="start"/>
        <w:tblInd w:w="0" w:type="dxa"/>
        <w:tblLayout w:type="fixed"/>
        <w:tblCellMar>
          <w:top w:w="100" w:type="dxa"/>
          <w:start w:w="120" w:type="dxa"/>
          <w:bottom w:w="100" w:type="dxa"/>
          <w:end w:w="120" w:type="dxa"/>
        </w:tblCellMar>
      </w:tblPr>
      <w:tblGrid>
        <w:gridCol w:w="1199"/>
        <w:gridCol w:w="8161"/>
      </w:tblGrid>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1</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Nutzer waehlt ein Tier und mintet ein NFT durch Senden von ETH an den Vault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2</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50% des ETH kauft sofort HBURN am Markt und verbrennt es dauerhaft an 0x000...dEaD</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3</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40% des ETH wird in den HBURN/ETH Uniswap V3 Concentrated Liquidity Pool eingesetzt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4</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10% des ETH wird via Lido gestaked — generiert ~4% APY in stETH-Rendite</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5</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Jeder permissionless Aufrufer kann LP-Rebalancing ausloesen wenn Preis aus Range driftet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6</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Alle Ertraege (LP-Fees + stETH-Rewards) werden kontinuierlich vom Vault gesammelt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7</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80% der Ertraege werden proportional zum Tier-Multiplikator an NFT-Holder ausgeschuettet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8</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20% der Ertraege fliessen in BuyAndBurn zurueck — kaufen und verbrennen mehr HBURN</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9</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NFT-Holder erhalten ETH passiv — kein Staking, kein Claimen, keine manuellen Schritte</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4. NFT Tier-System</w:t>
      </w:r>
    </w:p>
    <w:p>
      <w:pPr>
        <w:pStyle w:val="Normal"/>
        <w:spacing w:before="80" w:after="120"/>
        <w:rPr/>
      </w:pPr>
      <w:r>
        <w:rPr>
          <w:rFonts w:eastAsia="Arial" w:cs="Arial"/>
          <w:b w:val="false"/>
          <w:bCs w:val="false"/>
          <w:i w:val="false"/>
          <w:iCs w:val="false"/>
          <w:color w:val="333333"/>
          <w:sz w:val="22"/>
          <w:szCs w:val="22"/>
        </w:rPr>
        <w:t>HellBurn's Vault bietet vier NFT-Tiers. Jedes Tier hat einen festen ETH-Mint-Preis, eine limitierte maximale Anzahl und einen Reward-Multiplikator. Der Multiplikator ist proportional zum Mint-Preis mit moderatem Bonus fuer hoehere Tiers — fair und trotzdem anreizend. Maximal 5 NFTs pro Tier pro Wallet verhindert Wal-Dominanz.</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567"/>
        <w:gridCol w:w="1343"/>
        <w:gridCol w:w="1456"/>
        <w:gridCol w:w="1232"/>
        <w:gridCol w:w="1679"/>
        <w:gridCol w:w="2083"/>
      </w:tblGrid>
      <w:tr>
        <w:trPr>
          <w:tblHeader w:val="true"/>
        </w:trPr>
        <w:tc>
          <w:tcPr>
            <w:tcW w:w="1567"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Tier</w:t>
            </w:r>
          </w:p>
        </w:tc>
        <w:tc>
          <w:tcPr>
            <w:tcW w:w="1343"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Mint-Preis</w:t>
            </w:r>
          </w:p>
        </w:tc>
        <w:tc>
          <w:tcPr>
            <w:tcW w:w="1456"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Max. Anzahl</w:t>
            </w:r>
          </w:p>
        </w:tc>
        <w:tc>
          <w:tcPr>
            <w:tcW w:w="1232"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Max/Wallet</w:t>
            </w:r>
          </w:p>
        </w:tc>
        <w:tc>
          <w:tcPr>
            <w:tcW w:w="167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Multiplikator</w:t>
            </w:r>
          </w:p>
        </w:tc>
        <w:tc>
          <w:tcPr>
            <w:tcW w:w="2083"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Max. Pool</w:t>
            </w:r>
          </w:p>
        </w:tc>
      </w:tr>
      <w:tr>
        <w:trPr/>
        <w:tc>
          <w:tcPr>
            <w:tcW w:w="1567"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Bronze</w:t>
            </w:r>
          </w:p>
        </w:tc>
        <w:tc>
          <w:tcPr>
            <w:tcW w:w="134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0,1 ETH</w:t>
            </w:r>
          </w:p>
        </w:tc>
        <w:tc>
          <w:tcPr>
            <w:tcW w:w="1456"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5.000</w:t>
            </w:r>
          </w:p>
        </w:tc>
        <w:tc>
          <w:tcPr>
            <w:tcW w:w="1232"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1x</w:t>
            </w:r>
          </w:p>
        </w:tc>
        <w:tc>
          <w:tcPr>
            <w:tcW w:w="208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500 ETH</w:t>
            </w:r>
          </w:p>
        </w:tc>
      </w:tr>
      <w:tr>
        <w:trPr/>
        <w:tc>
          <w:tcPr>
            <w:tcW w:w="1567"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Silber</w:t>
            </w:r>
          </w:p>
        </w:tc>
        <w:tc>
          <w:tcPr>
            <w:tcW w:w="134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0,5 ETH</w:t>
            </w:r>
          </w:p>
        </w:tc>
        <w:tc>
          <w:tcPr>
            <w:tcW w:w="1456"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3.000</w:t>
            </w:r>
          </w:p>
        </w:tc>
        <w:tc>
          <w:tcPr>
            <w:tcW w:w="1232"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5x</w:t>
            </w:r>
          </w:p>
        </w:tc>
        <w:tc>
          <w:tcPr>
            <w:tcW w:w="208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1.500 ETH</w:t>
            </w:r>
          </w:p>
        </w:tc>
      </w:tr>
      <w:tr>
        <w:trPr/>
        <w:tc>
          <w:tcPr>
            <w:tcW w:w="1567"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Gold</w:t>
            </w:r>
          </w:p>
        </w:tc>
        <w:tc>
          <w:tcPr>
            <w:tcW w:w="134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1,0 ETH</w:t>
            </w:r>
          </w:p>
        </w:tc>
        <w:tc>
          <w:tcPr>
            <w:tcW w:w="1456"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1.500</w:t>
            </w:r>
          </w:p>
        </w:tc>
        <w:tc>
          <w:tcPr>
            <w:tcW w:w="1232"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9x</w:t>
            </w:r>
          </w:p>
        </w:tc>
        <w:tc>
          <w:tcPr>
            <w:tcW w:w="208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1.500 ETH</w:t>
            </w:r>
          </w:p>
        </w:tc>
      </w:tr>
      <w:tr>
        <w:trPr/>
        <w:tc>
          <w:tcPr>
            <w:tcW w:w="1567"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Diamant</w:t>
            </w:r>
          </w:p>
        </w:tc>
        <w:tc>
          <w:tcPr>
            <w:tcW w:w="134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5,0 ETH</w:t>
            </w:r>
          </w:p>
        </w:tc>
        <w:tc>
          <w:tcPr>
            <w:tcW w:w="1456"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500</w:t>
            </w:r>
          </w:p>
        </w:tc>
        <w:tc>
          <w:tcPr>
            <w:tcW w:w="1232"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40x</w:t>
            </w:r>
          </w:p>
        </w:tc>
        <w:tc>
          <w:tcPr>
            <w:tcW w:w="208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2.500 ETH</w:t>
            </w:r>
          </w:p>
        </w:tc>
      </w:tr>
      <w:tr>
        <w:trPr/>
        <w:tc>
          <w:tcPr>
            <w:tcW w:w="1567"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Gesamt</w:t>
            </w:r>
          </w:p>
        </w:tc>
        <w:tc>
          <w:tcPr>
            <w:tcW w:w="134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
          </w:p>
        </w:tc>
        <w:tc>
          <w:tcPr>
            <w:tcW w:w="1456"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10.000</w:t>
            </w:r>
          </w:p>
        </w:tc>
        <w:tc>
          <w:tcPr>
            <w:tcW w:w="1232"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
          </w:p>
        </w:tc>
        <w:tc>
          <w:tcPr>
            <w:tcW w:w="167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
          </w:p>
        </w:tc>
        <w:tc>
          <w:tcPr>
            <w:tcW w:w="208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6.000 ETH</w:t>
            </w:r>
          </w:p>
        </w:tc>
      </w:tr>
    </w:tbl>
    <w:p>
      <w:pPr>
        <w:pStyle w:val="Normal"/>
        <w:spacing w:before="0" w:after="120"/>
        <w:rPr/>
      </w:pPr>
      <w:r>
        <w:rPr/>
      </w:r>
    </w:p>
    <w:p>
      <w:pPr>
        <w:pStyle w:val="Normal"/>
        <w:spacing w:before="80" w:after="120"/>
        <w:rPr/>
      </w:pPr>
      <w:r>
        <w:rPr>
          <w:rFonts w:eastAsia="Arial" w:cs="Arial"/>
          <w:b/>
          <w:bCs/>
          <w:i w:val="false"/>
          <w:iCs w:val="false"/>
          <w:color w:val="333333"/>
          <w:sz w:val="22"/>
          <w:szCs w:val="22"/>
        </w:rPr>
        <w:t>Maximale Vault-Gesamtkapazitaet: 6.000 ETH. Sobald alle NFTs eines Tiers gemintet sind, ist dieses Tier dauerhaft geschlossen — keine Ausnahmen.</w:t>
      </w:r>
    </w:p>
    <w:p>
      <w:pPr>
        <w:pStyle w:val="Normal"/>
        <w:spacing w:before="0" w:after="120"/>
        <w:rPr/>
      </w:pPr>
      <w:r>
        <w:rPr/>
      </w:r>
    </w:p>
    <w:p>
      <w:pPr>
        <w:pStyle w:val="Heading1"/>
        <w:spacing w:before="400" w:after="160"/>
        <w:rPr/>
      </w:pPr>
      <w:r>
        <w:rPr>
          <w:rFonts w:eastAsia="Arial" w:cs="Arial" w:ascii="Arial" w:hAnsi="Arial"/>
          <w:b/>
          <w:bCs/>
          <w:color w:val="1A1A2E"/>
          <w:sz w:val="36"/>
          <w:szCs w:val="36"/>
        </w:rPr>
        <w:t>5. Tokenomics &amp; ETH-Fluss</w:t>
      </w:r>
    </w:p>
    <w:p>
      <w:pPr>
        <w:pStyle w:val="Heading2"/>
        <w:spacing w:before="320" w:after="120"/>
        <w:rPr/>
      </w:pPr>
      <w:r>
        <w:rPr>
          <w:rFonts w:eastAsia="Arial" w:cs="Arial" w:ascii="Arial" w:hAnsi="Arial"/>
          <w:b/>
          <w:bCs/>
          <w:color w:val="C0392B"/>
          <w:sz w:val="28"/>
          <w:szCs w:val="28"/>
        </w:rPr>
        <w:t>Mint-ETH Aufteilung</w:t>
      </w:r>
    </w:p>
    <w:p>
      <w:pPr>
        <w:pStyle w:val="Normal"/>
        <w:spacing w:before="80" w:after="120"/>
        <w:rPr/>
      </w:pPr>
      <w:r>
        <w:rPr>
          <w:rFonts w:eastAsia="Arial" w:cs="Arial"/>
          <w:b w:val="false"/>
          <w:bCs w:val="false"/>
          <w:i w:val="false"/>
          <w:iCs w:val="false"/>
          <w:color w:val="333333"/>
          <w:sz w:val="22"/>
          <w:szCs w:val="22"/>
        </w:rPr>
        <w:t>Wenn ein Nutzer ein NFT mintet, wird das ETH sofort eingesetzt:</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199"/>
        <w:gridCol w:w="3361"/>
        <w:gridCol w:w="4800"/>
      </w:tblGrid>
      <w:tr>
        <w:trPr>
          <w:tblHeader w:val="true"/>
        </w:trPr>
        <w:tc>
          <w:tcPr>
            <w:tcW w:w="11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Anteil</w:t>
            </w:r>
          </w:p>
        </w:tc>
        <w:tc>
          <w:tcPr>
            <w:tcW w:w="33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Ziel</w:t>
            </w:r>
          </w:p>
        </w:tc>
        <w:tc>
          <w:tcPr>
            <w:tcW w:w="48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Zweck</w:t>
            </w:r>
          </w:p>
        </w:tc>
      </w:tr>
      <w:tr>
        <w:trPr/>
        <w:tc>
          <w:tcPr>
            <w:tcW w:w="1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50%</w:t>
            </w:r>
          </w:p>
        </w:tc>
        <w:tc>
          <w:tcPr>
            <w:tcW w:w="33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Kauft &amp; verbrennt HBURN dauerhaft</w:t>
            </w:r>
          </w:p>
        </w:tc>
        <w:tc>
          <w:tcPr>
            <w:tcW w:w="4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Maximaler deflationaerer Druck auf HBURN-Angebot</w:t>
            </w:r>
          </w:p>
        </w:tc>
      </w:tr>
      <w:tr>
        <w:trPr/>
        <w:tc>
          <w:tcPr>
            <w:tcW w:w="1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40%</w:t>
            </w:r>
          </w:p>
        </w:tc>
        <w:tc>
          <w:tcPr>
            <w:tcW w:w="33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HBURN/ETH Uniswap V3 Concentrated LP</w:t>
            </w:r>
          </w:p>
        </w:tc>
        <w:tc>
          <w:tcPr>
            <w:tcW w:w="48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Generiert Trading-Fee-Rendite — verwaltet durch permissionless Rebalancer</w:t>
            </w:r>
          </w:p>
        </w:tc>
      </w:tr>
      <w:tr>
        <w:trPr/>
        <w:tc>
          <w:tcPr>
            <w:tcW w:w="1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10%</w:t>
            </w:r>
          </w:p>
        </w:tc>
        <w:tc>
          <w:tcPr>
            <w:tcW w:w="33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Lido Liquid Staking (stETH)</w:t>
            </w:r>
          </w:p>
        </w:tc>
        <w:tc>
          <w:tcPr>
            <w:tcW w:w="4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Generiert ~4% APY ETH-Staking-Rendite</w:t>
            </w:r>
          </w:p>
        </w:tc>
      </w:tr>
    </w:tbl>
    <w:p>
      <w:pPr>
        <w:pStyle w:val="Normal"/>
        <w:spacing w:before="0" w:after="120"/>
        <w:rPr/>
      </w:pPr>
      <w:r>
        <w:rPr/>
      </w:r>
    </w:p>
    <w:p>
      <w:pPr>
        <w:pStyle w:val="Heading2"/>
        <w:spacing w:before="320" w:after="120"/>
        <w:rPr/>
      </w:pPr>
      <w:r>
        <w:rPr>
          <w:rFonts w:eastAsia="Arial" w:cs="Arial" w:ascii="Arial" w:hAnsi="Arial"/>
          <w:b/>
          <w:bCs/>
          <w:color w:val="C0392B"/>
          <w:sz w:val="28"/>
          <w:szCs w:val="28"/>
        </w:rPr>
        <w:t>Rendite-Verteilung</w:t>
      </w:r>
    </w:p>
    <w:p>
      <w:pPr>
        <w:pStyle w:val="Normal"/>
        <w:spacing w:before="80" w:after="120"/>
        <w:rPr/>
      </w:pPr>
      <w:r>
        <w:rPr>
          <w:rFonts w:eastAsia="Arial" w:cs="Arial"/>
          <w:b w:val="false"/>
          <w:bCs w:val="false"/>
          <w:i w:val="false"/>
          <w:iCs w:val="false"/>
          <w:color w:val="333333"/>
          <w:sz w:val="22"/>
          <w:szCs w:val="22"/>
        </w:rPr>
        <w:t>Alle generierten Ertraege werden wie folgt verteilt:</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199"/>
        <w:gridCol w:w="2400"/>
        <w:gridCol w:w="5761"/>
      </w:tblGrid>
      <w:tr>
        <w:trPr>
          <w:tblHeader w:val="true"/>
        </w:trPr>
        <w:tc>
          <w:tcPr>
            <w:tcW w:w="11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Anteil</w:t>
            </w:r>
          </w:p>
        </w:tc>
        <w:tc>
          <w:tcPr>
            <w:tcW w:w="24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Empfaenger</w:t>
            </w:r>
          </w:p>
        </w:tc>
        <w:tc>
          <w:tcPr>
            <w:tcW w:w="57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Effekt</w:t>
            </w:r>
          </w:p>
        </w:tc>
      </w:tr>
      <w:tr>
        <w:trPr/>
        <w:tc>
          <w:tcPr>
            <w:tcW w:w="1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80%</w:t>
            </w:r>
          </w:p>
        </w:tc>
        <w:tc>
          <w:tcPr>
            <w:tcW w:w="24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NFT-Holder</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Proportional zum Tier-Multiplikator — ausgezahlt in ETH</w:t>
            </w:r>
          </w:p>
        </w:tc>
      </w:tr>
      <w:tr>
        <w:trPr/>
        <w:tc>
          <w:tcPr>
            <w:tcW w:w="1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20%</w:t>
            </w:r>
          </w:p>
        </w:tc>
        <w:tc>
          <w:tcPr>
            <w:tcW w:w="24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BuyAndBurn</w:t>
            </w:r>
          </w:p>
        </w:tc>
        <w:tc>
          <w:tcPr>
            <w:tcW w:w="5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Kauft &amp; verbrennt mehr HBURN — verstaerkt Deflation</w:t>
            </w:r>
          </w:p>
        </w:tc>
      </w:tr>
    </w:tbl>
    <w:p>
      <w:pPr>
        <w:pStyle w:val="Normal"/>
        <w:spacing w:before="0" w:after="120"/>
        <w:rPr/>
      </w:pPr>
      <w:r>
        <w:rPr/>
      </w:r>
    </w:p>
    <w:p>
      <w:pPr>
        <w:pStyle w:val="Heading2"/>
        <w:spacing w:before="320" w:after="120"/>
        <w:rPr/>
      </w:pPr>
      <w:r>
        <w:rPr>
          <w:rFonts w:eastAsia="Arial" w:cs="Arial" w:ascii="Arial" w:hAnsi="Arial"/>
          <w:b/>
          <w:bCs/>
          <w:color w:val="C0392B"/>
          <w:sz w:val="28"/>
          <w:szCs w:val="28"/>
        </w:rPr>
        <w:t>Der deflationaere Kreislauf</w:t>
      </w:r>
    </w:p>
    <w:tbl>
      <w:tblPr>
        <w:tblW w:w="9360" w:type="dxa"/>
        <w:jc w:val="start"/>
        <w:tblInd w:w="0" w:type="dxa"/>
        <w:tblLayout w:type="fixed"/>
        <w:tblCellMar>
          <w:top w:w="100" w:type="dxa"/>
          <w:start w:w="120" w:type="dxa"/>
          <w:bottom w:w="100" w:type="dxa"/>
          <w:end w:w="120" w:type="dxa"/>
        </w:tblCellMar>
      </w:tblPr>
      <w:tblGrid>
        <w:gridCol w:w="1199"/>
        <w:gridCol w:w="8161"/>
      </w:tblGrid>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1</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Mehr NFT-Mints → mehr ETH in den Vault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2</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Mehr ETH → mehr HBURN vom Markt gekauft (Kaufdruck)</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3</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Mehr HBURN verbrannt → Gesamtangebot sinkt dauerhaft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4</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Niedrigeres Angebot → hoeherer HBURN-Preis</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5</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Hoeherer HBURN-Preis → wertvollere LP-Position → mehr Trading-Fees</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6</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Mehr Trading-Fees + stETH-Rendite → mehr ETH fuer NFT-Holder</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7</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Hoehere ETH-Rendite → attraktiver fuer neue Minter</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8</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Kreislauf verstaerkt sich mit jedem neuen Teilnehmer</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6. Trustless LP-Management</w:t>
      </w:r>
    </w:p>
    <w:p>
      <w:pPr>
        <w:pStyle w:val="Normal"/>
        <w:spacing w:before="80" w:after="120"/>
        <w:rPr/>
      </w:pPr>
      <w:r>
        <w:rPr>
          <w:rFonts w:eastAsia="Arial" w:cs="Arial"/>
          <w:b w:val="false"/>
          <w:bCs w:val="false"/>
          <w:i w:val="false"/>
          <w:iCs w:val="false"/>
          <w:color w:val="333333"/>
          <w:sz w:val="22"/>
          <w:szCs w:val="22"/>
        </w:rPr>
        <w:t>Die 40% LP-Allokation verwendet Uniswap V3 Concentrated Liquidity in einem definierten Preisbereich um den aktuellen HBURN/ETH Marktpreis. Concentrated Liquidity erhoet die Kapitaleffizienz und Trading-Fee-Rendite gegenueber Standard-LP-Positionen deutlich.</w:t>
      </w:r>
    </w:p>
    <w:p>
      <w:pPr>
        <w:pStyle w:val="Normal"/>
        <w:spacing w:before="0" w:after="120"/>
        <w:rPr/>
      </w:pPr>
      <w:r>
        <w:rPr/>
      </w:r>
    </w:p>
    <w:p>
      <w:pPr>
        <w:pStyle w:val="Normal"/>
        <w:spacing w:before="240" w:after="80"/>
        <w:rPr/>
      </w:pPr>
      <w:r>
        <w:rPr>
          <w:rFonts w:eastAsia="Arial" w:cs="Arial"/>
          <w:b/>
          <w:bCs/>
          <w:color w:val="1A1A2E"/>
          <w:sz w:val="24"/>
          <w:szCs w:val="24"/>
        </w:rPr>
        <w:t>Permissionless Rebalancing</w:t>
      </w:r>
    </w:p>
    <w:p>
      <w:pPr>
        <w:pStyle w:val="Normal"/>
        <w:spacing w:before="80" w:after="120"/>
        <w:rPr/>
      </w:pPr>
      <w:r>
        <w:rPr>
          <w:rFonts w:eastAsia="Arial" w:cs="Arial"/>
          <w:b w:val="false"/>
          <w:bCs w:val="false"/>
          <w:i w:val="false"/>
          <w:iCs w:val="false"/>
          <w:color w:val="333333"/>
          <w:sz w:val="22"/>
          <w:szCs w:val="22"/>
        </w:rPr>
        <w:t>Wenn der HBURN-Preis aus dem definierten LP-Range herausbewegt, verdient die Position keine Fees mehr. Um dies ohne Admin-Zugriff zu loesen, implementiert HellBurn's Vault einen permissionless Rebalancer — eine oeffentliche Funktion die jeder aufrufen kann um einen Range-Adjustment auszuloesen.</w:t>
      </w:r>
    </w:p>
    <w:p>
      <w:pPr>
        <w:pStyle w:val="Normal"/>
        <w:spacing w:before="80" w:after="120"/>
        <w:rPr/>
      </w:pPr>
      <w:r>
        <w:rPr>
          <w:rFonts w:eastAsia="Arial" w:cs="Arial"/>
          <w:b w:val="false"/>
          <w:bCs w:val="false"/>
          <w:i w:val="false"/>
          <w:iCs w:val="false"/>
          <w:color w:val="333333"/>
          <w:sz w:val="22"/>
          <w:szCs w:val="22"/>
        </w:rPr>
        <w:t>Dies ist dasselbe trustless Muster wie finalizeEpoch() in HellBurn Protocol — jeder kann es ausloesen, niemand kontrolliert es. Aufrufer koennen eine kleine ETH-Verguetung aus dem Vault erhalten um Gas-Kosten zu decken.</w:t>
      </w:r>
    </w:p>
    <w:p>
      <w:pPr>
        <w:pStyle w:val="Normal"/>
        <w:spacing w:before="0" w:after="12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DDDDDD"/>
              <w:start w:val="single" w:sz="2" w:space="0" w:color="DDDDDD"/>
              <w:bottom w:val="single" w:sz="2" w:space="0" w:color="DDDDDD"/>
              <w:end w:val="single" w:sz="2" w:space="0" w:color="DDDDDD"/>
            </w:tcBorders>
            <w:shd w:fill="FFF8E1" w:val="clear"/>
          </w:tcPr>
          <w:p>
            <w:pPr>
              <w:pStyle w:val="Normal"/>
              <w:rPr/>
            </w:pPr>
            <w:r>
              <w:rPr>
                <w:rFonts w:eastAsia="Arial" w:cs="Arial"/>
                <w:i/>
                <w:iCs/>
                <w:color w:val="5D4037"/>
                <w:sz w:val="21"/>
                <w:szCs w:val="21"/>
              </w:rPr>
              <w:t xml:space="preserve">⚠️  </w:t>
            </w:r>
            <w:r>
              <w:rPr>
                <w:rFonts w:eastAsia="Arial" w:cs="Arial"/>
                <w:i/>
                <w:iCs/>
                <w:color w:val="5D4037"/>
                <w:sz w:val="21"/>
                <w:szCs w:val="21"/>
              </w:rPr>
              <w:t>Impermanent Loss Hinweis: Concentrated Liquidity LP-Positionen tragen Impermanent-Loss-Risiko wenn der Preis signifikant aus dem definierten Range bewegt bevor ein Rebalancing stattfindet. Die Tight-Range-Strategie und der permissionless Rebalancer sind darauf ausgelegt dieses Risiko zu minimieren, koennen es aber nicht vollstaendig eliminieren. Siehe Abschnitt 9 (Risikohinweise) fuer vollstaendige Details.</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7. Break-Even &amp; Renditeprojektion</w:t>
      </w:r>
    </w:p>
    <w:p>
      <w:pPr>
        <w:pStyle w:val="Normal"/>
        <w:spacing w:before="80" w:after="120"/>
        <w:rPr/>
      </w:pPr>
      <w:r>
        <w:rPr>
          <w:rFonts w:eastAsia="Arial" w:cs="Arial"/>
          <w:b w:val="false"/>
          <w:bCs w:val="false"/>
          <w:i w:val="false"/>
          <w:iCs w:val="false"/>
          <w:color w:val="333333"/>
          <w:sz w:val="22"/>
          <w:szCs w:val="22"/>
        </w:rPr>
        <w:t>Die folgende Tabelle zeigt geschaetzte Break-Even-Zeitraeume basierend auf einer konservativen Annahme von 12% jaehrlicher ETH-Rendite (kombiniert aus LP-Fees und stETH-Staking). Die tatsaechliche Rendite variiert je nach HBURN-Handelsvolumen, LP-Fee-Tier und stETH-APY zum Zeitpunkt der Teilnahme.</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400"/>
        <w:gridCol w:w="1200"/>
        <w:gridCol w:w="2199"/>
        <w:gridCol w:w="1761"/>
        <w:gridCol w:w="2800"/>
      </w:tblGrid>
      <w:tr>
        <w:trPr>
          <w:tblHeader w:val="true"/>
        </w:trPr>
        <w:tc>
          <w:tcPr>
            <w:tcW w:w="14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Tier</w:t>
            </w:r>
          </w:p>
        </w:tc>
        <w:tc>
          <w:tcPr>
            <w:tcW w:w="12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Mint</w:t>
            </w:r>
          </w:p>
        </w:tc>
        <w:tc>
          <w:tcPr>
            <w:tcW w:w="21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Gesch. Jahresrendite*</w:t>
            </w:r>
          </w:p>
        </w:tc>
        <w:tc>
          <w:tcPr>
            <w:tcW w:w="17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Break-Even</w:t>
            </w:r>
          </w:p>
        </w:tc>
        <w:tc>
          <w:tcPr>
            <w:tcW w:w="28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NFT-Wert bei Break-Even</w:t>
            </w:r>
          </w:p>
        </w:tc>
      </w:tr>
      <w:tr>
        <w:trPr/>
        <w:tc>
          <w:tcPr>
            <w:tcW w:w="14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Bronze</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0,1 ETH</w:t>
            </w:r>
          </w:p>
        </w:tc>
        <w:tc>
          <w:tcPr>
            <w:tcW w:w="2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~0,012 ETH (12%)</w:t>
            </w:r>
          </w:p>
        </w:tc>
        <w:tc>
          <w:tcPr>
            <w:tcW w:w="1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~8,5 Jahre</w:t>
            </w:r>
          </w:p>
        </w:tc>
        <w:tc>
          <w:tcPr>
            <w:tcW w:w="2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Steigend</w:t>
            </w:r>
          </w:p>
        </w:tc>
      </w:tr>
      <w:tr>
        <w:trPr/>
        <w:tc>
          <w:tcPr>
            <w:tcW w:w="14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Silber</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0,5 ETH</w:t>
            </w:r>
          </w:p>
        </w:tc>
        <w:tc>
          <w:tcPr>
            <w:tcW w:w="2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~0,060 ETH (12%)</w:t>
            </w:r>
          </w:p>
        </w:tc>
        <w:tc>
          <w:tcPr>
            <w:tcW w:w="1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~8,5 Jahre</w:t>
            </w:r>
          </w:p>
        </w:tc>
        <w:tc>
          <w:tcPr>
            <w:tcW w:w="28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Steigend</w:t>
            </w:r>
          </w:p>
        </w:tc>
      </w:tr>
      <w:tr>
        <w:trPr/>
        <w:tc>
          <w:tcPr>
            <w:tcW w:w="14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Gold</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1,0 ETH</w:t>
            </w:r>
          </w:p>
        </w:tc>
        <w:tc>
          <w:tcPr>
            <w:tcW w:w="2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~0,120 ETH (12%)</w:t>
            </w:r>
          </w:p>
        </w:tc>
        <w:tc>
          <w:tcPr>
            <w:tcW w:w="1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~8,5 Jahre</w:t>
            </w:r>
          </w:p>
        </w:tc>
        <w:tc>
          <w:tcPr>
            <w:tcW w:w="2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Steigend</w:t>
            </w:r>
          </w:p>
        </w:tc>
      </w:tr>
      <w:tr>
        <w:trPr/>
        <w:tc>
          <w:tcPr>
            <w:tcW w:w="14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Diamant</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5,0 ETH</w:t>
            </w:r>
          </w:p>
        </w:tc>
        <w:tc>
          <w:tcPr>
            <w:tcW w:w="2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~0,600 ETH (12%)</w:t>
            </w:r>
          </w:p>
        </w:tc>
        <w:tc>
          <w:tcPr>
            <w:tcW w:w="1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~8,5 Jahre</w:t>
            </w:r>
          </w:p>
        </w:tc>
        <w:tc>
          <w:tcPr>
            <w:tcW w:w="28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Steigend</w:t>
            </w:r>
          </w:p>
        </w:tc>
      </w:tr>
    </w:tbl>
    <w:p>
      <w:pPr>
        <w:pStyle w:val="Normal"/>
        <w:spacing w:before="0" w:after="120"/>
        <w:rPr/>
      </w:pPr>
      <w:r>
        <w:rPr/>
      </w:r>
    </w:p>
    <w:p>
      <w:pPr>
        <w:pStyle w:val="Normal"/>
        <w:spacing w:before="80" w:after="120"/>
        <w:rPr/>
      </w:pPr>
      <w:r>
        <w:rPr>
          <w:rFonts w:eastAsia="Arial" w:cs="Arial"/>
          <w:b w:val="false"/>
          <w:bCs w:val="false"/>
          <w:i/>
          <w:iCs/>
          <w:color w:val="7F8C8D"/>
          <w:sz w:val="22"/>
          <w:szCs w:val="22"/>
        </w:rPr>
        <w:t>* 12% APY ist eine konservative Schaetzung. Hoeheres HBURN-Handelsvolumen wird LP-Fees deutlich ueber diesen Basiswert erhoehen. NFT-Wiederverkaufswert ist in dieser Berechnung nicht enthalten — ein Diamant-NFT der 0,6 ETH/Jahr generiert wird im Sekundaermarkt an Wert gewinnen.</w:t>
      </w:r>
    </w:p>
    <w:p>
      <w:pPr>
        <w:pStyle w:val="Normal"/>
        <w:spacing w:before="0" w:after="120"/>
        <w:rPr/>
      </w:pPr>
      <w:r>
        <w:rPr/>
      </w:r>
    </w:p>
    <w:p>
      <w:pPr>
        <w:pStyle w:val="Normal"/>
        <w:spacing w:before="80" w:after="120"/>
        <w:rPr/>
      </w:pPr>
      <w:r>
        <w:rPr>
          <w:rFonts w:eastAsia="Arial" w:cs="Arial"/>
          <w:b/>
          <w:bCs/>
          <w:i w:val="false"/>
          <w:iCs w:val="false"/>
          <w:color w:val="333333"/>
          <w:sz w:val="22"/>
          <w:szCs w:val="22"/>
        </w:rPr>
        <w:t>Wichtig: Das NFT selbst behaelt seinen Wert und steigt wahrscheinlich. Fruehe Minter profitieren am meisten — gleicher Tier, gleicher Mint-Preis, aber wachsende Rendite wenn mehr ETH in den Vault fliesst und HBURN-Angebot sinkt.</w:t>
      </w:r>
    </w:p>
    <w:p>
      <w:pPr>
        <w:pStyle w:val="Heading1"/>
        <w:spacing w:before="400" w:after="160"/>
        <w:rPr/>
      </w:pPr>
      <w:r>
        <w:rPr>
          <w:rFonts w:eastAsia="Arial" w:cs="Arial" w:ascii="Arial" w:hAnsi="Arial"/>
          <w:b/>
          <w:bCs/>
          <w:color w:val="1A1A2E"/>
          <w:sz w:val="36"/>
          <w:szCs w:val="36"/>
        </w:rPr>
        <w:t>8</w:t>
      </w:r>
      <w:r>
        <w:rPr>
          <w:rFonts w:eastAsia="Arial" w:cs="Arial" w:ascii="Arial" w:hAnsi="Arial"/>
          <w:b/>
          <w:bCs/>
          <w:color w:val="1A1A2E"/>
          <w:sz w:val="36"/>
          <w:szCs w:val="36"/>
        </w:rPr>
        <w:t>. Risikohinweise</w:t>
      </w:r>
    </w:p>
    <w:p>
      <w:pPr>
        <w:pStyle w:val="Normal"/>
        <w:spacing w:before="80" w:after="120"/>
        <w:rPr/>
      </w:pPr>
      <w:r>
        <w:rPr>
          <w:rFonts w:eastAsia="Arial" w:cs="Arial"/>
          <w:b w:val="false"/>
          <w:bCs w:val="false"/>
          <w:i w:val="false"/>
          <w:iCs w:val="false"/>
          <w:color w:val="333333"/>
          <w:sz w:val="22"/>
          <w:szCs w:val="22"/>
        </w:rPr>
        <w:t>HellBurn's Vault ist darauf ausgelegt Risiken durch trustless Architektur und diversifizierte Renditequellen zu minimieren. Die folgende Tabelle bietet einen transparenten Ueberblick ueber bekannte Risiken und die vorhandenen Massnahmen:</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2399"/>
        <w:gridCol w:w="1200"/>
        <w:gridCol w:w="5761"/>
      </w:tblGrid>
      <w:tr>
        <w:trPr>
          <w:tblHeader w:val="true"/>
        </w:trPr>
        <w:tc>
          <w:tcPr>
            <w:tcW w:w="23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Risiko</w:t>
            </w:r>
          </w:p>
        </w:tc>
        <w:tc>
          <w:tcPr>
            <w:tcW w:w="12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Schwere</w:t>
            </w:r>
          </w:p>
        </w:tc>
        <w:tc>
          <w:tcPr>
            <w:tcW w:w="57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Massnahme</w:t>
            </w:r>
          </w:p>
        </w:tc>
      </w:tr>
      <w:tr>
        <w:trPr/>
        <w:tc>
          <w:tcPr>
            <w:tcW w:w="23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Impermanent Loss (LP)</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Mittel</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Concentrated Liquidity mit engem Range + permissionless Rebalancer minimiert IL deutlich</w:t>
            </w:r>
          </w:p>
        </w:tc>
      </w:tr>
      <w:tr>
        <w:trPr/>
        <w:tc>
          <w:tcPr>
            <w:tcW w:w="23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Lido Smart-Contract-Risiko</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Niedrig</w:t>
            </w:r>
          </w:p>
        </w:tc>
        <w:tc>
          <w:tcPr>
            <w:tcW w:w="5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Nur 10% Allokation — begrenztes Exposure; Lido ist battle-tested mit $30Mrd+ TVL</w:t>
            </w:r>
          </w:p>
        </w:tc>
      </w:tr>
      <w:tr>
        <w:trPr/>
        <w:tc>
          <w:tcPr>
            <w:tcW w:w="23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HBURN Preisvolatilitaet</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Mittel</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Vault-ETH wird beim Mint eingesetzt — Rendite nicht abhaengig vom HBURN-Preis</w:t>
            </w:r>
          </w:p>
        </w:tc>
      </w:tr>
      <w:tr>
        <w:trPr/>
        <w:tc>
          <w:tcPr>
            <w:tcW w:w="23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Geringes Handelsvolumen</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Mittel</w:t>
            </w:r>
          </w:p>
        </w:tc>
        <w:tc>
          <w:tcPr>
            <w:tcW w:w="5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LP-Fees abhaengig von HBURN-Handelsvolumen — mehr Adoption = mehr Rendite</w:t>
            </w:r>
          </w:p>
        </w:tc>
      </w:tr>
      <w:tr>
        <w:trPr/>
        <w:tc>
          <w:tcPr>
            <w:tcW w:w="23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Alle NFTs gemintet</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Niedrig</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Rendite laeuft weiter aus LP-Fees + Staking; Sekundaermarkt ermoeglicht Preisfindung</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9</w:t>
      </w:r>
      <w:r>
        <w:rPr>
          <w:rFonts w:eastAsia="Arial" w:cs="Arial" w:ascii="Arial" w:hAnsi="Arial"/>
          <w:b/>
          <w:bCs/>
          <w:color w:val="1A1A2E"/>
          <w:sz w:val="36"/>
          <w:szCs w:val="36"/>
        </w:rPr>
        <w:t>. Sicherheit &amp; Trustlessness</w:t>
      </w:r>
    </w:p>
    <w:p>
      <w:pPr>
        <w:pStyle w:val="Normal"/>
        <w:spacing w:before="80" w:after="120"/>
        <w:rPr/>
      </w:pPr>
      <w:r>
        <w:rPr>
          <w:rFonts w:eastAsia="Arial" w:cs="Arial"/>
          <w:b w:val="false"/>
          <w:bCs w:val="false"/>
          <w:i w:val="false"/>
          <w:iCs w:val="false"/>
          <w:color w:val="333333"/>
          <w:sz w:val="22"/>
          <w:szCs w:val="22"/>
        </w:rPr>
        <w:t>HellBurn's Vault folgt Trustless v4.0 Prinzipien — identisch mit HellBurn Protocol:</w:t>
      </w:r>
    </w:p>
    <w:p>
      <w:pPr>
        <w:pStyle w:val="ListParagraph"/>
        <w:numPr>
          <w:ilvl w:val="0"/>
          <w:numId w:val="1"/>
        </w:numPr>
        <w:spacing w:before="60" w:after="60"/>
        <w:rPr/>
      </w:pPr>
      <w:r>
        <w:rPr>
          <w:rFonts w:eastAsia="Arial" w:cs="Arial"/>
          <w:color w:val="333333"/>
          <w:sz w:val="22"/>
          <w:szCs w:val="22"/>
        </w:rPr>
        <w:t>Kein Admin-Key — Parameter koennen nach Deployment nicht geaendert werden</w:t>
      </w:r>
    </w:p>
    <w:p>
      <w:pPr>
        <w:pStyle w:val="ListParagraph"/>
        <w:numPr>
          <w:ilvl w:val="0"/>
          <w:numId w:val="1"/>
        </w:numPr>
        <w:spacing w:before="60" w:after="60"/>
        <w:rPr/>
      </w:pPr>
      <w:r>
        <w:rPr>
          <w:rFonts w:eastAsia="Arial" w:cs="Arial"/>
          <w:color w:val="333333"/>
          <w:sz w:val="22"/>
          <w:szCs w:val="22"/>
        </w:rPr>
        <w:t>Keine Pause-Funktion — das Protokoll kann von niemandem gestoppt werden</w:t>
      </w:r>
    </w:p>
    <w:p>
      <w:pPr>
        <w:pStyle w:val="ListParagraph"/>
        <w:numPr>
          <w:ilvl w:val="0"/>
          <w:numId w:val="1"/>
        </w:numPr>
        <w:spacing w:before="60" w:after="60"/>
        <w:rPr/>
      </w:pPr>
      <w:r>
        <w:rPr>
          <w:rFonts w:eastAsia="Arial" w:cs="Arial"/>
          <w:color w:val="333333"/>
          <w:sz w:val="22"/>
          <w:szCs w:val="22"/>
        </w:rPr>
        <w:t>Keine Auszahlungsfunktion — ETH und Assets im Vault sind nicht entnehmbar</w:t>
      </w:r>
    </w:p>
    <w:p>
      <w:pPr>
        <w:pStyle w:val="ListParagraph"/>
        <w:numPr>
          <w:ilvl w:val="0"/>
          <w:numId w:val="1"/>
        </w:numPr>
        <w:spacing w:before="60" w:after="60"/>
        <w:rPr/>
      </w:pPr>
      <w:r>
        <w:rPr>
          <w:rFonts w:eastAsia="Arial" w:cs="Arial"/>
          <w:color w:val="333333"/>
          <w:sz w:val="22"/>
          <w:szCs w:val="22"/>
        </w:rPr>
        <w:t>Permissionless LP-Rebalancer — jeder kann ausloesen, niemand kontrolliert</w:t>
      </w:r>
    </w:p>
    <w:p>
      <w:pPr>
        <w:pStyle w:val="ListParagraph"/>
        <w:numPr>
          <w:ilvl w:val="0"/>
          <w:numId w:val="1"/>
        </w:numPr>
        <w:spacing w:before="60" w:after="60"/>
        <w:rPr/>
      </w:pPr>
      <w:r>
        <w:rPr>
          <w:rFonts w:eastAsia="Arial" w:cs="Arial"/>
          <w:color w:val="333333"/>
          <w:sz w:val="22"/>
          <w:szCs w:val="22"/>
        </w:rPr>
        <w:t>Max. 5 NFTs pro Tier pro Wallet — verhindert Dominanz einzelner Wallets</w:t>
      </w:r>
    </w:p>
    <w:p>
      <w:pPr>
        <w:pStyle w:val="ListParagraph"/>
        <w:numPr>
          <w:ilvl w:val="0"/>
          <w:numId w:val="1"/>
        </w:numPr>
        <w:spacing w:before="60" w:after="60"/>
        <w:rPr/>
      </w:pPr>
      <w:r>
        <w:rPr>
          <w:rFonts w:eastAsia="Arial" w:cs="Arial"/>
          <w:color w:val="333333"/>
          <w:sz w:val="22"/>
          <w:szCs w:val="22"/>
        </w:rPr>
        <w:t>SpyWolf Security Audit vor Mainnet-Deployment</w:t>
      </w:r>
    </w:p>
    <w:p>
      <w:pPr>
        <w:pStyle w:val="ListParagraph"/>
        <w:numPr>
          <w:ilvl w:val="0"/>
          <w:numId w:val="1"/>
        </w:numPr>
        <w:spacing w:before="60" w:after="60"/>
        <w:rPr/>
      </w:pPr>
      <w:r>
        <w:rPr>
          <w:rFonts w:eastAsia="Arial" w:cs="Arial"/>
          <w:color w:val="333333"/>
          <w:sz w:val="22"/>
          <w:szCs w:val="22"/>
        </w:rPr>
        <w:t>Vollstaendiger Quellcode auf Etherscan verifiziert</w:t>
      </w:r>
    </w:p>
    <w:p>
      <w:pPr>
        <w:pStyle w:val="Normal"/>
        <w:spacing w:before="0" w:after="120"/>
        <w:rPr/>
      </w:pPr>
      <w:r>
        <w:rPr/>
      </w:r>
    </w:p>
    <w:p>
      <w:pPr>
        <w:pStyle w:val="Heading1"/>
        <w:spacing w:before="400" w:after="160"/>
        <w:rPr/>
      </w:pPr>
      <w:r>
        <w:rPr>
          <w:rFonts w:eastAsia="Arial" w:cs="Arial" w:ascii="Arial" w:hAnsi="Arial"/>
          <w:b/>
          <w:bCs/>
          <w:color w:val="1A1A2E"/>
          <w:sz w:val="36"/>
          <w:szCs w:val="36"/>
        </w:rPr>
        <w:t>1</w:t>
      </w:r>
      <w:r>
        <w:rPr>
          <w:rFonts w:eastAsia="Arial" w:cs="Arial" w:ascii="Arial" w:hAnsi="Arial"/>
          <w:b/>
          <w:bCs/>
          <w:color w:val="1A1A2E"/>
          <w:sz w:val="36"/>
          <w:szCs w:val="36"/>
        </w:rPr>
        <w:t>0</w:t>
      </w:r>
      <w:r>
        <w:rPr>
          <w:rFonts w:eastAsia="Arial" w:cs="Arial" w:ascii="Arial" w:hAnsi="Arial"/>
          <w:b/>
          <w:bCs/>
          <w:color w:val="1A1A2E"/>
          <w:sz w:val="36"/>
          <w:szCs w:val="36"/>
        </w:rPr>
        <w:t>. NFT-Handelbarkeit &amp; Sekundaermarkt</w:t>
      </w:r>
    </w:p>
    <w:p>
      <w:pPr>
        <w:pStyle w:val="ListParagraph"/>
        <w:numPr>
          <w:ilvl w:val="0"/>
          <w:numId w:val="1"/>
        </w:numPr>
        <w:spacing w:before="60" w:after="60"/>
        <w:rPr/>
      </w:pPr>
      <w:r>
        <w:rPr>
          <w:rFonts w:eastAsia="Arial" w:cs="Arial"/>
          <w:color w:val="333333"/>
          <w:sz w:val="22"/>
          <w:szCs w:val="22"/>
        </w:rPr>
        <w:t>HellBurn's Vault NFTs sind vollstaendig handelbare ERC-721 Token</w:t>
      </w:r>
    </w:p>
    <w:p>
      <w:pPr>
        <w:pStyle w:val="ListParagraph"/>
        <w:numPr>
          <w:ilvl w:val="0"/>
          <w:numId w:val="1"/>
        </w:numPr>
        <w:spacing w:before="60" w:after="60"/>
        <w:rPr/>
      </w:pPr>
      <w:r>
        <w:rPr>
          <w:rFonts w:eastAsia="Arial" w:cs="Arial"/>
          <w:color w:val="333333"/>
          <w:sz w:val="22"/>
          <w:szCs w:val="22"/>
        </w:rPr>
        <w:t>Beim Verkauf gehen alle zukuenftigen ETH-Renditerechte auf den Kaeufer ueber</w:t>
      </w:r>
    </w:p>
    <w:p>
      <w:pPr>
        <w:pStyle w:val="ListParagraph"/>
        <w:numPr>
          <w:ilvl w:val="0"/>
          <w:numId w:val="1"/>
        </w:numPr>
        <w:spacing w:before="60" w:after="60"/>
        <w:rPr/>
      </w:pPr>
      <w:r>
        <w:rPr>
          <w:rFonts w:eastAsia="Arial" w:cs="Arial"/>
          <w:color w:val="333333"/>
          <w:sz w:val="22"/>
          <w:szCs w:val="22"/>
        </w:rPr>
        <w:t>Mit sinkendem HBURN-Angebot und wachsender Rendite sollten NFT-Bodenpreise steigen</w:t>
      </w:r>
    </w:p>
    <w:p>
      <w:pPr>
        <w:pStyle w:val="ListParagraph"/>
        <w:numPr>
          <w:ilvl w:val="0"/>
          <w:numId w:val="1"/>
        </w:numPr>
        <w:spacing w:before="60" w:after="60"/>
        <w:rPr/>
      </w:pPr>
      <w:r>
        <w:rPr>
          <w:rFonts w:eastAsia="Arial" w:cs="Arial"/>
          <w:color w:val="333333"/>
          <w:sz w:val="22"/>
          <w:szCs w:val="22"/>
        </w:rPr>
        <w:t>Fruehe Minter profitieren am meisten — gleicher Tier, gleicher Preis, wachsende Rendite</w:t>
      </w:r>
    </w:p>
    <w:p>
      <w:pPr>
        <w:pStyle w:val="ListParagraph"/>
        <w:numPr>
          <w:ilvl w:val="0"/>
          <w:numId w:val="1"/>
        </w:numPr>
        <w:spacing w:before="60" w:after="60"/>
        <w:rPr/>
      </w:pPr>
      <w:r>
        <w:rPr>
          <w:rFonts w:eastAsia="Arial" w:cs="Arial"/>
          <w:color w:val="333333"/>
          <w:sz w:val="22"/>
          <w:szCs w:val="22"/>
        </w:rPr>
        <w:t>Diamant-NFTs (nur 500 Stueck weltweit) werden voraussichtlich die begehrtesten sein</w:t>
      </w:r>
    </w:p>
    <w:p>
      <w:pPr>
        <w:pStyle w:val="Normal"/>
        <w:spacing w:before="0" w:after="120"/>
        <w:rPr/>
      </w:pPr>
      <w:r>
        <w:rPr/>
      </w:r>
    </w:p>
    <w:p>
      <w:pPr>
        <w:pStyle w:val="Heading1"/>
        <w:spacing w:before="400" w:after="160"/>
        <w:rPr/>
      </w:pPr>
      <w:r>
        <w:rPr>
          <w:rFonts w:eastAsia="Arial" w:cs="Arial" w:ascii="Arial" w:hAnsi="Arial"/>
          <w:b/>
          <w:bCs/>
          <w:color w:val="1A1A2E"/>
          <w:sz w:val="36"/>
          <w:szCs w:val="36"/>
        </w:rPr>
        <w:t>1</w:t>
      </w:r>
      <w:r>
        <w:rPr>
          <w:rFonts w:eastAsia="Arial" w:cs="Arial" w:ascii="Arial" w:hAnsi="Arial"/>
          <w:b/>
          <w:bCs/>
          <w:color w:val="1A1A2E"/>
          <w:sz w:val="36"/>
          <w:szCs w:val="36"/>
        </w:rPr>
        <w:t>1</w:t>
      </w:r>
      <w:r>
        <w:rPr>
          <w:rFonts w:eastAsia="Arial" w:cs="Arial" w:ascii="Arial" w:hAnsi="Arial"/>
          <w:b/>
          <w:bCs/>
          <w:color w:val="1A1A2E"/>
          <w:sz w:val="36"/>
          <w:szCs w:val="36"/>
        </w:rPr>
        <w:t>. Roadmap</w:t>
      </w:r>
    </w:p>
    <w:tbl>
      <w:tblPr>
        <w:tblW w:w="9360" w:type="dxa"/>
        <w:jc w:val="start"/>
        <w:tblInd w:w="0" w:type="dxa"/>
        <w:tblLayout w:type="fixed"/>
        <w:tblCellMar>
          <w:top w:w="100" w:type="dxa"/>
          <w:start w:w="100" w:type="dxa"/>
          <w:bottom w:w="100" w:type="dxa"/>
          <w:end w:w="100" w:type="dxa"/>
        </w:tblCellMar>
      </w:tblPr>
      <w:tblGrid>
        <w:gridCol w:w="1799"/>
        <w:gridCol w:w="7561"/>
      </w:tblGrid>
      <w:tr>
        <w:trPr>
          <w:tblHeader w:val="true"/>
        </w:trPr>
        <w:tc>
          <w:tcPr>
            <w:tcW w:w="17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Phase</w:t>
            </w:r>
          </w:p>
        </w:tc>
        <w:tc>
          <w:tcPr>
            <w:tcW w:w="75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Meilenstein</w:t>
            </w:r>
          </w:p>
        </w:tc>
      </w:tr>
      <w:tr>
        <w:trPr/>
        <w:tc>
          <w:tcPr>
            <w:tcW w:w="17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Phase 1</w:t>
            </w:r>
          </w:p>
        </w:tc>
        <w:tc>
          <w:tcPr>
            <w:tcW w:w="75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Smart Contract Design &amp; Architektur</w:t>
            </w:r>
          </w:p>
        </w:tc>
      </w:tr>
      <w:tr>
        <w:trPr/>
        <w:tc>
          <w:tcPr>
            <w:tcW w:w="17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Phase 2</w:t>
            </w:r>
          </w:p>
        </w:tc>
        <w:tc>
          <w:tcPr>
            <w:tcW w:w="75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Internes Testing &amp; SpyWolf Security Audit</w:t>
            </w:r>
          </w:p>
        </w:tc>
      </w:tr>
      <w:tr>
        <w:trPr/>
        <w:tc>
          <w:tcPr>
            <w:tcW w:w="17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Phase 3</w:t>
            </w:r>
          </w:p>
        </w:tc>
        <w:tc>
          <w:tcPr>
            <w:tcW w:w="75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Testnet-Deployment &amp; Community Beta</w:t>
            </w:r>
          </w:p>
        </w:tc>
      </w:tr>
      <w:tr>
        <w:trPr/>
        <w:tc>
          <w:tcPr>
            <w:tcW w:w="17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Phase 4</w:t>
            </w:r>
          </w:p>
        </w:tc>
        <w:tc>
          <w:tcPr>
            <w:tcW w:w="75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Mainnet Launch — NFT-Minting oeffnet</w:t>
            </w:r>
          </w:p>
        </w:tc>
      </w:tr>
      <w:tr>
        <w:trPr/>
        <w:tc>
          <w:tcPr>
            <w:tcW w:w="17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Phase 5</w:t>
            </w:r>
          </w:p>
        </w:tc>
        <w:tc>
          <w:tcPr>
            <w:tcW w:w="75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Sekundaerer NFT-Markt &amp; DexScreener Listing</w:t>
            </w:r>
          </w:p>
        </w:tc>
      </w:tr>
      <w:tr>
        <w:trPr/>
        <w:tc>
          <w:tcPr>
            <w:tcW w:w="17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Phase 6</w:t>
            </w:r>
          </w:p>
        </w:tc>
        <w:tc>
          <w:tcPr>
            <w:tcW w:w="75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Ecosystem-Integrationen &amp; Partnerschaften</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1</w:t>
      </w:r>
      <w:r>
        <w:rPr>
          <w:rFonts w:eastAsia="Arial" w:cs="Arial" w:ascii="Arial" w:hAnsi="Arial"/>
          <w:b/>
          <w:bCs/>
          <w:color w:val="1A1A2E"/>
          <w:sz w:val="36"/>
          <w:szCs w:val="36"/>
        </w:rPr>
        <w:t>2</w:t>
      </w:r>
      <w:r>
        <w:rPr>
          <w:rFonts w:eastAsia="Arial" w:cs="Arial" w:ascii="Arial" w:hAnsi="Arial"/>
          <w:b/>
          <w:bCs/>
          <w:color w:val="1A1A2E"/>
          <w:sz w:val="36"/>
          <w:szCs w:val="36"/>
        </w:rPr>
        <w:t>. Haftungsausschluss</w:t>
      </w:r>
    </w:p>
    <w:p>
      <w:pPr>
        <w:pStyle w:val="Normal"/>
        <w:spacing w:before="80" w:after="120"/>
        <w:rPr/>
      </w:pPr>
      <w:r>
        <w:rPr>
          <w:rFonts w:eastAsia="Arial" w:cs="Arial"/>
          <w:b w:val="false"/>
          <w:bCs w:val="false"/>
          <w:i w:val="false"/>
          <w:iCs w:val="false"/>
          <w:color w:val="7F8C8D"/>
          <w:sz w:val="22"/>
          <w:szCs w:val="22"/>
        </w:rPr>
        <w:t>Dieses Whitepaper dient ausschliesslich Informationszwecken und stellt keine Finanzberatung dar. DeFi-Protokolle beinhalten inhaerent Risiken wie Smart-Contract-Schwachstellen, Marktvolatilitaet, Impermanent Loss und Liquiditaetsrisiken. Der geschaetzte 12% APY und die Break-Even-Projektionen sind nur illustrativ und nicht garantiert. Der genannte ~4% APY fuer Lido-Staking ist eine Naeherung basierend auf aktuellen Marktbedingungen. Bitte fuehre immer deine eigene Recherche durch (DYOR). Vergangene Ergebnisse sind kein Indikator fuer zukuenftige Renditen. Dieses Dokument ist ein Entwurf und kann basierend auf Community-Feedback und technischer Entwicklung geaendert werden.</w:t>
      </w:r>
    </w:p>
    <w:p>
      <w:pPr>
        <w:pStyle w:val="Normal"/>
        <w:spacing w:before="0" w:after="120"/>
        <w:rPr/>
      </w:pPr>
      <w:r>
        <w:rPr/>
      </w:r>
    </w:p>
    <w:p>
      <w:pPr>
        <w:pStyle w:val="Normal"/>
        <w:pBdr>
          <w:bottom w:val="single" w:sz="4" w:space="1" w:color="C0392B"/>
        </w:pBdr>
        <w:spacing w:before="200" w:after="200"/>
        <w:rPr/>
      </w:pPr>
      <w:r>
        <w:rPr/>
      </w:r>
    </w:p>
    <w:p>
      <w:pPr>
        <w:pStyle w:val="Normal"/>
        <w:spacing w:before="200" w:after="80"/>
        <w:jc w:val="center"/>
        <w:rPr/>
      </w:pPr>
      <w:r>
        <w:rPr>
          <w:rFonts w:eastAsia="Arial" w:cs="Arial"/>
          <w:b/>
          <w:bCs/>
          <w:color w:val="C0392B"/>
          <w:sz w:val="24"/>
          <w:szCs w:val="24"/>
        </w:rPr>
        <w:t xml:space="preserve">🔥 </w:t>
      </w:r>
      <w:r>
        <w:rPr>
          <w:rFonts w:eastAsia="Arial" w:cs="Arial"/>
          <w:b/>
          <w:bCs/>
          <w:color w:val="C0392B"/>
          <w:sz w:val="24"/>
          <w:szCs w:val="24"/>
        </w:rPr>
        <w:t>HellBurn's Vault — Burn to Earn. Fuer immer.</w:t>
      </w:r>
    </w:p>
    <w:p>
      <w:pPr>
        <w:pStyle w:val="Normal"/>
        <w:spacing w:before="0" w:after="80"/>
        <w:jc w:val="center"/>
        <w:rPr/>
      </w:pPr>
      <w:r>
        <w:rPr>
          <w:rFonts w:eastAsia="Arial" w:cs="Arial"/>
          <w:color w:val="7F8C8D"/>
          <w:sz w:val="18"/>
          <w:szCs w:val="18"/>
        </w:rPr>
        <w:t>hellburn.win  |  t.me/hellburn_titanx_crypto  |  @HellburnTitanX</w:t>
      </w:r>
    </w:p>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8C8D"/>
        <w:sz w:val="16"/>
        <w:szCs w:val="16"/>
      </w:rPr>
      <w:t xml:space="preserve">HellBurn's Vault — Whitepaper v1.0    |    hellburn.win    |    </w:t>
    </w:r>
    <w:r>
      <w:rPr>
        <w:rFonts w:eastAsia="Arial" w:cs="Arial"/>
        <w:color w:val="7F8C8D"/>
        <w:sz w:val="18"/>
        <w:szCs w:val="18"/>
      </w:rPr>
      <w:fldChar w:fldCharType="begin"/>
    </w:r>
    <w:r>
      <w:rPr>
        <w:rFonts w:eastAsia="Arial" w:cs="Arial"/>
        <w:color w:val="7F8C8D"/>
        <w:sz w:val="18"/>
        <w:szCs w:val="18"/>
      </w:rPr>
      <w:instrText xml:space="preserve"> PAGE </w:instrText>
    </w:r>
    <w:r>
      <w:rPr>
        <w:rFonts w:eastAsia="Arial" w:cs="Arial"/>
        <w:color w:val="7F8C8D"/>
        <w:sz w:val="18"/>
        <w:szCs w:val="18"/>
      </w:rPr>
      <w:fldChar w:fldCharType="separate"/>
    </w:r>
    <w:r>
      <w:rPr>
        <w:rFonts w:eastAsia="Arial" w:cs="Arial"/>
        <w:color w:val="7F8C8D"/>
        <w:sz w:val="18"/>
        <w:szCs w:val="18"/>
      </w:rPr>
      <w:t>6</w:t>
    </w:r>
    <w:r>
      <w:rPr>
        <w:rFonts w:eastAsia="Arial" w:cs="Arial"/>
        <w:color w:val="7F8C8D"/>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8C8D"/>
        <w:sz w:val="16"/>
        <w:szCs w:val="16"/>
      </w:rPr>
      <w:t xml:space="preserve">HellBurn's Vault — Whitepaper v1.0    |    hellburn.win    |    </w:t>
    </w:r>
    <w:r>
      <w:rPr>
        <w:rFonts w:eastAsia="Arial" w:cs="Arial"/>
        <w:color w:val="7F8C8D"/>
        <w:sz w:val="18"/>
        <w:szCs w:val="18"/>
      </w:rPr>
      <w:fldChar w:fldCharType="begin"/>
    </w:r>
    <w:r>
      <w:rPr>
        <w:rFonts w:eastAsia="Arial" w:cs="Arial"/>
        <w:color w:val="7F8C8D"/>
        <w:sz w:val="18"/>
        <w:szCs w:val="18"/>
      </w:rPr>
      <w:instrText xml:space="preserve"> PAGE </w:instrText>
    </w:r>
    <w:r>
      <w:rPr>
        <w:rFonts w:eastAsia="Arial" w:cs="Arial"/>
        <w:color w:val="7F8C8D"/>
        <w:sz w:val="18"/>
        <w:szCs w:val="18"/>
      </w:rPr>
      <w:fldChar w:fldCharType="separate"/>
    </w:r>
    <w:r>
      <w:rPr>
        <w:rFonts w:eastAsia="Arial" w:cs="Arial"/>
        <w:color w:val="7F8C8D"/>
        <w:sz w:val="18"/>
        <w:szCs w:val="18"/>
      </w:rPr>
      <w:t>6</w:t>
    </w:r>
    <w:r>
      <w:rPr>
        <w:rFonts w:eastAsia="Arial" w:cs="Arial"/>
        <w:color w:val="7F8C8D"/>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de-AT"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de-AT" w:eastAsia="zh-CN" w:bidi="hi-IN"/>
    </w:rPr>
  </w:style>
  <w:style w:type="paragraph" w:styleId="Heading1">
    <w:name w:val="heading 1"/>
    <w:basedOn w:val="berschrift"/>
    <w:qFormat/>
    <w:pPr>
      <w:spacing w:before="400" w:after="160"/>
      <w:outlineLvl w:val="0"/>
    </w:pPr>
    <w:rPr>
      <w:rFonts w:ascii="Arial" w:hAnsi="Arial" w:eastAsia="Arial" w:cs="Arial"/>
      <w:b/>
      <w:bCs/>
      <w:color w:val="1A1A2E"/>
      <w:sz w:val="36"/>
      <w:szCs w:val="36"/>
    </w:rPr>
  </w:style>
  <w:style w:type="paragraph" w:styleId="Heading2">
    <w:name w:val="heading 2"/>
    <w:basedOn w:val="berschrift"/>
    <w:qFormat/>
    <w:pPr>
      <w:spacing w:before="320" w:after="120"/>
      <w:outlineLvl w:val="1"/>
    </w:pPr>
    <w:rPr>
      <w:rFonts w:ascii="Arial" w:hAnsi="Arial" w:eastAsia="Arial" w:cs="Arial"/>
      <w:b/>
      <w:bCs/>
      <w:color w:val="C0392B"/>
      <w:sz w:val="28"/>
      <w:szCs w:val="28"/>
    </w:rPr>
  </w:style>
  <w:style w:type="paragraph" w:styleId="Heading3">
    <w:name w:val="heading 3"/>
    <w:basedOn w:val="berschrift"/>
    <w:qFormat/>
    <w:pPr/>
    <w:rPr>
      <w:color w:val="1F4D78"/>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de-AT"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Kopf-Fuzeile">
    <w:name w:val="Kopf-/Fußzeile"/>
    <w:basedOn w:val="Normal"/>
    <w:qFormat/>
    <w:pPr/>
    <w:rPr/>
  </w:style>
  <w:style w:type="paragraph" w:styleId="Footer">
    <w:name w:val="footer"/>
    <w:basedOn w:val="Kopf-Fuzeil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LibreOffice/26.2.0.3$Windows_X86_64 LibreOffice_project/620$Build-3</Application>
  <AppVersion>15.0000</AppVersion>
  <Pages>6</Pages>
  <Words>1291</Words>
  <Characters>8525</Characters>
  <CharactersWithSpaces>9635</CharactersWithSpaces>
  <Paragraphs>212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2026-03-25T09:23:37Z</dcterms:created>
  <dc:creator>Un-named</dc:creator>
  <dc:description/>
  <dc:language>de-AT</dc:language>
  <cp:lastModifiedBy/>
  <dcterms:modified xsi:type="dcterms:W3CDTF">2026-03-25T10:27:15Z</dcterms:modified>
  <cp:revision>2</cp:revision>
  <dc:subject/>
  <dc:title/>
</cp:coreProperties>
</file>