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auto">
    <v:background>
      <v:fill r:id="rId2" type="frame"/>
    </v:background>
  </w:background>
  <w:body>
    <w:p>
      <w:pPr>
        <w:pStyle w:val="Normal"/>
        <w:spacing w:before="0" w:after="240"/>
        <w:rPr/>
      </w:pPr>
      <w:r>
        <w:rPr/>
      </w:r>
    </w:p>
    <w:p>
      <w:pPr>
        <w:pStyle w:val="Normal"/>
        <w:spacing w:before="0" w:after="80"/>
        <w:jc w:val="center"/>
        <w:rPr/>
      </w:pPr>
      <w:r>
        <w:rPr>
          <w:rFonts w:eastAsia="Arial" w:cs="Arial"/>
          <w:sz w:val="72"/>
          <w:szCs w:val="72"/>
        </w:rPr>
        <w:t>🔥</w:t>
      </w:r>
    </w:p>
    <w:p>
      <w:pPr>
        <w:pStyle w:val="Normal"/>
        <w:spacing w:before="0" w:after="120"/>
        <w:jc w:val="center"/>
        <w:rPr/>
      </w:pPr>
      <w:r>
        <w:rPr>
          <w:rFonts w:eastAsia="Arial" w:cs="Arial"/>
          <w:b/>
          <w:bCs/>
          <w:color w:val="C0392B"/>
          <w:sz w:val="56"/>
          <w:szCs w:val="56"/>
        </w:rPr>
        <w:t>HellBurn's Vault</w:t>
      </w:r>
    </w:p>
    <w:p>
      <w:pPr>
        <w:pStyle w:val="Normal"/>
        <w:spacing w:before="0" w:after="80"/>
        <w:jc w:val="center"/>
        <w:rPr/>
      </w:pPr>
      <w:r>
        <w:rPr>
          <w:rFonts w:eastAsia="Arial" w:cs="Arial"/>
          <w:color w:val="1A1A2E"/>
          <w:sz w:val="28"/>
          <w:szCs w:val="28"/>
        </w:rPr>
        <w:t>NFT-Powered Deflationary Burn Vault</w:t>
      </w:r>
    </w:p>
    <w:p>
      <w:pPr>
        <w:pStyle w:val="Normal"/>
        <w:spacing w:before="0" w:after="80"/>
        <w:jc w:val="center"/>
        <w:rPr>
          <w:color w:val="auto"/>
        </w:rPr>
      </w:pPr>
      <w:r>
        <w:rPr>
          <w:rFonts w:eastAsia="Arial" w:cs="Arial"/>
          <w:color w:val="auto"/>
          <w:sz w:val="22"/>
          <w:szCs w:val="22"/>
        </w:rPr>
        <w:t>Whitepaper v1.0</w:t>
      </w:r>
    </w:p>
    <w:p>
      <w:pPr>
        <w:pStyle w:val="Normal"/>
        <w:spacing w:before="0" w:after="400"/>
        <w:jc w:val="center"/>
        <w:rPr>
          <w:color w:val="auto"/>
        </w:rPr>
      </w:pPr>
      <w:r>
        <w:rPr>
          <w:rFonts w:eastAsia="Arial" w:cs="Arial"/>
          <w:color w:val="auto"/>
          <w:sz w:val="20"/>
          <w:szCs w:val="20"/>
        </w:rPr>
        <w:t>Built on HellBurn Protocol — Ethereum Mainnet</w:t>
      </w:r>
    </w:p>
    <w:p>
      <w:pPr>
        <w:pStyle w:val="Normal"/>
        <w:pBdr>
          <w:bottom w:val="single" w:sz="4" w:space="1" w:color="C0392B"/>
        </w:pBdr>
        <w:spacing w:before="200" w:after="200"/>
        <w:rPr/>
      </w:pPr>
      <w:r>
        <w:rPr/>
      </w:r>
    </w:p>
    <w:p>
      <w:pPr>
        <w:pStyle w:val="Normal"/>
        <w:spacing w:before="0" w:after="240"/>
        <w:rPr/>
      </w:pPr>
      <w:r>
        <w:rPr/>
      </w:r>
    </w:p>
    <w:p>
      <w:pPr>
        <w:pStyle w:val="Heading1"/>
        <w:spacing w:before="400" w:after="160"/>
        <w:rPr/>
      </w:pPr>
      <w:r>
        <w:rPr>
          <w:rFonts w:eastAsia="Arial" w:cs="Arial" w:ascii="Arial" w:hAnsi="Arial"/>
          <w:b/>
          <w:bCs/>
          <w:color w:val="1A1A2E"/>
          <w:sz w:val="36"/>
          <w:szCs w:val="36"/>
        </w:rPr>
        <w:t>1. Introduction</w:t>
      </w:r>
    </w:p>
    <w:p>
      <w:pPr>
        <w:pStyle w:val="Normal"/>
        <w:spacing w:before="80" w:after="120"/>
        <w:rPr/>
      </w:pPr>
      <w:r>
        <w:rPr>
          <w:rFonts w:eastAsia="Arial" w:cs="Arial"/>
          <w:b w:val="false"/>
          <w:bCs w:val="false"/>
          <w:i w:val="false"/>
          <w:iCs w:val="false"/>
          <w:color w:val="333333"/>
          <w:sz w:val="22"/>
          <w:szCs w:val="22"/>
        </w:rPr>
        <w:t>HellBurn's Vault is a new DeFi protocol built on the HellBurn ecosystem on Ethereum Mainnet. It combines three powerful concepts: NFT ownership, automatic ETH yield generation, and deflationary burn mechanics.</w:t>
      </w:r>
    </w:p>
    <w:p>
      <w:pPr>
        <w:pStyle w:val="Normal"/>
        <w:spacing w:before="80" w:after="120"/>
        <w:rPr/>
      </w:pPr>
      <w:r>
        <w:rPr>
          <w:rFonts w:eastAsia="Arial" w:cs="Arial"/>
          <w:b w:val="false"/>
          <w:bCs w:val="false"/>
          <w:i w:val="false"/>
          <w:iCs w:val="false"/>
          <w:color w:val="333333"/>
          <w:sz w:val="22"/>
          <w:szCs w:val="22"/>
        </w:rPr>
        <w:t>The core idea is straightforward: you mint an NFT with ETH, the Vault automatically deploys that ETH across three yield-generating strategies, and you receive a proportional share of the generated ETH — passively, forever, as long as you hold your NFT.</w:t>
      </w:r>
    </w:p>
    <w:p>
      <w:pPr>
        <w:pStyle w:val="Normal"/>
        <w:spacing w:before="80" w:after="120"/>
        <w:rPr/>
      </w:pPr>
      <w:r>
        <w:rPr>
          <w:rFonts w:eastAsia="Arial" w:cs="Arial"/>
          <w:b w:val="false"/>
          <w:bCs w:val="false"/>
          <w:i w:val="false"/>
          <w:iCs w:val="false"/>
          <w:color w:val="333333"/>
          <w:sz w:val="22"/>
          <w:szCs w:val="22"/>
        </w:rPr>
        <w:t>HellBurn's Vault is fully trustless — no admin key, no pause function, no withdrawal mechanism. Like HellBurn Protocol itself, it is immutable once deployed.</w:t>
      </w:r>
    </w:p>
    <w:p>
      <w:pPr>
        <w:pStyle w:val="Normal"/>
        <w:spacing w:before="0" w:after="120"/>
        <w:rPr/>
      </w:pPr>
      <w:r>
        <w:rPr/>
      </w:r>
    </w:p>
    <w:p>
      <w:pPr>
        <w:pStyle w:val="Heading1"/>
        <w:spacing w:before="400" w:after="160"/>
        <w:rPr/>
      </w:pPr>
      <w:r>
        <w:rPr>
          <w:rFonts w:eastAsia="Arial" w:cs="Arial" w:ascii="Arial" w:hAnsi="Arial"/>
          <w:b/>
          <w:bCs/>
          <w:color w:val="1A1A2E"/>
          <w:sz w:val="36"/>
          <w:szCs w:val="36"/>
        </w:rPr>
        <w:t>2. The Problem</w:t>
      </w:r>
    </w:p>
    <w:p>
      <w:pPr>
        <w:pStyle w:val="Normal"/>
        <w:spacing w:before="80" w:after="120"/>
        <w:rPr/>
      </w:pPr>
      <w:r>
        <w:rPr>
          <w:rFonts w:eastAsia="Arial" w:cs="Arial"/>
          <w:b w:val="false"/>
          <w:bCs w:val="false"/>
          <w:i w:val="false"/>
          <w:iCs w:val="false"/>
          <w:color w:val="333333"/>
          <w:sz w:val="22"/>
          <w:szCs w:val="22"/>
        </w:rPr>
        <w:t>Most DeFi protocols share the same fundamental challenges:</w:t>
      </w:r>
    </w:p>
    <w:p>
      <w:pPr>
        <w:pStyle w:val="ListParagraph"/>
        <w:numPr>
          <w:ilvl w:val="0"/>
          <w:numId w:val="3"/>
        </w:numPr>
        <w:spacing w:before="60" w:after="60"/>
        <w:rPr/>
      </w:pPr>
      <w:r>
        <w:rPr>
          <w:rFonts w:eastAsia="Arial" w:cs="Arial"/>
          <w:color w:val="333333"/>
          <w:sz w:val="22"/>
          <w:szCs w:val="22"/>
        </w:rPr>
        <w:t>Too complex for regular users — multiple tokens, multiple steps, manual management</w:t>
      </w:r>
    </w:p>
    <w:p>
      <w:pPr>
        <w:pStyle w:val="ListParagraph"/>
        <w:numPr>
          <w:ilvl w:val="0"/>
          <w:numId w:val="1"/>
        </w:numPr>
        <w:spacing w:before="60" w:after="60"/>
        <w:rPr/>
      </w:pPr>
      <w:r>
        <w:rPr>
          <w:rFonts w:eastAsia="Arial" w:cs="Arial"/>
          <w:color w:val="333333"/>
          <w:sz w:val="22"/>
          <w:szCs w:val="22"/>
        </w:rPr>
        <w:t>Passive income requires active participation — staking, claiming, compounding</w:t>
      </w:r>
    </w:p>
    <w:p>
      <w:pPr>
        <w:pStyle w:val="ListParagraph"/>
        <w:numPr>
          <w:ilvl w:val="0"/>
          <w:numId w:val="1"/>
        </w:numPr>
        <w:spacing w:before="60" w:after="60"/>
        <w:rPr/>
      </w:pPr>
      <w:r>
        <w:rPr>
          <w:rFonts w:eastAsia="Arial" w:cs="Arial"/>
          <w:color w:val="333333"/>
          <w:sz w:val="22"/>
          <w:szCs w:val="22"/>
        </w:rPr>
        <w:t>No real deflationary pressure — token supply grows, value dilutes</w:t>
      </w:r>
    </w:p>
    <w:p>
      <w:pPr>
        <w:pStyle w:val="ListParagraph"/>
        <w:numPr>
          <w:ilvl w:val="0"/>
          <w:numId w:val="1"/>
        </w:numPr>
        <w:spacing w:before="60" w:after="60"/>
        <w:rPr/>
      </w:pPr>
      <w:r>
        <w:rPr>
          <w:rFonts w:eastAsia="Arial" w:cs="Arial"/>
          <w:color w:val="333333"/>
          <w:sz w:val="22"/>
          <w:szCs w:val="22"/>
        </w:rPr>
        <w:t>No external capital inflow — protocols recycle existing capital</w:t>
      </w:r>
    </w:p>
    <w:p>
      <w:pPr>
        <w:pStyle w:val="Normal"/>
        <w:spacing w:before="0" w:after="120"/>
        <w:rPr/>
      </w:pPr>
      <w:r>
        <w:rPr/>
      </w:r>
    </w:p>
    <w:p>
      <w:pPr>
        <w:pStyle w:val="Normal"/>
        <w:spacing w:before="80" w:after="120"/>
        <w:rPr/>
      </w:pPr>
      <w:r>
        <w:rPr>
          <w:rFonts w:eastAsia="Arial" w:cs="Arial"/>
          <w:b/>
          <w:bCs/>
          <w:i w:val="false"/>
          <w:iCs w:val="false"/>
          <w:color w:val="333333"/>
          <w:sz w:val="22"/>
          <w:szCs w:val="22"/>
        </w:rPr>
        <w:t>HellBurn's Vault solves all four problems in a single product.</w:t>
      </w:r>
    </w:p>
    <w:p>
      <w:pPr>
        <w:pStyle w:val="Normal"/>
        <w:spacing w:before="0" w:after="120"/>
        <w:rPr/>
      </w:pPr>
      <w:r>
        <w:rPr/>
      </w:r>
    </w:p>
    <w:p>
      <w:pPr>
        <w:pStyle w:val="Heading1"/>
        <w:spacing w:before="400" w:after="160"/>
        <w:rPr/>
      </w:pPr>
      <w:r>
        <w:rPr>
          <w:rFonts w:eastAsia="Arial" w:cs="Arial" w:ascii="Arial" w:hAnsi="Arial"/>
          <w:b/>
          <w:bCs/>
          <w:color w:val="1A1A2E"/>
          <w:sz w:val="36"/>
          <w:szCs w:val="36"/>
        </w:rPr>
        <w:t>3. The Solution — HellBurn's Vault</w:t>
      </w:r>
    </w:p>
    <w:p>
      <w:pPr>
        <w:pStyle w:val="Normal"/>
        <w:spacing w:before="80" w:after="120"/>
        <w:rPr/>
      </w:pPr>
      <w:r>
        <w:rPr>
          <w:rFonts w:eastAsia="Arial" w:cs="Arial"/>
          <w:b w:val="false"/>
          <w:bCs w:val="false"/>
          <w:i w:val="false"/>
          <w:iCs w:val="false"/>
          <w:color w:val="333333"/>
          <w:sz w:val="22"/>
          <w:szCs w:val="22"/>
        </w:rPr>
        <w:t>HellBurn's Vault is an NFT-gated deflationary burn vault:</w:t>
      </w:r>
    </w:p>
    <w:p>
      <w:pPr>
        <w:pStyle w:val="ListParagraph"/>
        <w:numPr>
          <w:ilvl w:val="0"/>
          <w:numId w:val="1"/>
        </w:numPr>
        <w:spacing w:before="60" w:after="60"/>
        <w:rPr/>
      </w:pPr>
      <w:r>
        <w:rPr>
          <w:rFonts w:eastAsia="Arial" w:cs="Arial"/>
          <w:color w:val="333333"/>
          <w:sz w:val="22"/>
          <w:szCs w:val="22"/>
        </w:rPr>
        <w:t>One action only: mint an NFT with ETH — everything else is automatic</w:t>
      </w:r>
    </w:p>
    <w:p>
      <w:pPr>
        <w:pStyle w:val="ListParagraph"/>
        <w:numPr>
          <w:ilvl w:val="0"/>
          <w:numId w:val="1"/>
        </w:numPr>
        <w:spacing w:before="60" w:after="60"/>
        <w:rPr/>
      </w:pPr>
      <w:r>
        <w:rPr>
          <w:rFonts w:eastAsia="Arial" w:cs="Arial"/>
          <w:color w:val="333333"/>
          <w:sz w:val="22"/>
          <w:szCs w:val="22"/>
        </w:rPr>
        <w:t>Three yield sources: burn deflation + LP trading fees + ETH staking</w:t>
      </w:r>
    </w:p>
    <w:p>
      <w:pPr>
        <w:pStyle w:val="ListParagraph"/>
        <w:numPr>
          <w:ilvl w:val="0"/>
          <w:numId w:val="1"/>
        </w:numPr>
        <w:spacing w:before="60" w:after="60"/>
        <w:rPr/>
      </w:pPr>
      <w:r>
        <w:rPr>
          <w:rFonts w:eastAsia="Arial" w:cs="Arial"/>
          <w:color w:val="333333"/>
          <w:sz w:val="22"/>
          <w:szCs w:val="22"/>
        </w:rPr>
        <w:t>Fully passive: ETH rewards flow to NFT holders automatically</w:t>
      </w:r>
    </w:p>
    <w:p>
      <w:pPr>
        <w:pStyle w:val="ListParagraph"/>
        <w:numPr>
          <w:ilvl w:val="0"/>
          <w:numId w:val="1"/>
        </w:numPr>
        <w:spacing w:before="60" w:after="60"/>
        <w:rPr/>
      </w:pPr>
      <w:r>
        <w:rPr>
          <w:rFonts w:eastAsia="Arial" w:cs="Arial"/>
          <w:color w:val="333333"/>
          <w:sz w:val="22"/>
          <w:szCs w:val="22"/>
        </w:rPr>
        <w:t>Deflationary: every mint permanently reduces HBURN supply</w:t>
      </w:r>
    </w:p>
    <w:p>
      <w:pPr>
        <w:pStyle w:val="ListParagraph"/>
        <w:numPr>
          <w:ilvl w:val="0"/>
          <w:numId w:val="1"/>
        </w:numPr>
        <w:spacing w:before="60" w:after="60"/>
        <w:rPr/>
      </w:pPr>
      <w:r>
        <w:rPr>
          <w:rFonts w:eastAsia="Arial" w:cs="Arial"/>
          <w:color w:val="333333"/>
          <w:sz w:val="22"/>
          <w:szCs w:val="22"/>
        </w:rPr>
        <w:t>Trustless: no admin, no pause, no withdrawal keys — ever</w:t>
      </w:r>
    </w:p>
    <w:p>
      <w:pPr>
        <w:pStyle w:val="ListParagraph"/>
        <w:numPr>
          <w:ilvl w:val="0"/>
          <w:numId w:val="1"/>
        </w:numPr>
        <w:spacing w:before="60" w:after="60"/>
        <w:rPr/>
      </w:pPr>
      <w:r>
        <w:rPr>
          <w:rFonts w:eastAsia="Arial" w:cs="Arial"/>
          <w:color w:val="333333"/>
          <w:sz w:val="22"/>
          <w:szCs w:val="22"/>
        </w:rPr>
        <w:t>Limited supply: maximum 10,000 NFTs total across all tiers</w:t>
      </w:r>
    </w:p>
    <w:p>
      <w:pPr>
        <w:pStyle w:val="Normal"/>
        <w:spacing w:before="0" w:after="120"/>
        <w:rPr/>
      </w:pPr>
      <w:r>
        <w:rPr/>
      </w:r>
    </w:p>
    <w:p>
      <w:pPr>
        <w:pStyle w:val="Heading2"/>
        <w:spacing w:before="320" w:after="120"/>
        <w:rPr/>
      </w:pPr>
      <w:r>
        <w:rPr>
          <w:rFonts w:eastAsia="Arial" w:cs="Arial" w:ascii="Arial" w:hAnsi="Arial"/>
          <w:b/>
          <w:bCs/>
          <w:color w:val="C0392B"/>
          <w:sz w:val="28"/>
          <w:szCs w:val="28"/>
        </w:rPr>
        <w:t>How It Works — Step by Step</w:t>
      </w:r>
    </w:p>
    <w:tbl>
      <w:tblPr>
        <w:tblW w:w="9360" w:type="dxa"/>
        <w:jc w:val="start"/>
        <w:tblInd w:w="0" w:type="dxa"/>
        <w:tblLayout w:type="fixed"/>
        <w:tblCellMar>
          <w:top w:w="100" w:type="dxa"/>
          <w:start w:w="120" w:type="dxa"/>
          <w:bottom w:w="100" w:type="dxa"/>
          <w:end w:w="120" w:type="dxa"/>
        </w:tblCellMar>
      </w:tblPr>
      <w:tblGrid>
        <w:gridCol w:w="1199"/>
        <w:gridCol w:w="8161"/>
      </w:tblGrid>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1</w:t>
            </w:r>
          </w:p>
        </w:tc>
        <w:tc>
          <w:tcPr>
            <w:tcW w:w="8161" w:type="dxa"/>
            <w:tcBorders>
              <w:top w:val="single" w:sz="2" w:space="0" w:color="DDDDDD"/>
              <w:start w:val="single" w:sz="2" w:space="0" w:color="DDDDDD"/>
              <w:bottom w:val="single" w:sz="2" w:space="0" w:color="DDDDDD"/>
              <w:end w:val="single" w:sz="2" w:space="0" w:color="DDDDDD"/>
            </w:tcBorders>
            <w:shd w:fill="F8F9FA" w:val="clear"/>
            <w:tcMar>
              <w:start w:w="160" w:type="dxa"/>
            </w:tcMar>
          </w:tcPr>
          <w:p>
            <w:pPr>
              <w:pStyle w:val="Normal"/>
              <w:rPr/>
            </w:pPr>
            <w:r>
              <w:rPr>
                <w:rFonts w:eastAsia="Arial" w:cs="Arial"/>
                <w:color w:val="333333"/>
                <w:sz w:val="22"/>
                <w:szCs w:val="22"/>
              </w:rPr>
              <w:t>User chooses a tier and mints an NFT by sending ETH to the Vault</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2</w:t>
            </w:r>
          </w:p>
        </w:tc>
        <w:tc>
          <w:tcPr>
            <w:tcW w:w="8161" w:type="dxa"/>
            <w:tcBorders>
              <w:top w:val="single" w:sz="2" w:space="0" w:color="DDDDDD"/>
              <w:start w:val="single" w:sz="2" w:space="0" w:color="DDDDDD"/>
              <w:bottom w:val="single" w:sz="2" w:space="0" w:color="DDDDDD"/>
              <w:end w:val="single" w:sz="2" w:space="0" w:color="DDDDDD"/>
            </w:tcBorders>
            <w:shd w:fill="FFFFFF" w:val="clear"/>
            <w:tcMar>
              <w:start w:w="160" w:type="dxa"/>
            </w:tcMar>
          </w:tcPr>
          <w:p>
            <w:pPr>
              <w:pStyle w:val="Normal"/>
              <w:rPr/>
            </w:pPr>
            <w:r>
              <w:rPr>
                <w:rFonts w:eastAsia="Arial" w:cs="Arial"/>
                <w:color w:val="333333"/>
                <w:sz w:val="22"/>
                <w:szCs w:val="22"/>
              </w:rPr>
              <w:t>50% of ETH immediately buys HBURN on open market and burns it permanently to 0x000...dEaD</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3</w:t>
            </w:r>
          </w:p>
        </w:tc>
        <w:tc>
          <w:tcPr>
            <w:tcW w:w="8161" w:type="dxa"/>
            <w:tcBorders>
              <w:top w:val="single" w:sz="2" w:space="0" w:color="DDDDDD"/>
              <w:start w:val="single" w:sz="2" w:space="0" w:color="DDDDDD"/>
              <w:bottom w:val="single" w:sz="2" w:space="0" w:color="DDDDDD"/>
              <w:end w:val="single" w:sz="2" w:space="0" w:color="DDDDDD"/>
            </w:tcBorders>
            <w:shd w:fill="F8F9FA" w:val="clear"/>
            <w:tcMar>
              <w:start w:w="160" w:type="dxa"/>
            </w:tcMar>
          </w:tcPr>
          <w:p>
            <w:pPr>
              <w:pStyle w:val="Normal"/>
              <w:rPr/>
            </w:pPr>
            <w:r>
              <w:rPr>
                <w:rFonts w:eastAsia="Arial" w:cs="Arial"/>
                <w:color w:val="333333"/>
                <w:sz w:val="22"/>
                <w:szCs w:val="22"/>
              </w:rPr>
              <w:t>40% of ETH is deployed into HBURN/ETH Uniswap V3 Concentrated Liquidity pool</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4</w:t>
            </w:r>
          </w:p>
        </w:tc>
        <w:tc>
          <w:tcPr>
            <w:tcW w:w="8161" w:type="dxa"/>
            <w:tcBorders>
              <w:top w:val="single" w:sz="2" w:space="0" w:color="DDDDDD"/>
              <w:start w:val="single" w:sz="2" w:space="0" w:color="DDDDDD"/>
              <w:bottom w:val="single" w:sz="2" w:space="0" w:color="DDDDDD"/>
              <w:end w:val="single" w:sz="2" w:space="0" w:color="DDDDDD"/>
            </w:tcBorders>
            <w:shd w:fill="FFFFFF" w:val="clear"/>
            <w:tcMar>
              <w:start w:w="160" w:type="dxa"/>
            </w:tcMar>
          </w:tcPr>
          <w:p>
            <w:pPr>
              <w:pStyle w:val="Normal"/>
              <w:rPr/>
            </w:pPr>
            <w:r>
              <w:rPr>
                <w:rFonts w:eastAsia="Arial" w:cs="Arial"/>
                <w:color w:val="333333"/>
                <w:sz w:val="22"/>
                <w:szCs w:val="22"/>
              </w:rPr>
              <w:t>10% of ETH is staked via Lido — generating ~4% APY in stETH yield</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5</w:t>
            </w:r>
          </w:p>
        </w:tc>
        <w:tc>
          <w:tcPr>
            <w:tcW w:w="8161" w:type="dxa"/>
            <w:tcBorders>
              <w:top w:val="single" w:sz="2" w:space="0" w:color="DDDDDD"/>
              <w:start w:val="single" w:sz="2" w:space="0" w:color="DDDDDD"/>
              <w:bottom w:val="single" w:sz="2" w:space="0" w:color="DDDDDD"/>
              <w:end w:val="single" w:sz="2" w:space="0" w:color="DDDDDD"/>
            </w:tcBorders>
            <w:shd w:fill="F8F9FA" w:val="clear"/>
            <w:tcMar>
              <w:start w:w="160" w:type="dxa"/>
            </w:tcMar>
          </w:tcPr>
          <w:p>
            <w:pPr>
              <w:pStyle w:val="Normal"/>
              <w:rPr/>
            </w:pPr>
            <w:r>
              <w:rPr>
                <w:rFonts w:eastAsia="Arial" w:cs="Arial"/>
                <w:color w:val="333333"/>
                <w:sz w:val="22"/>
                <w:szCs w:val="22"/>
              </w:rPr>
              <w:t>Any permissionless caller can trigger LP rebalancing when price drifts outside the range</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6</w:t>
            </w:r>
          </w:p>
        </w:tc>
        <w:tc>
          <w:tcPr>
            <w:tcW w:w="8161" w:type="dxa"/>
            <w:tcBorders>
              <w:top w:val="single" w:sz="2" w:space="0" w:color="DDDDDD"/>
              <w:start w:val="single" w:sz="2" w:space="0" w:color="DDDDDD"/>
              <w:bottom w:val="single" w:sz="2" w:space="0" w:color="DDDDDD"/>
              <w:end w:val="single" w:sz="2" w:space="0" w:color="DDDDDD"/>
            </w:tcBorders>
            <w:shd w:fill="FFFFFF" w:val="clear"/>
            <w:tcMar>
              <w:start w:w="160" w:type="dxa"/>
            </w:tcMar>
          </w:tcPr>
          <w:p>
            <w:pPr>
              <w:pStyle w:val="Normal"/>
              <w:rPr/>
            </w:pPr>
            <w:r>
              <w:rPr>
                <w:rFonts w:eastAsia="Arial" w:cs="Arial"/>
                <w:color w:val="333333"/>
                <w:sz w:val="22"/>
                <w:szCs w:val="22"/>
              </w:rPr>
              <w:t>All yield (LP fees + stETH rewards) is continuously collected by the Vault</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7</w:t>
            </w:r>
          </w:p>
        </w:tc>
        <w:tc>
          <w:tcPr>
            <w:tcW w:w="8161" w:type="dxa"/>
            <w:tcBorders>
              <w:top w:val="single" w:sz="2" w:space="0" w:color="DDDDDD"/>
              <w:start w:val="single" w:sz="2" w:space="0" w:color="DDDDDD"/>
              <w:bottom w:val="single" w:sz="2" w:space="0" w:color="DDDDDD"/>
              <w:end w:val="single" w:sz="2" w:space="0" w:color="DDDDDD"/>
            </w:tcBorders>
            <w:shd w:fill="F8F9FA" w:val="clear"/>
            <w:tcMar>
              <w:start w:w="160" w:type="dxa"/>
            </w:tcMar>
          </w:tcPr>
          <w:p>
            <w:pPr>
              <w:pStyle w:val="Normal"/>
              <w:rPr/>
            </w:pPr>
            <w:r>
              <w:rPr>
                <w:rFonts w:eastAsia="Arial" w:cs="Arial"/>
                <w:color w:val="333333"/>
                <w:sz w:val="22"/>
                <w:szCs w:val="22"/>
              </w:rPr>
              <w:t>80% of collected yield is distributed to NFT holders proportional to tier multiplier</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8</w:t>
            </w:r>
          </w:p>
        </w:tc>
        <w:tc>
          <w:tcPr>
            <w:tcW w:w="8161" w:type="dxa"/>
            <w:tcBorders>
              <w:top w:val="single" w:sz="2" w:space="0" w:color="DDDDDD"/>
              <w:start w:val="single" w:sz="2" w:space="0" w:color="DDDDDD"/>
              <w:bottom w:val="single" w:sz="2" w:space="0" w:color="DDDDDD"/>
              <w:end w:val="single" w:sz="2" w:space="0" w:color="DDDDDD"/>
            </w:tcBorders>
            <w:shd w:fill="FFFFFF" w:val="clear"/>
            <w:tcMar>
              <w:start w:w="160" w:type="dxa"/>
            </w:tcMar>
          </w:tcPr>
          <w:p>
            <w:pPr>
              <w:pStyle w:val="Normal"/>
              <w:rPr/>
            </w:pPr>
            <w:r>
              <w:rPr>
                <w:rFonts w:eastAsia="Arial" w:cs="Arial"/>
                <w:color w:val="333333"/>
                <w:sz w:val="22"/>
                <w:szCs w:val="22"/>
              </w:rPr>
              <w:t>20% of collected yield re-enters BuyAndBurn — buying and burning more HBURN</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9</w:t>
            </w:r>
          </w:p>
        </w:tc>
        <w:tc>
          <w:tcPr>
            <w:tcW w:w="8161" w:type="dxa"/>
            <w:tcBorders>
              <w:top w:val="single" w:sz="2" w:space="0" w:color="DDDDDD"/>
              <w:start w:val="single" w:sz="2" w:space="0" w:color="DDDDDD"/>
              <w:bottom w:val="single" w:sz="2" w:space="0" w:color="DDDDDD"/>
              <w:end w:val="single" w:sz="2" w:space="0" w:color="DDDDDD"/>
            </w:tcBorders>
            <w:shd w:fill="F8F9FA" w:val="clear"/>
            <w:tcMar>
              <w:start w:w="160" w:type="dxa"/>
            </w:tcMar>
          </w:tcPr>
          <w:p>
            <w:pPr>
              <w:pStyle w:val="Normal"/>
              <w:rPr/>
            </w:pPr>
            <w:r>
              <w:rPr>
                <w:rFonts w:eastAsia="Arial" w:cs="Arial"/>
                <w:color w:val="333333"/>
                <w:sz w:val="22"/>
                <w:szCs w:val="22"/>
              </w:rPr>
              <w:t>NFT holders receive ETH passively — no staking, no claiming strategies, no manual steps</w:t>
            </w:r>
          </w:p>
        </w:tc>
      </w:tr>
    </w:tbl>
    <w:p>
      <w:pPr>
        <w:pStyle w:val="Normal"/>
        <w:spacing w:before="0" w:after="120"/>
        <w:rPr/>
      </w:pPr>
      <w:r>
        <w:rPr/>
      </w:r>
    </w:p>
    <w:p>
      <w:pPr>
        <w:pStyle w:val="Heading1"/>
        <w:spacing w:before="400" w:after="160"/>
        <w:rPr/>
      </w:pPr>
      <w:r>
        <w:rPr>
          <w:rFonts w:eastAsia="Arial" w:cs="Arial" w:ascii="Arial" w:hAnsi="Arial"/>
          <w:b/>
          <w:bCs/>
          <w:color w:val="1A1A2E"/>
          <w:sz w:val="36"/>
          <w:szCs w:val="36"/>
        </w:rPr>
        <w:t>4. NFT Tier System</w:t>
      </w:r>
    </w:p>
    <w:p>
      <w:pPr>
        <w:pStyle w:val="Normal"/>
        <w:spacing w:before="80" w:after="120"/>
        <w:rPr/>
      </w:pPr>
      <w:r>
        <w:rPr>
          <w:rFonts w:eastAsia="Arial" w:cs="Arial"/>
          <w:b w:val="false"/>
          <w:bCs w:val="false"/>
          <w:i w:val="false"/>
          <w:iCs w:val="false"/>
          <w:color w:val="333333"/>
          <w:sz w:val="22"/>
          <w:szCs w:val="22"/>
        </w:rPr>
        <w:t>HellBurn's Vault offers four NFT tiers. Each tier has a fixed ETH mint price, limited maximum supply, and a reward multiplier. The multiplier is designed to be proportional to the mint price with a moderate bonus for higher commitment — ensuring fairness while incentivising larger participation. Maximum 5 NFTs per tier per wallet prevents single-wallet dominance.</w:t>
      </w:r>
    </w:p>
    <w:p>
      <w:pPr>
        <w:pStyle w:val="Normal"/>
        <w:spacing w:before="0" w:after="120"/>
        <w:rPr/>
      </w:pPr>
      <w:r>
        <w:rPr/>
      </w:r>
    </w:p>
    <w:tbl>
      <w:tblPr>
        <w:tblW w:w="9360" w:type="dxa"/>
        <w:jc w:val="start"/>
        <w:tblInd w:w="0" w:type="dxa"/>
        <w:tblLayout w:type="fixed"/>
        <w:tblCellMar>
          <w:top w:w="100" w:type="dxa"/>
          <w:start w:w="100" w:type="dxa"/>
          <w:bottom w:w="100" w:type="dxa"/>
          <w:end w:w="100" w:type="dxa"/>
        </w:tblCellMar>
      </w:tblPr>
      <w:tblGrid>
        <w:gridCol w:w="1567"/>
        <w:gridCol w:w="1343"/>
        <w:gridCol w:w="1456"/>
        <w:gridCol w:w="1232"/>
        <w:gridCol w:w="1679"/>
        <w:gridCol w:w="2083"/>
      </w:tblGrid>
      <w:tr>
        <w:trPr>
          <w:tblHeader w:val="true"/>
        </w:trPr>
        <w:tc>
          <w:tcPr>
            <w:tcW w:w="1567"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Tier</w:t>
            </w:r>
          </w:p>
        </w:tc>
        <w:tc>
          <w:tcPr>
            <w:tcW w:w="1343"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Mint Price</w:t>
            </w:r>
          </w:p>
        </w:tc>
        <w:tc>
          <w:tcPr>
            <w:tcW w:w="1456"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Max Supply</w:t>
            </w:r>
          </w:p>
        </w:tc>
        <w:tc>
          <w:tcPr>
            <w:tcW w:w="1232"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Max/Wallet</w:t>
            </w:r>
          </w:p>
        </w:tc>
        <w:tc>
          <w:tcPr>
            <w:tcW w:w="1679"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Multiplier</w:t>
            </w:r>
          </w:p>
        </w:tc>
        <w:tc>
          <w:tcPr>
            <w:tcW w:w="2083"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Max Pool</w:t>
            </w:r>
          </w:p>
        </w:tc>
      </w:tr>
      <w:tr>
        <w:trPr/>
        <w:tc>
          <w:tcPr>
            <w:tcW w:w="1567"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 xml:space="preserve">🥉 </w:t>
            </w:r>
            <w:r>
              <w:rPr>
                <w:rFonts w:eastAsia="Arial" w:cs="Arial"/>
                <w:b/>
                <w:bCs/>
                <w:color w:val="C0392B"/>
                <w:sz w:val="20"/>
                <w:szCs w:val="20"/>
              </w:rPr>
              <w:t>Bronze</w:t>
            </w:r>
          </w:p>
        </w:tc>
        <w:tc>
          <w:tcPr>
            <w:tcW w:w="1343"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0.1 ETH</w:t>
            </w:r>
          </w:p>
        </w:tc>
        <w:tc>
          <w:tcPr>
            <w:tcW w:w="1456"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5,000</w:t>
            </w:r>
          </w:p>
        </w:tc>
        <w:tc>
          <w:tcPr>
            <w:tcW w:w="1232"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5</w:t>
            </w:r>
          </w:p>
        </w:tc>
        <w:tc>
          <w:tcPr>
            <w:tcW w:w="1679"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1x</w:t>
            </w:r>
          </w:p>
        </w:tc>
        <w:tc>
          <w:tcPr>
            <w:tcW w:w="2083"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500 ETH</w:t>
            </w:r>
          </w:p>
        </w:tc>
      </w:tr>
      <w:tr>
        <w:trPr/>
        <w:tc>
          <w:tcPr>
            <w:tcW w:w="1567"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bCs/>
                <w:color w:val="C0392B"/>
                <w:sz w:val="20"/>
                <w:szCs w:val="20"/>
              </w:rPr>
              <w:t xml:space="preserve">🥈 </w:t>
            </w:r>
            <w:r>
              <w:rPr>
                <w:rFonts w:eastAsia="Arial" w:cs="Arial"/>
                <w:b/>
                <w:bCs/>
                <w:color w:val="C0392B"/>
                <w:sz w:val="20"/>
                <w:szCs w:val="20"/>
              </w:rPr>
              <w:t>Silver</w:t>
            </w:r>
          </w:p>
        </w:tc>
        <w:tc>
          <w:tcPr>
            <w:tcW w:w="1343"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0.5 ETH</w:t>
            </w:r>
          </w:p>
        </w:tc>
        <w:tc>
          <w:tcPr>
            <w:tcW w:w="1456"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3,000</w:t>
            </w:r>
          </w:p>
        </w:tc>
        <w:tc>
          <w:tcPr>
            <w:tcW w:w="1232"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5</w:t>
            </w:r>
          </w:p>
        </w:tc>
        <w:tc>
          <w:tcPr>
            <w:tcW w:w="1679"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bCs/>
                <w:color w:val="C0392B"/>
                <w:sz w:val="20"/>
                <w:szCs w:val="20"/>
              </w:rPr>
              <w:t>5x</w:t>
            </w:r>
          </w:p>
        </w:tc>
        <w:tc>
          <w:tcPr>
            <w:tcW w:w="2083"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1,500 ETH</w:t>
            </w:r>
          </w:p>
        </w:tc>
      </w:tr>
      <w:tr>
        <w:trPr/>
        <w:tc>
          <w:tcPr>
            <w:tcW w:w="1567"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 xml:space="preserve">🥇 </w:t>
            </w:r>
            <w:r>
              <w:rPr>
                <w:rFonts w:eastAsia="Arial" w:cs="Arial"/>
                <w:b/>
                <w:bCs/>
                <w:color w:val="C0392B"/>
                <w:sz w:val="20"/>
                <w:szCs w:val="20"/>
              </w:rPr>
              <w:t>Gold</w:t>
            </w:r>
          </w:p>
        </w:tc>
        <w:tc>
          <w:tcPr>
            <w:tcW w:w="1343"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1.0 ETH</w:t>
            </w:r>
          </w:p>
        </w:tc>
        <w:tc>
          <w:tcPr>
            <w:tcW w:w="1456"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1,500</w:t>
            </w:r>
          </w:p>
        </w:tc>
        <w:tc>
          <w:tcPr>
            <w:tcW w:w="1232"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5</w:t>
            </w:r>
          </w:p>
        </w:tc>
        <w:tc>
          <w:tcPr>
            <w:tcW w:w="1679"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9x</w:t>
            </w:r>
          </w:p>
        </w:tc>
        <w:tc>
          <w:tcPr>
            <w:tcW w:w="2083"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1,500 ETH</w:t>
            </w:r>
          </w:p>
        </w:tc>
      </w:tr>
      <w:tr>
        <w:trPr/>
        <w:tc>
          <w:tcPr>
            <w:tcW w:w="1567"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bCs/>
                <w:color w:val="C0392B"/>
                <w:sz w:val="20"/>
                <w:szCs w:val="20"/>
              </w:rPr>
              <w:t xml:space="preserve">💎 </w:t>
            </w:r>
            <w:r>
              <w:rPr>
                <w:rFonts w:eastAsia="Arial" w:cs="Arial"/>
                <w:b/>
                <w:bCs/>
                <w:color w:val="C0392B"/>
                <w:sz w:val="20"/>
                <w:szCs w:val="20"/>
              </w:rPr>
              <w:t>Diamond</w:t>
            </w:r>
          </w:p>
        </w:tc>
        <w:tc>
          <w:tcPr>
            <w:tcW w:w="1343"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5.0 ETH</w:t>
            </w:r>
          </w:p>
        </w:tc>
        <w:tc>
          <w:tcPr>
            <w:tcW w:w="1456"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500</w:t>
            </w:r>
          </w:p>
        </w:tc>
        <w:tc>
          <w:tcPr>
            <w:tcW w:w="1232"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5</w:t>
            </w:r>
          </w:p>
        </w:tc>
        <w:tc>
          <w:tcPr>
            <w:tcW w:w="1679"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bCs/>
                <w:color w:val="C0392B"/>
                <w:sz w:val="20"/>
                <w:szCs w:val="20"/>
              </w:rPr>
              <w:t>40x</w:t>
            </w:r>
          </w:p>
        </w:tc>
        <w:tc>
          <w:tcPr>
            <w:tcW w:w="2083"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2,500 ETH</w:t>
            </w:r>
          </w:p>
        </w:tc>
      </w:tr>
      <w:tr>
        <w:trPr/>
        <w:tc>
          <w:tcPr>
            <w:tcW w:w="1567"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Total</w:t>
            </w:r>
          </w:p>
        </w:tc>
        <w:tc>
          <w:tcPr>
            <w:tcW w:w="1343"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
          </w:p>
        </w:tc>
        <w:tc>
          <w:tcPr>
            <w:tcW w:w="1456"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10,000</w:t>
            </w:r>
          </w:p>
        </w:tc>
        <w:tc>
          <w:tcPr>
            <w:tcW w:w="1232"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
          </w:p>
        </w:tc>
        <w:tc>
          <w:tcPr>
            <w:tcW w:w="1679"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
          </w:p>
        </w:tc>
        <w:tc>
          <w:tcPr>
            <w:tcW w:w="2083"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6,000 ETH</w:t>
            </w:r>
          </w:p>
        </w:tc>
      </w:tr>
    </w:tbl>
    <w:p>
      <w:pPr>
        <w:pStyle w:val="Normal"/>
        <w:spacing w:before="0" w:after="120"/>
        <w:rPr/>
      </w:pPr>
      <w:r>
        <w:rPr/>
      </w:r>
    </w:p>
    <w:p>
      <w:pPr>
        <w:pStyle w:val="Normal"/>
        <w:spacing w:before="80" w:after="120"/>
        <w:rPr/>
      </w:pPr>
      <w:r>
        <w:rPr>
          <w:rFonts w:eastAsia="Arial" w:cs="Arial"/>
          <w:b/>
          <w:bCs/>
          <w:i w:val="false"/>
          <w:iCs w:val="false"/>
          <w:color w:val="333333"/>
          <w:sz w:val="22"/>
          <w:szCs w:val="22"/>
        </w:rPr>
        <w:t>Total maximum vault capacity: 6,000 ETH. Once all NFTs of a tier are minted, that tier is permanently closed — no exceptions.</w:t>
      </w:r>
    </w:p>
    <w:p>
      <w:pPr>
        <w:pStyle w:val="Normal"/>
        <w:spacing w:before="0" w:after="120"/>
        <w:rPr/>
      </w:pPr>
      <w:r>
        <w:rPr/>
      </w:r>
    </w:p>
    <w:p>
      <w:pPr>
        <w:pStyle w:val="Heading1"/>
        <w:spacing w:before="400" w:after="160"/>
        <w:rPr/>
      </w:pPr>
      <w:r>
        <w:rPr>
          <w:rFonts w:eastAsia="Arial" w:cs="Arial" w:ascii="Arial" w:hAnsi="Arial"/>
          <w:b/>
          <w:bCs/>
          <w:color w:val="1A1A2E"/>
          <w:sz w:val="36"/>
          <w:szCs w:val="36"/>
        </w:rPr>
        <w:t>5. Tokenomics &amp; ETH Flow</w:t>
      </w:r>
    </w:p>
    <w:p>
      <w:pPr>
        <w:pStyle w:val="Heading2"/>
        <w:spacing w:before="320" w:after="120"/>
        <w:rPr/>
      </w:pPr>
      <w:r>
        <w:rPr>
          <w:rFonts w:eastAsia="Arial" w:cs="Arial" w:ascii="Arial" w:hAnsi="Arial"/>
          <w:b/>
          <w:bCs/>
          <w:color w:val="C0392B"/>
          <w:sz w:val="28"/>
          <w:szCs w:val="28"/>
        </w:rPr>
        <w:t>Mint ETH Allocation</w:t>
      </w:r>
    </w:p>
    <w:p>
      <w:pPr>
        <w:pStyle w:val="Normal"/>
        <w:spacing w:before="80" w:after="120"/>
        <w:rPr/>
      </w:pPr>
      <w:r>
        <w:rPr>
          <w:rFonts w:eastAsia="Arial" w:cs="Arial"/>
          <w:b w:val="false"/>
          <w:bCs w:val="false"/>
          <w:i w:val="false"/>
          <w:iCs w:val="false"/>
          <w:color w:val="333333"/>
          <w:sz w:val="22"/>
          <w:szCs w:val="22"/>
        </w:rPr>
        <w:t>When a user mints an NFT, the ETH is immediately deployed:</w:t>
      </w:r>
    </w:p>
    <w:p>
      <w:pPr>
        <w:pStyle w:val="Normal"/>
        <w:spacing w:before="0" w:after="120"/>
        <w:rPr/>
      </w:pPr>
      <w:r>
        <w:rPr/>
      </w:r>
    </w:p>
    <w:tbl>
      <w:tblPr>
        <w:tblW w:w="9360" w:type="dxa"/>
        <w:jc w:val="start"/>
        <w:tblInd w:w="0" w:type="dxa"/>
        <w:tblLayout w:type="fixed"/>
        <w:tblCellMar>
          <w:top w:w="100" w:type="dxa"/>
          <w:start w:w="100" w:type="dxa"/>
          <w:bottom w:w="100" w:type="dxa"/>
          <w:end w:w="100" w:type="dxa"/>
        </w:tblCellMar>
      </w:tblPr>
      <w:tblGrid>
        <w:gridCol w:w="1199"/>
        <w:gridCol w:w="3361"/>
        <w:gridCol w:w="4800"/>
      </w:tblGrid>
      <w:tr>
        <w:trPr>
          <w:tblHeader w:val="true"/>
        </w:trPr>
        <w:tc>
          <w:tcPr>
            <w:tcW w:w="1199"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Allocation</w:t>
            </w:r>
          </w:p>
        </w:tc>
        <w:tc>
          <w:tcPr>
            <w:tcW w:w="3361"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Destination</w:t>
            </w:r>
          </w:p>
        </w:tc>
        <w:tc>
          <w:tcPr>
            <w:tcW w:w="4800"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Purpose</w:t>
            </w:r>
          </w:p>
        </w:tc>
      </w:tr>
      <w:tr>
        <w:trPr/>
        <w:tc>
          <w:tcPr>
            <w:tcW w:w="1199"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50%</w:t>
            </w:r>
          </w:p>
        </w:tc>
        <w:tc>
          <w:tcPr>
            <w:tcW w:w="3361"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Buys &amp; burns HBURN permanently</w:t>
            </w:r>
          </w:p>
        </w:tc>
        <w:tc>
          <w:tcPr>
            <w:tcW w:w="4800"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Maximum deflationary pressure on HBURN supply</w:t>
            </w:r>
          </w:p>
        </w:tc>
      </w:tr>
      <w:tr>
        <w:trPr/>
        <w:tc>
          <w:tcPr>
            <w:tcW w:w="1199"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bCs/>
                <w:color w:val="C0392B"/>
                <w:sz w:val="20"/>
                <w:szCs w:val="20"/>
              </w:rPr>
              <w:t>40%</w:t>
            </w:r>
          </w:p>
        </w:tc>
        <w:tc>
          <w:tcPr>
            <w:tcW w:w="3361"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HBURN/ETH Uniswap V3 Concentrated LP</w:t>
            </w:r>
          </w:p>
        </w:tc>
        <w:tc>
          <w:tcPr>
            <w:tcW w:w="4800"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Generates trading fee yield — managed by permissionless rebalancer</w:t>
            </w:r>
          </w:p>
        </w:tc>
      </w:tr>
      <w:tr>
        <w:trPr/>
        <w:tc>
          <w:tcPr>
            <w:tcW w:w="1199"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10%</w:t>
            </w:r>
          </w:p>
        </w:tc>
        <w:tc>
          <w:tcPr>
            <w:tcW w:w="3361"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Lido Liquid Staking (stETH)</w:t>
            </w:r>
          </w:p>
        </w:tc>
        <w:tc>
          <w:tcPr>
            <w:tcW w:w="4800"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Generates ~4% APY ETH staking yield</w:t>
            </w:r>
          </w:p>
        </w:tc>
      </w:tr>
    </w:tbl>
    <w:p>
      <w:pPr>
        <w:pStyle w:val="Normal"/>
        <w:spacing w:before="0" w:after="120"/>
        <w:rPr/>
      </w:pPr>
      <w:r>
        <w:rPr/>
      </w:r>
    </w:p>
    <w:p>
      <w:pPr>
        <w:pStyle w:val="Heading2"/>
        <w:spacing w:before="320" w:after="120"/>
        <w:rPr/>
      </w:pPr>
      <w:r>
        <w:rPr>
          <w:rFonts w:eastAsia="Arial" w:cs="Arial" w:ascii="Arial" w:hAnsi="Arial"/>
          <w:b/>
          <w:bCs/>
          <w:color w:val="C0392B"/>
          <w:sz w:val="28"/>
          <w:szCs w:val="28"/>
        </w:rPr>
        <w:t>Yield Distribution</w:t>
      </w:r>
    </w:p>
    <w:p>
      <w:pPr>
        <w:pStyle w:val="Normal"/>
        <w:spacing w:before="80" w:after="120"/>
        <w:rPr/>
      </w:pPr>
      <w:r>
        <w:rPr>
          <w:rFonts w:eastAsia="Arial" w:cs="Arial"/>
          <w:b w:val="false"/>
          <w:bCs w:val="false"/>
          <w:i w:val="false"/>
          <w:iCs w:val="false"/>
          <w:color w:val="333333"/>
          <w:sz w:val="22"/>
          <w:szCs w:val="22"/>
        </w:rPr>
        <w:t>All generated yield is distributed as follows:</w:t>
      </w:r>
    </w:p>
    <w:p>
      <w:pPr>
        <w:pStyle w:val="Normal"/>
        <w:spacing w:before="0" w:after="120"/>
        <w:rPr/>
      </w:pPr>
      <w:r>
        <w:rPr/>
      </w:r>
    </w:p>
    <w:tbl>
      <w:tblPr>
        <w:tblW w:w="9360" w:type="dxa"/>
        <w:jc w:val="start"/>
        <w:tblInd w:w="0" w:type="dxa"/>
        <w:tblLayout w:type="fixed"/>
        <w:tblCellMar>
          <w:top w:w="100" w:type="dxa"/>
          <w:start w:w="100" w:type="dxa"/>
          <w:bottom w:w="100" w:type="dxa"/>
          <w:end w:w="100" w:type="dxa"/>
        </w:tblCellMar>
      </w:tblPr>
      <w:tblGrid>
        <w:gridCol w:w="1199"/>
        <w:gridCol w:w="2400"/>
        <w:gridCol w:w="5761"/>
      </w:tblGrid>
      <w:tr>
        <w:trPr>
          <w:tblHeader w:val="true"/>
        </w:trPr>
        <w:tc>
          <w:tcPr>
            <w:tcW w:w="1199"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Share</w:t>
            </w:r>
          </w:p>
        </w:tc>
        <w:tc>
          <w:tcPr>
            <w:tcW w:w="2400"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Recipient</w:t>
            </w:r>
          </w:p>
        </w:tc>
        <w:tc>
          <w:tcPr>
            <w:tcW w:w="5761"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Effect</w:t>
            </w:r>
          </w:p>
        </w:tc>
      </w:tr>
      <w:tr>
        <w:trPr/>
        <w:tc>
          <w:tcPr>
            <w:tcW w:w="1199"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80%</w:t>
            </w:r>
          </w:p>
        </w:tc>
        <w:tc>
          <w:tcPr>
            <w:tcW w:w="2400"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NFT Holders</w:t>
            </w:r>
          </w:p>
        </w:tc>
        <w:tc>
          <w:tcPr>
            <w:tcW w:w="5761"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Proportional to tier multiplier — paid in ETH</w:t>
            </w:r>
          </w:p>
        </w:tc>
      </w:tr>
      <w:tr>
        <w:trPr/>
        <w:tc>
          <w:tcPr>
            <w:tcW w:w="1199"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bCs/>
                <w:color w:val="C0392B"/>
                <w:sz w:val="20"/>
                <w:szCs w:val="20"/>
              </w:rPr>
              <w:t>20%</w:t>
            </w:r>
          </w:p>
        </w:tc>
        <w:tc>
          <w:tcPr>
            <w:tcW w:w="2400"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BuyAndBurn</w:t>
            </w:r>
          </w:p>
        </w:tc>
        <w:tc>
          <w:tcPr>
            <w:tcW w:w="5761"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Buys &amp; burns more HBURN — compounds deflation</w:t>
            </w:r>
          </w:p>
        </w:tc>
      </w:tr>
    </w:tbl>
    <w:p>
      <w:pPr>
        <w:pStyle w:val="Normal"/>
        <w:spacing w:before="0" w:after="120"/>
        <w:rPr/>
      </w:pPr>
      <w:r>
        <w:rPr/>
      </w:r>
    </w:p>
    <w:p>
      <w:pPr>
        <w:pStyle w:val="Heading2"/>
        <w:spacing w:before="320" w:after="120"/>
        <w:rPr/>
      </w:pPr>
      <w:r>
        <w:rPr>
          <w:rFonts w:eastAsia="Arial" w:cs="Arial" w:ascii="Arial" w:hAnsi="Arial"/>
          <w:b/>
          <w:bCs/>
          <w:color w:val="C0392B"/>
          <w:sz w:val="28"/>
          <w:szCs w:val="28"/>
        </w:rPr>
        <w:t>The Deflationary Loop</w:t>
      </w:r>
    </w:p>
    <w:tbl>
      <w:tblPr>
        <w:tblW w:w="9360" w:type="dxa"/>
        <w:jc w:val="start"/>
        <w:tblInd w:w="0" w:type="dxa"/>
        <w:tblLayout w:type="fixed"/>
        <w:tblCellMar>
          <w:top w:w="100" w:type="dxa"/>
          <w:start w:w="120" w:type="dxa"/>
          <w:bottom w:w="100" w:type="dxa"/>
          <w:end w:w="120" w:type="dxa"/>
        </w:tblCellMar>
      </w:tblPr>
      <w:tblGrid>
        <w:gridCol w:w="1199"/>
        <w:gridCol w:w="8161"/>
      </w:tblGrid>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1</w:t>
            </w:r>
          </w:p>
        </w:tc>
        <w:tc>
          <w:tcPr>
            <w:tcW w:w="8161" w:type="dxa"/>
            <w:tcBorders>
              <w:top w:val="single" w:sz="2" w:space="0" w:color="DDDDDD"/>
              <w:start w:val="single" w:sz="2" w:space="0" w:color="DDDDDD"/>
              <w:bottom w:val="single" w:sz="2" w:space="0" w:color="DDDDDD"/>
              <w:end w:val="single" w:sz="2" w:space="0" w:color="DDDDDD"/>
            </w:tcBorders>
            <w:shd w:fill="F8F9FA" w:val="clear"/>
            <w:tcMar>
              <w:start w:w="160" w:type="dxa"/>
            </w:tcMar>
          </w:tcPr>
          <w:p>
            <w:pPr>
              <w:pStyle w:val="Normal"/>
              <w:rPr/>
            </w:pPr>
            <w:r>
              <w:rPr>
                <w:rFonts w:eastAsia="Arial" w:cs="Arial"/>
                <w:color w:val="333333"/>
                <w:sz w:val="22"/>
                <w:szCs w:val="22"/>
              </w:rPr>
              <w:t>More NFT mints → more ETH into the Vault</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2</w:t>
            </w:r>
          </w:p>
        </w:tc>
        <w:tc>
          <w:tcPr>
            <w:tcW w:w="8161" w:type="dxa"/>
            <w:tcBorders>
              <w:top w:val="single" w:sz="2" w:space="0" w:color="DDDDDD"/>
              <w:start w:val="single" w:sz="2" w:space="0" w:color="DDDDDD"/>
              <w:bottom w:val="single" w:sz="2" w:space="0" w:color="DDDDDD"/>
              <w:end w:val="single" w:sz="2" w:space="0" w:color="DDDDDD"/>
            </w:tcBorders>
            <w:shd w:fill="FFFFFF" w:val="clear"/>
            <w:tcMar>
              <w:start w:w="160" w:type="dxa"/>
            </w:tcMar>
          </w:tcPr>
          <w:p>
            <w:pPr>
              <w:pStyle w:val="Normal"/>
              <w:rPr/>
            </w:pPr>
            <w:r>
              <w:rPr>
                <w:rFonts w:eastAsia="Arial" w:cs="Arial"/>
                <w:color w:val="333333"/>
                <w:sz w:val="22"/>
                <w:szCs w:val="22"/>
              </w:rPr>
              <w:t>More ETH → more HBURN bought from open market (buy pressure)</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3</w:t>
            </w:r>
          </w:p>
        </w:tc>
        <w:tc>
          <w:tcPr>
            <w:tcW w:w="8161" w:type="dxa"/>
            <w:tcBorders>
              <w:top w:val="single" w:sz="2" w:space="0" w:color="DDDDDD"/>
              <w:start w:val="single" w:sz="2" w:space="0" w:color="DDDDDD"/>
              <w:bottom w:val="single" w:sz="2" w:space="0" w:color="DDDDDD"/>
              <w:end w:val="single" w:sz="2" w:space="0" w:color="DDDDDD"/>
            </w:tcBorders>
            <w:shd w:fill="F8F9FA" w:val="clear"/>
            <w:tcMar>
              <w:start w:w="160" w:type="dxa"/>
            </w:tcMar>
          </w:tcPr>
          <w:p>
            <w:pPr>
              <w:pStyle w:val="Normal"/>
              <w:rPr/>
            </w:pPr>
            <w:r>
              <w:rPr>
                <w:rFonts w:eastAsia="Arial" w:cs="Arial"/>
                <w:color w:val="333333"/>
                <w:sz w:val="22"/>
                <w:szCs w:val="22"/>
              </w:rPr>
              <w:t>More HBURN burned → total supply decreases permanently</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4</w:t>
            </w:r>
          </w:p>
        </w:tc>
        <w:tc>
          <w:tcPr>
            <w:tcW w:w="8161" w:type="dxa"/>
            <w:tcBorders>
              <w:top w:val="single" w:sz="2" w:space="0" w:color="DDDDDD"/>
              <w:start w:val="single" w:sz="2" w:space="0" w:color="DDDDDD"/>
              <w:bottom w:val="single" w:sz="2" w:space="0" w:color="DDDDDD"/>
              <w:end w:val="single" w:sz="2" w:space="0" w:color="DDDDDD"/>
            </w:tcBorders>
            <w:shd w:fill="FFFFFF" w:val="clear"/>
            <w:tcMar>
              <w:start w:w="160" w:type="dxa"/>
            </w:tcMar>
          </w:tcPr>
          <w:p>
            <w:pPr>
              <w:pStyle w:val="Normal"/>
              <w:rPr/>
            </w:pPr>
            <w:r>
              <w:rPr>
                <w:rFonts w:eastAsia="Arial" w:cs="Arial"/>
                <w:color w:val="333333"/>
                <w:sz w:val="22"/>
                <w:szCs w:val="22"/>
              </w:rPr>
              <w:t>Lower supply → higher HBURN price per token</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5</w:t>
            </w:r>
          </w:p>
        </w:tc>
        <w:tc>
          <w:tcPr>
            <w:tcW w:w="8161" w:type="dxa"/>
            <w:tcBorders>
              <w:top w:val="single" w:sz="2" w:space="0" w:color="DDDDDD"/>
              <w:start w:val="single" w:sz="2" w:space="0" w:color="DDDDDD"/>
              <w:bottom w:val="single" w:sz="2" w:space="0" w:color="DDDDDD"/>
              <w:end w:val="single" w:sz="2" w:space="0" w:color="DDDDDD"/>
            </w:tcBorders>
            <w:shd w:fill="F8F9FA" w:val="clear"/>
            <w:tcMar>
              <w:start w:w="160" w:type="dxa"/>
            </w:tcMar>
          </w:tcPr>
          <w:p>
            <w:pPr>
              <w:pStyle w:val="Normal"/>
              <w:rPr/>
            </w:pPr>
            <w:r>
              <w:rPr>
                <w:rFonts w:eastAsia="Arial" w:cs="Arial"/>
                <w:color w:val="333333"/>
                <w:sz w:val="22"/>
                <w:szCs w:val="22"/>
              </w:rPr>
              <w:t>Higher HBURN price → more valuable LP position → more trading fees</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6</w:t>
            </w:r>
          </w:p>
        </w:tc>
        <w:tc>
          <w:tcPr>
            <w:tcW w:w="8161" w:type="dxa"/>
            <w:tcBorders>
              <w:top w:val="single" w:sz="2" w:space="0" w:color="DDDDDD"/>
              <w:start w:val="single" w:sz="2" w:space="0" w:color="DDDDDD"/>
              <w:bottom w:val="single" w:sz="2" w:space="0" w:color="DDDDDD"/>
              <w:end w:val="single" w:sz="2" w:space="0" w:color="DDDDDD"/>
            </w:tcBorders>
            <w:shd w:fill="FFFFFF" w:val="clear"/>
            <w:tcMar>
              <w:start w:w="160" w:type="dxa"/>
            </w:tcMar>
          </w:tcPr>
          <w:p>
            <w:pPr>
              <w:pStyle w:val="Normal"/>
              <w:rPr/>
            </w:pPr>
            <w:r>
              <w:rPr>
                <w:rFonts w:eastAsia="Arial" w:cs="Arial"/>
                <w:color w:val="333333"/>
                <w:sz w:val="22"/>
                <w:szCs w:val="22"/>
              </w:rPr>
              <w:t>More trading fees + stETH yield → more ETH for NFT holders</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7</w:t>
            </w:r>
          </w:p>
        </w:tc>
        <w:tc>
          <w:tcPr>
            <w:tcW w:w="8161" w:type="dxa"/>
            <w:tcBorders>
              <w:top w:val="single" w:sz="2" w:space="0" w:color="DDDDDD"/>
              <w:start w:val="single" w:sz="2" w:space="0" w:color="DDDDDD"/>
              <w:bottom w:val="single" w:sz="2" w:space="0" w:color="DDDDDD"/>
              <w:end w:val="single" w:sz="2" w:space="0" w:color="DDDDDD"/>
            </w:tcBorders>
            <w:shd w:fill="F8F9FA" w:val="clear"/>
            <w:tcMar>
              <w:start w:w="160" w:type="dxa"/>
            </w:tcMar>
          </w:tcPr>
          <w:p>
            <w:pPr>
              <w:pStyle w:val="Normal"/>
              <w:rPr/>
            </w:pPr>
            <w:r>
              <w:rPr>
                <w:rFonts w:eastAsia="Arial" w:cs="Arial"/>
                <w:color w:val="333333"/>
                <w:sz w:val="22"/>
                <w:szCs w:val="22"/>
              </w:rPr>
              <w:t>Higher ETH yield → more attractive for new minters</w:t>
            </w:r>
          </w:p>
        </w:tc>
      </w:tr>
      <w:tr>
        <w:trPr/>
        <w:tc>
          <w:tcPr>
            <w:tcW w:w="1199" w:type="dxa"/>
            <w:tcBorders>
              <w:top w:val="single" w:sz="2" w:space="0" w:color="DDDDDD"/>
              <w:start w:val="single" w:sz="2" w:space="0" w:color="DDDDDD"/>
              <w:bottom w:val="single" w:sz="2" w:space="0" w:color="DDDDDD"/>
              <w:end w:val="single" w:sz="2" w:space="0" w:color="DDDDDD"/>
            </w:tcBorders>
            <w:shd w:fill="C0392B" w:val="clear"/>
          </w:tcPr>
          <w:p>
            <w:pPr>
              <w:pStyle w:val="Normal"/>
              <w:jc w:val="center"/>
              <w:rPr/>
            </w:pPr>
            <w:r>
              <w:rPr>
                <w:rFonts w:eastAsia="Arial" w:cs="Arial"/>
                <w:b/>
                <w:bCs/>
                <w:color w:val="FFFFFF"/>
                <w:sz w:val="26"/>
                <w:szCs w:val="26"/>
              </w:rPr>
              <w:t>8</w:t>
            </w:r>
          </w:p>
        </w:tc>
        <w:tc>
          <w:tcPr>
            <w:tcW w:w="8161" w:type="dxa"/>
            <w:tcBorders>
              <w:top w:val="single" w:sz="2" w:space="0" w:color="DDDDDD"/>
              <w:start w:val="single" w:sz="2" w:space="0" w:color="DDDDDD"/>
              <w:bottom w:val="single" w:sz="2" w:space="0" w:color="DDDDDD"/>
              <w:end w:val="single" w:sz="2" w:space="0" w:color="DDDDDD"/>
            </w:tcBorders>
            <w:shd w:fill="FFFFFF" w:val="clear"/>
            <w:tcMar>
              <w:start w:w="160" w:type="dxa"/>
            </w:tcMar>
          </w:tcPr>
          <w:p>
            <w:pPr>
              <w:pStyle w:val="Normal"/>
              <w:rPr/>
            </w:pPr>
            <w:r>
              <w:rPr>
                <w:rFonts w:eastAsia="Arial" w:cs="Arial"/>
                <w:color w:val="333333"/>
                <w:sz w:val="22"/>
                <w:szCs w:val="22"/>
              </w:rPr>
              <w:t>Cycle compounds — stronger with every new participant</w:t>
            </w:r>
          </w:p>
        </w:tc>
      </w:tr>
    </w:tbl>
    <w:p>
      <w:pPr>
        <w:pStyle w:val="Normal"/>
        <w:spacing w:before="0" w:after="120"/>
        <w:rPr/>
      </w:pPr>
      <w:r>
        <w:rPr/>
      </w:r>
    </w:p>
    <w:p>
      <w:pPr>
        <w:pStyle w:val="Heading1"/>
        <w:spacing w:before="400" w:after="160"/>
        <w:rPr/>
      </w:pPr>
      <w:r>
        <w:rPr>
          <w:rFonts w:eastAsia="Arial" w:cs="Arial" w:ascii="Arial" w:hAnsi="Arial"/>
          <w:b/>
          <w:bCs/>
          <w:color w:val="1A1A2E"/>
          <w:sz w:val="36"/>
          <w:szCs w:val="36"/>
        </w:rPr>
        <w:t>6. Trustless LP Management</w:t>
      </w:r>
    </w:p>
    <w:p>
      <w:pPr>
        <w:pStyle w:val="Normal"/>
        <w:spacing w:before="80" w:after="120"/>
        <w:rPr/>
      </w:pPr>
      <w:r>
        <w:rPr>
          <w:rFonts w:eastAsia="Arial" w:cs="Arial"/>
          <w:b w:val="false"/>
          <w:bCs w:val="false"/>
          <w:i w:val="false"/>
          <w:iCs w:val="false"/>
          <w:color w:val="333333"/>
          <w:sz w:val="22"/>
          <w:szCs w:val="22"/>
        </w:rPr>
        <w:t>The 40% LP allocation uses Uniswap V3 Concentrated Liquidity within a defined price range around the current HBURN/ETH market price. Concentrated Liquidity significantly increases capital efficiency and trading fee yield compared to standard full-range LP positions.</w:t>
      </w:r>
    </w:p>
    <w:p>
      <w:pPr>
        <w:pStyle w:val="Normal"/>
        <w:spacing w:before="0" w:after="120"/>
        <w:rPr/>
      </w:pPr>
      <w:r>
        <w:rPr/>
      </w:r>
    </w:p>
    <w:p>
      <w:pPr>
        <w:pStyle w:val="Normal"/>
        <w:spacing w:before="240" w:after="80"/>
        <w:rPr/>
      </w:pPr>
      <w:r>
        <w:rPr>
          <w:rFonts w:eastAsia="Arial" w:cs="Arial"/>
          <w:b/>
          <w:bCs/>
          <w:color w:val="1A1A2E"/>
          <w:sz w:val="24"/>
          <w:szCs w:val="24"/>
        </w:rPr>
        <w:t>Permissionless Rebalancing</w:t>
      </w:r>
    </w:p>
    <w:p>
      <w:pPr>
        <w:pStyle w:val="Normal"/>
        <w:spacing w:before="80" w:after="120"/>
        <w:rPr/>
      </w:pPr>
      <w:r>
        <w:rPr>
          <w:rFonts w:eastAsia="Arial" w:cs="Arial"/>
          <w:b w:val="false"/>
          <w:bCs w:val="false"/>
          <w:i w:val="false"/>
          <w:iCs w:val="false"/>
          <w:color w:val="333333"/>
          <w:sz w:val="22"/>
          <w:szCs w:val="22"/>
        </w:rPr>
        <w:t>When the HBURN price moves outside the defined LP range, the position stops earning fees. To address this without any admin access, HellBurn's Vault implements a permissionless rebalancer — a public function that anyone can call to trigger a range adjustment.</w:t>
      </w:r>
    </w:p>
    <w:p>
      <w:pPr>
        <w:pStyle w:val="Normal"/>
        <w:spacing w:before="80" w:after="120"/>
        <w:rPr/>
      </w:pPr>
      <w:r>
        <w:rPr>
          <w:rFonts w:eastAsia="Arial" w:cs="Arial"/>
          <w:b w:val="false"/>
          <w:bCs w:val="false"/>
          <w:i w:val="false"/>
          <w:iCs w:val="false"/>
          <w:color w:val="333333"/>
          <w:sz w:val="22"/>
          <w:szCs w:val="22"/>
        </w:rPr>
        <w:t>This is the same trustless pattern used in HellBurn Protocol for finalizeEpoch() — anyone can trigger it, no one controls it. Callers may receive a small ETH incentive from the Vault to cover gas costs.</w:t>
      </w:r>
    </w:p>
    <w:p>
      <w:pPr>
        <w:pStyle w:val="Normal"/>
        <w:spacing w:before="0" w:after="120"/>
        <w:rPr/>
      </w:pPr>
      <w:r>
        <w:rPr/>
      </w:r>
    </w:p>
    <w:tbl>
      <w:tblPr>
        <w:tblW w:w="9360" w:type="dxa"/>
        <w:jc w:val="start"/>
        <w:tblInd w:w="0" w:type="dxa"/>
        <w:tblLayout w:type="fixed"/>
        <w:tblCellMar>
          <w:top w:w="120" w:type="dxa"/>
          <w:start w:w="200" w:type="dxa"/>
          <w:bottom w:w="120" w:type="dxa"/>
          <w:end w:w="200" w:type="dxa"/>
        </w:tblCellMar>
      </w:tblPr>
      <w:tblGrid>
        <w:gridCol w:w="9360"/>
      </w:tblGrid>
      <w:tr>
        <w:trPr/>
        <w:tc>
          <w:tcPr>
            <w:tcW w:w="9360" w:type="dxa"/>
            <w:tcBorders>
              <w:top w:val="single" w:sz="2" w:space="0" w:color="DDDDDD"/>
              <w:start w:val="single" w:sz="2" w:space="0" w:color="DDDDDD"/>
              <w:bottom w:val="single" w:sz="2" w:space="0" w:color="DDDDDD"/>
              <w:end w:val="single" w:sz="2" w:space="0" w:color="DDDDDD"/>
            </w:tcBorders>
            <w:shd w:fill="FFF8E1" w:val="clear"/>
          </w:tcPr>
          <w:p>
            <w:pPr>
              <w:pStyle w:val="Normal"/>
              <w:rPr/>
            </w:pPr>
            <w:r>
              <w:rPr>
                <w:rFonts w:eastAsia="Arial" w:cs="Arial"/>
                <w:i/>
                <w:iCs/>
                <w:color w:val="5D4037"/>
                <w:sz w:val="21"/>
                <w:szCs w:val="21"/>
              </w:rPr>
              <w:t xml:space="preserve">⚠️  </w:t>
            </w:r>
            <w:r>
              <w:rPr>
                <w:rFonts w:eastAsia="Arial" w:cs="Arial"/>
                <w:i/>
                <w:iCs/>
                <w:color w:val="5D4037"/>
                <w:sz w:val="21"/>
                <w:szCs w:val="21"/>
              </w:rPr>
              <w:t>Impermanent Loss Notice: Concentrated Liquidity LP positions carry impermanent loss risk when the price moves significantly outside the defined range before rebalancing occurs. The tight range strategy and permissionless rebalancing mechanism are designed to minimise this risk, but it cannot be eliminated entirely. See Section 9 (Risk Disclosure) for full details.</w:t>
            </w:r>
          </w:p>
        </w:tc>
      </w:tr>
    </w:tbl>
    <w:p>
      <w:pPr>
        <w:pStyle w:val="Normal"/>
        <w:spacing w:before="0" w:after="120"/>
        <w:rPr/>
      </w:pPr>
      <w:r>
        <w:rPr/>
      </w:r>
    </w:p>
    <w:p>
      <w:pPr>
        <w:pStyle w:val="Heading1"/>
        <w:spacing w:before="400" w:after="160"/>
        <w:rPr/>
      </w:pPr>
      <w:r>
        <w:rPr>
          <w:rFonts w:eastAsia="Arial" w:cs="Arial" w:ascii="Arial" w:hAnsi="Arial"/>
          <w:b/>
          <w:bCs/>
          <w:color w:val="1A1A2E"/>
          <w:sz w:val="36"/>
          <w:szCs w:val="36"/>
        </w:rPr>
        <w:t>7. Break-Even &amp; Return Projection</w:t>
      </w:r>
    </w:p>
    <w:p>
      <w:pPr>
        <w:pStyle w:val="Normal"/>
        <w:spacing w:before="80" w:after="120"/>
        <w:rPr/>
      </w:pPr>
      <w:r>
        <w:rPr>
          <w:rFonts w:eastAsia="Arial" w:cs="Arial"/>
          <w:b w:val="false"/>
          <w:bCs w:val="false"/>
          <w:i w:val="false"/>
          <w:iCs w:val="false"/>
          <w:color w:val="333333"/>
          <w:sz w:val="22"/>
          <w:szCs w:val="22"/>
        </w:rPr>
        <w:t>The table below illustrates estimated break-even timelines based on a conservative 12% annual ETH yield assumption (combining LP fees and stETH staking). Actual yield will vary depending on HBURN trading volume, LP fee tier, and stETH APY at time of participation.</w:t>
      </w:r>
    </w:p>
    <w:p>
      <w:pPr>
        <w:pStyle w:val="Normal"/>
        <w:spacing w:before="0" w:after="120"/>
        <w:rPr/>
      </w:pPr>
      <w:r>
        <w:rPr/>
      </w:r>
    </w:p>
    <w:tbl>
      <w:tblPr>
        <w:tblW w:w="9360" w:type="dxa"/>
        <w:jc w:val="start"/>
        <w:tblInd w:w="0" w:type="dxa"/>
        <w:tblLayout w:type="fixed"/>
        <w:tblCellMar>
          <w:top w:w="100" w:type="dxa"/>
          <w:start w:w="100" w:type="dxa"/>
          <w:bottom w:w="100" w:type="dxa"/>
          <w:end w:w="100" w:type="dxa"/>
        </w:tblCellMar>
      </w:tblPr>
      <w:tblGrid>
        <w:gridCol w:w="1400"/>
        <w:gridCol w:w="1200"/>
        <w:gridCol w:w="2199"/>
        <w:gridCol w:w="1761"/>
        <w:gridCol w:w="2800"/>
      </w:tblGrid>
      <w:tr>
        <w:trPr>
          <w:tblHeader w:val="true"/>
        </w:trPr>
        <w:tc>
          <w:tcPr>
            <w:tcW w:w="1400"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Tier</w:t>
            </w:r>
          </w:p>
        </w:tc>
        <w:tc>
          <w:tcPr>
            <w:tcW w:w="1200"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Mint</w:t>
            </w:r>
          </w:p>
        </w:tc>
        <w:tc>
          <w:tcPr>
            <w:tcW w:w="2199"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Est. Annual Yield*</w:t>
            </w:r>
          </w:p>
        </w:tc>
        <w:tc>
          <w:tcPr>
            <w:tcW w:w="1761"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Break-Even</w:t>
            </w:r>
          </w:p>
        </w:tc>
        <w:tc>
          <w:tcPr>
            <w:tcW w:w="2800"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NFT Value at Break-Even</w:t>
            </w:r>
          </w:p>
        </w:tc>
      </w:tr>
      <w:tr>
        <w:trPr/>
        <w:tc>
          <w:tcPr>
            <w:tcW w:w="1400"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 xml:space="preserve">🥉 </w:t>
            </w:r>
            <w:r>
              <w:rPr>
                <w:rFonts w:eastAsia="Arial" w:cs="Arial"/>
                <w:b/>
                <w:bCs/>
                <w:color w:val="C0392B"/>
                <w:sz w:val="20"/>
                <w:szCs w:val="20"/>
              </w:rPr>
              <w:t>Bronze</w:t>
            </w:r>
          </w:p>
        </w:tc>
        <w:tc>
          <w:tcPr>
            <w:tcW w:w="1200"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0.1 ETH</w:t>
            </w:r>
          </w:p>
        </w:tc>
        <w:tc>
          <w:tcPr>
            <w:tcW w:w="2199"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~0.012 ETH (12%)</w:t>
            </w:r>
          </w:p>
        </w:tc>
        <w:tc>
          <w:tcPr>
            <w:tcW w:w="1761"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~8.5 years</w:t>
            </w:r>
          </w:p>
        </w:tc>
        <w:tc>
          <w:tcPr>
            <w:tcW w:w="2800"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Appreciating</w:t>
            </w:r>
          </w:p>
        </w:tc>
      </w:tr>
      <w:tr>
        <w:trPr/>
        <w:tc>
          <w:tcPr>
            <w:tcW w:w="1400"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bCs/>
                <w:color w:val="C0392B"/>
                <w:sz w:val="20"/>
                <w:szCs w:val="20"/>
              </w:rPr>
              <w:t xml:space="preserve">🥈 </w:t>
            </w:r>
            <w:r>
              <w:rPr>
                <w:rFonts w:eastAsia="Arial" w:cs="Arial"/>
                <w:b/>
                <w:bCs/>
                <w:color w:val="C0392B"/>
                <w:sz w:val="20"/>
                <w:szCs w:val="20"/>
              </w:rPr>
              <w:t>Silver</w:t>
            </w:r>
          </w:p>
        </w:tc>
        <w:tc>
          <w:tcPr>
            <w:tcW w:w="1200"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0.5 ETH</w:t>
            </w:r>
          </w:p>
        </w:tc>
        <w:tc>
          <w:tcPr>
            <w:tcW w:w="2199"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~0.060 ETH (12%)</w:t>
            </w:r>
          </w:p>
        </w:tc>
        <w:tc>
          <w:tcPr>
            <w:tcW w:w="1761"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~8.5 years</w:t>
            </w:r>
          </w:p>
        </w:tc>
        <w:tc>
          <w:tcPr>
            <w:tcW w:w="2800"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Appreciating</w:t>
            </w:r>
          </w:p>
        </w:tc>
      </w:tr>
      <w:tr>
        <w:trPr/>
        <w:tc>
          <w:tcPr>
            <w:tcW w:w="1400"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 xml:space="preserve">🥇 </w:t>
            </w:r>
            <w:r>
              <w:rPr>
                <w:rFonts w:eastAsia="Arial" w:cs="Arial"/>
                <w:b/>
                <w:bCs/>
                <w:color w:val="C0392B"/>
                <w:sz w:val="20"/>
                <w:szCs w:val="20"/>
              </w:rPr>
              <w:t>Gold</w:t>
            </w:r>
          </w:p>
        </w:tc>
        <w:tc>
          <w:tcPr>
            <w:tcW w:w="1200"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1.0 ETH</w:t>
            </w:r>
          </w:p>
        </w:tc>
        <w:tc>
          <w:tcPr>
            <w:tcW w:w="2199"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~0.120 ETH (12%)</w:t>
            </w:r>
          </w:p>
        </w:tc>
        <w:tc>
          <w:tcPr>
            <w:tcW w:w="1761"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~8.5 years</w:t>
            </w:r>
          </w:p>
        </w:tc>
        <w:tc>
          <w:tcPr>
            <w:tcW w:w="2800"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Appreciating</w:t>
            </w:r>
          </w:p>
        </w:tc>
      </w:tr>
      <w:tr>
        <w:trPr/>
        <w:tc>
          <w:tcPr>
            <w:tcW w:w="1400"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bCs/>
                <w:color w:val="C0392B"/>
                <w:sz w:val="20"/>
                <w:szCs w:val="20"/>
              </w:rPr>
              <w:t xml:space="preserve">💎 </w:t>
            </w:r>
            <w:r>
              <w:rPr>
                <w:rFonts w:eastAsia="Arial" w:cs="Arial"/>
                <w:b/>
                <w:bCs/>
                <w:color w:val="C0392B"/>
                <w:sz w:val="20"/>
                <w:szCs w:val="20"/>
              </w:rPr>
              <w:t>Diamond</w:t>
            </w:r>
          </w:p>
        </w:tc>
        <w:tc>
          <w:tcPr>
            <w:tcW w:w="1200"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5.0 ETH</w:t>
            </w:r>
          </w:p>
        </w:tc>
        <w:tc>
          <w:tcPr>
            <w:tcW w:w="2199"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~0.600 ETH (12%)</w:t>
            </w:r>
          </w:p>
        </w:tc>
        <w:tc>
          <w:tcPr>
            <w:tcW w:w="1761"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~8.5 years</w:t>
            </w:r>
          </w:p>
        </w:tc>
        <w:tc>
          <w:tcPr>
            <w:tcW w:w="2800"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Appreciating</w:t>
            </w:r>
          </w:p>
        </w:tc>
      </w:tr>
    </w:tbl>
    <w:p>
      <w:pPr>
        <w:pStyle w:val="Normal"/>
        <w:spacing w:before="0" w:after="120"/>
        <w:rPr/>
      </w:pPr>
      <w:r>
        <w:rPr/>
      </w:r>
    </w:p>
    <w:p>
      <w:pPr>
        <w:pStyle w:val="Normal"/>
        <w:spacing w:before="80" w:after="120"/>
        <w:rPr>
          <w:color w:val="auto"/>
        </w:rPr>
      </w:pPr>
      <w:r>
        <w:rPr>
          <w:rFonts w:eastAsia="Arial" w:cs="Arial"/>
          <w:b w:val="false"/>
          <w:bCs w:val="false"/>
          <w:i/>
          <w:iCs/>
          <w:color w:val="auto"/>
          <w:sz w:val="22"/>
          <w:szCs w:val="22"/>
        </w:rPr>
        <w:t>* 12% APY is a conservative estimate. Higher HBURN trading volume will increase LP fees significantly above this baseline. NFT resale value is not included in this calculation — a Diamond NFT generating 0.6 ETH/year will appreciate in secondary market value as yield grows.</w:t>
      </w:r>
    </w:p>
    <w:p>
      <w:pPr>
        <w:pStyle w:val="Normal"/>
        <w:spacing w:before="0" w:after="120"/>
        <w:rPr/>
      </w:pPr>
      <w:r>
        <w:rPr/>
      </w:r>
    </w:p>
    <w:p>
      <w:pPr>
        <w:pStyle w:val="Normal"/>
        <w:spacing w:before="80" w:after="120"/>
        <w:rPr/>
      </w:pPr>
      <w:r>
        <w:rPr>
          <w:rFonts w:eastAsia="Arial" w:cs="Arial"/>
          <w:b/>
          <w:bCs/>
          <w:i w:val="false"/>
          <w:iCs w:val="false"/>
          <w:color w:val="333333"/>
          <w:sz w:val="22"/>
          <w:szCs w:val="22"/>
        </w:rPr>
        <w:t>Important: The NFT itself retains and likely appreciates in value. Early minters benefit most — same tier, same mint price, but growing yield as more ETH enters the Vault and HBURN supply decreases.</w:t>
      </w:r>
    </w:p>
    <w:p>
      <w:pPr>
        <w:pStyle w:val="Normal"/>
        <w:spacing w:before="0" w:after="120"/>
        <w:rPr/>
      </w:pPr>
      <w:r>
        <w:rPr/>
      </w:r>
    </w:p>
    <w:p>
      <w:pPr>
        <w:pStyle w:val="Heading1"/>
        <w:spacing w:before="400" w:after="160"/>
        <w:rPr/>
      </w:pPr>
      <w:r>
        <w:rPr>
          <w:rFonts w:eastAsia="Arial" w:cs="Arial" w:ascii="Arial" w:hAnsi="Arial"/>
          <w:b/>
          <w:bCs/>
          <w:color w:val="1A1A2E"/>
          <w:sz w:val="36"/>
          <w:szCs w:val="36"/>
        </w:rPr>
        <w:t>8</w:t>
      </w:r>
      <w:r>
        <w:rPr>
          <w:rFonts w:eastAsia="Arial" w:cs="Arial" w:ascii="Arial" w:hAnsi="Arial"/>
          <w:b/>
          <w:bCs/>
          <w:color w:val="1A1A2E"/>
          <w:sz w:val="36"/>
          <w:szCs w:val="36"/>
        </w:rPr>
        <w:t>. Risk Disclosure</w:t>
      </w:r>
    </w:p>
    <w:p>
      <w:pPr>
        <w:pStyle w:val="Normal"/>
        <w:spacing w:before="80" w:after="120"/>
        <w:rPr/>
      </w:pPr>
      <w:r>
        <w:rPr>
          <w:rFonts w:eastAsia="Arial" w:cs="Arial"/>
          <w:b w:val="false"/>
          <w:bCs w:val="false"/>
          <w:i w:val="false"/>
          <w:iCs w:val="false"/>
          <w:color w:val="333333"/>
          <w:sz w:val="22"/>
          <w:szCs w:val="22"/>
        </w:rPr>
        <w:t>HellBurn's Vault is designed to minimise risk through trustless architecture and diversified yield sources. The following table provides a transparent overview of known risks and the mitigations in place:</w:t>
      </w:r>
    </w:p>
    <w:p>
      <w:pPr>
        <w:pStyle w:val="Normal"/>
        <w:spacing w:before="0" w:after="120"/>
        <w:rPr/>
      </w:pPr>
      <w:r>
        <w:rPr/>
      </w:r>
    </w:p>
    <w:tbl>
      <w:tblPr>
        <w:tblW w:w="9360" w:type="dxa"/>
        <w:jc w:val="start"/>
        <w:tblInd w:w="0" w:type="dxa"/>
        <w:tblLayout w:type="fixed"/>
        <w:tblCellMar>
          <w:top w:w="100" w:type="dxa"/>
          <w:start w:w="100" w:type="dxa"/>
          <w:bottom w:w="100" w:type="dxa"/>
          <w:end w:w="100" w:type="dxa"/>
        </w:tblCellMar>
      </w:tblPr>
      <w:tblGrid>
        <w:gridCol w:w="2399"/>
        <w:gridCol w:w="1200"/>
        <w:gridCol w:w="5761"/>
      </w:tblGrid>
      <w:tr>
        <w:trPr>
          <w:tblHeader w:val="true"/>
        </w:trPr>
        <w:tc>
          <w:tcPr>
            <w:tcW w:w="2399"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Risk</w:t>
            </w:r>
          </w:p>
        </w:tc>
        <w:tc>
          <w:tcPr>
            <w:tcW w:w="1200"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Severity</w:t>
            </w:r>
          </w:p>
        </w:tc>
        <w:tc>
          <w:tcPr>
            <w:tcW w:w="5761"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Mitigation</w:t>
            </w:r>
          </w:p>
        </w:tc>
      </w:tr>
      <w:tr>
        <w:trPr/>
        <w:tc>
          <w:tcPr>
            <w:tcW w:w="2399"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Impermanent Loss (LP)</w:t>
            </w:r>
          </w:p>
        </w:tc>
        <w:tc>
          <w:tcPr>
            <w:tcW w:w="1200"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Medium</w:t>
            </w:r>
          </w:p>
        </w:tc>
        <w:tc>
          <w:tcPr>
            <w:tcW w:w="5761"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Concentrated Liquidity with tight range + permissionless rebalancer minimises IL significantly</w:t>
            </w:r>
          </w:p>
        </w:tc>
      </w:tr>
      <w:tr>
        <w:trPr/>
        <w:tc>
          <w:tcPr>
            <w:tcW w:w="2399"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bCs/>
                <w:color w:val="C0392B"/>
                <w:sz w:val="20"/>
                <w:szCs w:val="20"/>
              </w:rPr>
              <w:t>Lido smart contract risk</w:t>
            </w:r>
          </w:p>
        </w:tc>
        <w:tc>
          <w:tcPr>
            <w:tcW w:w="1200"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Low</w:t>
            </w:r>
          </w:p>
        </w:tc>
        <w:tc>
          <w:tcPr>
            <w:tcW w:w="5761"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10% allocation only — limited exposure; Lido is battle-tested with $30B+ TVL</w:t>
            </w:r>
          </w:p>
        </w:tc>
      </w:tr>
      <w:tr>
        <w:trPr/>
        <w:tc>
          <w:tcPr>
            <w:tcW w:w="2399"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HBURN price volatility</w:t>
            </w:r>
          </w:p>
        </w:tc>
        <w:tc>
          <w:tcPr>
            <w:tcW w:w="1200"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Medium</w:t>
            </w:r>
          </w:p>
        </w:tc>
        <w:tc>
          <w:tcPr>
            <w:tcW w:w="5761"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Vault ETH is deployed at mint — not dependent on HBURN price for yield generation</w:t>
            </w:r>
          </w:p>
        </w:tc>
      </w:tr>
      <w:tr>
        <w:trPr/>
        <w:tc>
          <w:tcPr>
            <w:tcW w:w="2399"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bCs/>
                <w:color w:val="C0392B"/>
                <w:sz w:val="20"/>
                <w:szCs w:val="20"/>
              </w:rPr>
              <w:t>Low trading volume</w:t>
            </w:r>
          </w:p>
        </w:tc>
        <w:tc>
          <w:tcPr>
            <w:tcW w:w="1200"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Medium</w:t>
            </w:r>
          </w:p>
        </w:tc>
        <w:tc>
          <w:tcPr>
            <w:tcW w:w="5761"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LP fees depend on HBURN trading volume — more adoption = more yield</w:t>
            </w:r>
          </w:p>
        </w:tc>
      </w:tr>
      <w:tr>
        <w:trPr/>
        <w:tc>
          <w:tcPr>
            <w:tcW w:w="2399"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All NFTs minted out</w:t>
            </w:r>
          </w:p>
        </w:tc>
        <w:tc>
          <w:tcPr>
            <w:tcW w:w="1200"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Low</w:t>
            </w:r>
          </w:p>
        </w:tc>
        <w:tc>
          <w:tcPr>
            <w:tcW w:w="5761"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Yield continues from LP fees + staking; secondary market ensures price discovery</w:t>
            </w:r>
          </w:p>
        </w:tc>
      </w:tr>
    </w:tbl>
    <w:p>
      <w:pPr>
        <w:pStyle w:val="Normal"/>
        <w:spacing w:before="0" w:after="120"/>
        <w:rPr/>
      </w:pPr>
      <w:r>
        <w:rPr/>
      </w:r>
    </w:p>
    <w:p>
      <w:pPr>
        <w:pStyle w:val="Heading1"/>
        <w:spacing w:before="400" w:after="160"/>
        <w:rPr/>
      </w:pPr>
      <w:r>
        <w:rPr>
          <w:rFonts w:eastAsia="Arial" w:cs="Arial" w:ascii="Arial" w:hAnsi="Arial"/>
          <w:b/>
          <w:bCs/>
          <w:color w:val="1A1A2E"/>
          <w:sz w:val="36"/>
          <w:szCs w:val="36"/>
        </w:rPr>
        <w:t>9</w:t>
      </w:r>
      <w:r>
        <w:rPr>
          <w:rFonts w:eastAsia="Arial" w:cs="Arial" w:ascii="Arial" w:hAnsi="Arial"/>
          <w:b/>
          <w:bCs/>
          <w:color w:val="1A1A2E"/>
          <w:sz w:val="36"/>
          <w:szCs w:val="36"/>
        </w:rPr>
        <w:t>. Security &amp; Trustlessness</w:t>
      </w:r>
    </w:p>
    <w:p>
      <w:pPr>
        <w:pStyle w:val="Normal"/>
        <w:spacing w:before="80" w:after="120"/>
        <w:rPr/>
      </w:pPr>
      <w:r>
        <w:rPr>
          <w:rFonts w:eastAsia="Arial" w:cs="Arial"/>
          <w:b w:val="false"/>
          <w:bCs w:val="false"/>
          <w:i w:val="false"/>
          <w:iCs w:val="false"/>
          <w:color w:val="333333"/>
          <w:sz w:val="22"/>
          <w:szCs w:val="22"/>
        </w:rPr>
        <w:t>HellBurn's Vault follows Trustless v4.0 principles — identical to HellBurn Protocol:</w:t>
      </w:r>
    </w:p>
    <w:p>
      <w:pPr>
        <w:pStyle w:val="ListParagraph"/>
        <w:numPr>
          <w:ilvl w:val="0"/>
          <w:numId w:val="1"/>
        </w:numPr>
        <w:spacing w:before="60" w:after="60"/>
        <w:rPr/>
      </w:pPr>
      <w:r>
        <w:rPr>
          <w:rFonts w:eastAsia="Arial" w:cs="Arial"/>
          <w:color w:val="333333"/>
          <w:sz w:val="22"/>
          <w:szCs w:val="22"/>
        </w:rPr>
        <w:t>No admin key — parameters cannot be modified after deployment</w:t>
      </w:r>
    </w:p>
    <w:p>
      <w:pPr>
        <w:pStyle w:val="ListParagraph"/>
        <w:numPr>
          <w:ilvl w:val="0"/>
          <w:numId w:val="1"/>
        </w:numPr>
        <w:spacing w:before="60" w:after="60"/>
        <w:rPr/>
      </w:pPr>
      <w:r>
        <w:rPr>
          <w:rFonts w:eastAsia="Arial" w:cs="Arial"/>
          <w:color w:val="333333"/>
          <w:sz w:val="22"/>
          <w:szCs w:val="22"/>
        </w:rPr>
        <w:t>No pause function — the protocol cannot be stopped by any party</w:t>
      </w:r>
    </w:p>
    <w:p>
      <w:pPr>
        <w:pStyle w:val="ListParagraph"/>
        <w:numPr>
          <w:ilvl w:val="0"/>
          <w:numId w:val="1"/>
        </w:numPr>
        <w:spacing w:before="60" w:after="60"/>
        <w:rPr/>
      </w:pPr>
      <w:r>
        <w:rPr>
          <w:rFonts w:eastAsia="Arial" w:cs="Arial"/>
          <w:color w:val="333333"/>
          <w:sz w:val="22"/>
          <w:szCs w:val="22"/>
        </w:rPr>
        <w:t>No withdrawal function — ETH and assets in the Vault are non-extractable</w:t>
      </w:r>
    </w:p>
    <w:p>
      <w:pPr>
        <w:pStyle w:val="ListParagraph"/>
        <w:numPr>
          <w:ilvl w:val="0"/>
          <w:numId w:val="1"/>
        </w:numPr>
        <w:spacing w:before="60" w:after="60"/>
        <w:rPr/>
      </w:pPr>
      <w:r>
        <w:rPr>
          <w:rFonts w:eastAsia="Arial" w:cs="Arial"/>
          <w:color w:val="333333"/>
          <w:sz w:val="22"/>
          <w:szCs w:val="22"/>
        </w:rPr>
        <w:t>Permissionless LP rebalancer — anyone can trigger, no one controls</w:t>
      </w:r>
    </w:p>
    <w:p>
      <w:pPr>
        <w:pStyle w:val="ListParagraph"/>
        <w:numPr>
          <w:ilvl w:val="0"/>
          <w:numId w:val="1"/>
        </w:numPr>
        <w:spacing w:before="60" w:after="60"/>
        <w:rPr/>
      </w:pPr>
      <w:r>
        <w:rPr>
          <w:rFonts w:eastAsia="Arial" w:cs="Arial"/>
          <w:color w:val="333333"/>
          <w:sz w:val="22"/>
          <w:szCs w:val="22"/>
        </w:rPr>
        <w:t>Max 5 NFTs per tier per wallet — prevents single-wallet dominance</w:t>
      </w:r>
    </w:p>
    <w:p>
      <w:pPr>
        <w:pStyle w:val="ListParagraph"/>
        <w:numPr>
          <w:ilvl w:val="0"/>
          <w:numId w:val="1"/>
        </w:numPr>
        <w:spacing w:before="60" w:after="60"/>
        <w:rPr/>
      </w:pPr>
      <w:r>
        <w:rPr>
          <w:rFonts w:eastAsia="Arial" w:cs="Arial"/>
          <w:color w:val="333333"/>
          <w:sz w:val="22"/>
          <w:szCs w:val="22"/>
        </w:rPr>
        <w:t>SpyWolf Security audit before mainnet deployment</w:t>
      </w:r>
    </w:p>
    <w:p>
      <w:pPr>
        <w:pStyle w:val="ListParagraph"/>
        <w:numPr>
          <w:ilvl w:val="0"/>
          <w:numId w:val="1"/>
        </w:numPr>
        <w:spacing w:before="60" w:after="60"/>
        <w:rPr/>
      </w:pPr>
      <w:r>
        <w:rPr>
          <w:rFonts w:eastAsia="Arial" w:cs="Arial"/>
          <w:color w:val="333333"/>
          <w:sz w:val="22"/>
          <w:szCs w:val="22"/>
        </w:rPr>
        <w:t>Full source code verified on Etherscan</w:t>
      </w:r>
    </w:p>
    <w:p>
      <w:pPr>
        <w:pStyle w:val="Normal"/>
        <w:spacing w:before="0" w:after="120"/>
        <w:rPr/>
      </w:pPr>
      <w:r>
        <w:rPr/>
      </w:r>
    </w:p>
    <w:p>
      <w:pPr>
        <w:pStyle w:val="Heading1"/>
        <w:spacing w:before="400" w:after="160"/>
        <w:rPr/>
      </w:pPr>
      <w:r>
        <w:rPr>
          <w:rFonts w:eastAsia="Arial" w:cs="Arial" w:ascii="Arial" w:hAnsi="Arial"/>
          <w:b/>
          <w:bCs/>
          <w:color w:val="1A1A2E"/>
          <w:sz w:val="36"/>
          <w:szCs w:val="36"/>
        </w:rPr>
        <w:t>1</w:t>
      </w:r>
      <w:r>
        <w:rPr>
          <w:rFonts w:eastAsia="Arial" w:cs="Arial" w:ascii="Arial" w:hAnsi="Arial"/>
          <w:b/>
          <w:bCs/>
          <w:color w:val="1A1A2E"/>
          <w:sz w:val="36"/>
          <w:szCs w:val="36"/>
        </w:rPr>
        <w:t>0</w:t>
      </w:r>
      <w:r>
        <w:rPr>
          <w:rFonts w:eastAsia="Arial" w:cs="Arial" w:ascii="Arial" w:hAnsi="Arial"/>
          <w:b/>
          <w:bCs/>
          <w:color w:val="1A1A2E"/>
          <w:sz w:val="36"/>
          <w:szCs w:val="36"/>
        </w:rPr>
        <w:t>. NFT Transferability &amp; Secondary Market</w:t>
      </w:r>
    </w:p>
    <w:p>
      <w:pPr>
        <w:pStyle w:val="ListParagraph"/>
        <w:numPr>
          <w:ilvl w:val="0"/>
          <w:numId w:val="1"/>
        </w:numPr>
        <w:spacing w:before="60" w:after="60"/>
        <w:rPr/>
      </w:pPr>
      <w:r>
        <w:rPr>
          <w:rFonts w:eastAsia="Arial" w:cs="Arial"/>
          <w:color w:val="333333"/>
          <w:sz w:val="22"/>
          <w:szCs w:val="22"/>
        </w:rPr>
        <w:t>HellBurn's Vault NFTs are fully transferable ERC-721 tokens</w:t>
      </w:r>
    </w:p>
    <w:p>
      <w:pPr>
        <w:pStyle w:val="ListParagraph"/>
        <w:numPr>
          <w:ilvl w:val="0"/>
          <w:numId w:val="1"/>
        </w:numPr>
        <w:spacing w:before="60" w:after="60"/>
        <w:rPr/>
      </w:pPr>
      <w:r>
        <w:rPr>
          <w:rFonts w:eastAsia="Arial" w:cs="Arial"/>
          <w:color w:val="333333"/>
          <w:sz w:val="22"/>
          <w:szCs w:val="22"/>
        </w:rPr>
        <w:t>Selling transfers all future ETH yield rights to the buyer</w:t>
      </w:r>
    </w:p>
    <w:p>
      <w:pPr>
        <w:pStyle w:val="ListParagraph"/>
        <w:numPr>
          <w:ilvl w:val="0"/>
          <w:numId w:val="1"/>
        </w:numPr>
        <w:spacing w:before="60" w:after="60"/>
        <w:rPr/>
      </w:pPr>
      <w:r>
        <w:rPr>
          <w:rFonts w:eastAsia="Arial" w:cs="Arial"/>
          <w:color w:val="333333"/>
          <w:sz w:val="22"/>
          <w:szCs w:val="22"/>
        </w:rPr>
        <w:t>As HBURN supply decreases and yield grows, NFT floor prices should appreciate</w:t>
      </w:r>
    </w:p>
    <w:p>
      <w:pPr>
        <w:pStyle w:val="ListParagraph"/>
        <w:numPr>
          <w:ilvl w:val="0"/>
          <w:numId w:val="1"/>
        </w:numPr>
        <w:spacing w:before="60" w:after="60"/>
        <w:rPr/>
      </w:pPr>
      <w:r>
        <w:rPr>
          <w:rFonts w:eastAsia="Arial" w:cs="Arial"/>
          <w:color w:val="333333"/>
          <w:sz w:val="22"/>
          <w:szCs w:val="22"/>
        </w:rPr>
        <w:t>Early minters benefit most — same tier, same price, but growing yield over time</w:t>
      </w:r>
    </w:p>
    <w:p>
      <w:pPr>
        <w:pStyle w:val="ListParagraph"/>
        <w:numPr>
          <w:ilvl w:val="0"/>
          <w:numId w:val="1"/>
        </w:numPr>
        <w:spacing w:before="60" w:after="60"/>
        <w:rPr/>
      </w:pPr>
      <w:r>
        <w:rPr>
          <w:rFonts w:eastAsia="Arial" w:cs="Arial"/>
          <w:color w:val="333333"/>
          <w:sz w:val="22"/>
          <w:szCs w:val="22"/>
        </w:rPr>
        <w:t>Diamond NFTs (only 500 exist globally) are expected to become the most sought-after</w:t>
      </w:r>
    </w:p>
    <w:p>
      <w:pPr>
        <w:pStyle w:val="Normal"/>
        <w:spacing w:before="0" w:after="120"/>
        <w:rPr/>
      </w:pPr>
      <w:r>
        <w:rPr/>
      </w:r>
    </w:p>
    <w:p>
      <w:pPr>
        <w:pStyle w:val="Heading1"/>
        <w:spacing w:before="400" w:after="160"/>
        <w:rPr/>
      </w:pPr>
      <w:r>
        <w:rPr>
          <w:rFonts w:eastAsia="Arial" w:cs="Arial" w:ascii="Arial" w:hAnsi="Arial"/>
          <w:b/>
          <w:bCs/>
          <w:color w:val="1A1A2E"/>
          <w:sz w:val="36"/>
          <w:szCs w:val="36"/>
        </w:rPr>
        <w:t>1</w:t>
      </w:r>
      <w:r>
        <w:rPr>
          <w:rFonts w:eastAsia="Arial" w:cs="Arial" w:ascii="Arial" w:hAnsi="Arial"/>
          <w:b/>
          <w:bCs/>
          <w:color w:val="1A1A2E"/>
          <w:sz w:val="36"/>
          <w:szCs w:val="36"/>
        </w:rPr>
        <w:t>1</w:t>
      </w:r>
      <w:r>
        <w:rPr>
          <w:rFonts w:eastAsia="Arial" w:cs="Arial" w:ascii="Arial" w:hAnsi="Arial"/>
          <w:b/>
          <w:bCs/>
          <w:color w:val="1A1A2E"/>
          <w:sz w:val="36"/>
          <w:szCs w:val="36"/>
        </w:rPr>
        <w:t>. Roadmap</w:t>
      </w:r>
    </w:p>
    <w:tbl>
      <w:tblPr>
        <w:tblW w:w="9360" w:type="dxa"/>
        <w:jc w:val="start"/>
        <w:tblInd w:w="0" w:type="dxa"/>
        <w:tblLayout w:type="fixed"/>
        <w:tblCellMar>
          <w:top w:w="100" w:type="dxa"/>
          <w:start w:w="100" w:type="dxa"/>
          <w:bottom w:w="100" w:type="dxa"/>
          <w:end w:w="100" w:type="dxa"/>
        </w:tblCellMar>
      </w:tblPr>
      <w:tblGrid>
        <w:gridCol w:w="1799"/>
        <w:gridCol w:w="7561"/>
      </w:tblGrid>
      <w:tr>
        <w:trPr>
          <w:tblHeader w:val="true"/>
        </w:trPr>
        <w:tc>
          <w:tcPr>
            <w:tcW w:w="1799"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Phase</w:t>
            </w:r>
          </w:p>
        </w:tc>
        <w:tc>
          <w:tcPr>
            <w:tcW w:w="7561" w:type="dxa"/>
            <w:tcBorders>
              <w:top w:val="single" w:sz="2" w:space="0" w:color="DDDDDD"/>
              <w:start w:val="single" w:sz="2" w:space="0" w:color="DDDDDD"/>
              <w:bottom w:val="single" w:sz="2" w:space="0" w:color="DDDDDD"/>
              <w:end w:val="single" w:sz="2" w:space="0" w:color="DDDDDD"/>
            </w:tcBorders>
            <w:shd w:fill="1A1A2E" w:val="clear"/>
          </w:tcPr>
          <w:p>
            <w:pPr>
              <w:pStyle w:val="Normal"/>
              <w:rPr/>
            </w:pPr>
            <w:r>
              <w:rPr>
                <w:rFonts w:eastAsia="Arial" w:cs="Arial"/>
                <w:b/>
                <w:bCs/>
                <w:color w:val="FFFFFF"/>
                <w:sz w:val="18"/>
                <w:szCs w:val="18"/>
              </w:rPr>
              <w:t>Milestone</w:t>
            </w:r>
          </w:p>
        </w:tc>
      </w:tr>
      <w:tr>
        <w:trPr/>
        <w:tc>
          <w:tcPr>
            <w:tcW w:w="1799"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Phase 1</w:t>
            </w:r>
          </w:p>
        </w:tc>
        <w:tc>
          <w:tcPr>
            <w:tcW w:w="7561"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Smart contract design &amp; architecture</w:t>
            </w:r>
          </w:p>
        </w:tc>
      </w:tr>
      <w:tr>
        <w:trPr/>
        <w:tc>
          <w:tcPr>
            <w:tcW w:w="1799"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bCs/>
                <w:color w:val="C0392B"/>
                <w:sz w:val="20"/>
                <w:szCs w:val="20"/>
              </w:rPr>
              <w:t>Phase 2</w:t>
            </w:r>
          </w:p>
        </w:tc>
        <w:tc>
          <w:tcPr>
            <w:tcW w:w="7561"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Internal testing &amp; SpyWolf security audit</w:t>
            </w:r>
          </w:p>
        </w:tc>
      </w:tr>
      <w:tr>
        <w:trPr/>
        <w:tc>
          <w:tcPr>
            <w:tcW w:w="1799"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Phase 3</w:t>
            </w:r>
          </w:p>
        </w:tc>
        <w:tc>
          <w:tcPr>
            <w:tcW w:w="7561"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Testnet deployment &amp; community beta</w:t>
            </w:r>
          </w:p>
        </w:tc>
      </w:tr>
      <w:tr>
        <w:trPr/>
        <w:tc>
          <w:tcPr>
            <w:tcW w:w="1799"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bCs/>
                <w:color w:val="C0392B"/>
                <w:sz w:val="20"/>
                <w:szCs w:val="20"/>
              </w:rPr>
              <w:t>Phase 4</w:t>
            </w:r>
          </w:p>
        </w:tc>
        <w:tc>
          <w:tcPr>
            <w:tcW w:w="7561"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Mainnet launch — NFT minting opens</w:t>
            </w:r>
          </w:p>
        </w:tc>
      </w:tr>
      <w:tr>
        <w:trPr/>
        <w:tc>
          <w:tcPr>
            <w:tcW w:w="1799"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bCs/>
                <w:color w:val="C0392B"/>
                <w:sz w:val="20"/>
                <w:szCs w:val="20"/>
              </w:rPr>
              <w:t>Phase 5</w:t>
            </w:r>
          </w:p>
        </w:tc>
        <w:tc>
          <w:tcPr>
            <w:tcW w:w="7561" w:type="dxa"/>
            <w:tcBorders>
              <w:top w:val="single" w:sz="2" w:space="0" w:color="DDDDDD"/>
              <w:start w:val="single" w:sz="2" w:space="0" w:color="DDDDDD"/>
              <w:bottom w:val="single" w:sz="2" w:space="0" w:color="DDDDDD"/>
              <w:end w:val="single" w:sz="2" w:space="0" w:color="DDDDDD"/>
            </w:tcBorders>
            <w:shd w:fill="F8F9FA" w:val="clear"/>
            <w:tcMar>
              <w:top w:w="80" w:type="dxa"/>
              <w:bottom w:w="80" w:type="dxa"/>
            </w:tcMar>
          </w:tcPr>
          <w:p>
            <w:pPr>
              <w:pStyle w:val="Normal"/>
              <w:rPr/>
            </w:pPr>
            <w:r>
              <w:rPr>
                <w:rFonts w:eastAsia="Arial" w:cs="Arial"/>
                <w:b w:val="false"/>
                <w:bCs w:val="false"/>
                <w:color w:val="333333"/>
                <w:sz w:val="20"/>
                <w:szCs w:val="20"/>
              </w:rPr>
              <w:t>Secondary NFT market &amp; DexScreener listing</w:t>
            </w:r>
          </w:p>
        </w:tc>
      </w:tr>
      <w:tr>
        <w:trPr/>
        <w:tc>
          <w:tcPr>
            <w:tcW w:w="1799"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bCs/>
                <w:color w:val="C0392B"/>
                <w:sz w:val="20"/>
                <w:szCs w:val="20"/>
              </w:rPr>
              <w:t>Phase 6</w:t>
            </w:r>
          </w:p>
        </w:tc>
        <w:tc>
          <w:tcPr>
            <w:tcW w:w="7561" w:type="dxa"/>
            <w:tcBorders>
              <w:top w:val="single" w:sz="2" w:space="0" w:color="DDDDDD"/>
              <w:start w:val="single" w:sz="2" w:space="0" w:color="DDDDDD"/>
              <w:bottom w:val="single" w:sz="2" w:space="0" w:color="DDDDDD"/>
              <w:end w:val="single" w:sz="2" w:space="0" w:color="DDDDDD"/>
            </w:tcBorders>
            <w:shd w:fill="FFFFFF" w:val="clear"/>
            <w:tcMar>
              <w:top w:w="80" w:type="dxa"/>
              <w:bottom w:w="80" w:type="dxa"/>
            </w:tcMar>
          </w:tcPr>
          <w:p>
            <w:pPr>
              <w:pStyle w:val="Normal"/>
              <w:rPr/>
            </w:pPr>
            <w:r>
              <w:rPr>
                <w:rFonts w:eastAsia="Arial" w:cs="Arial"/>
                <w:b w:val="false"/>
                <w:bCs w:val="false"/>
                <w:color w:val="333333"/>
                <w:sz w:val="20"/>
                <w:szCs w:val="20"/>
              </w:rPr>
              <w:t>Ecosystem integrations &amp; partnerships</w:t>
            </w:r>
          </w:p>
        </w:tc>
      </w:tr>
    </w:tbl>
    <w:p>
      <w:pPr>
        <w:pStyle w:val="Normal"/>
        <w:spacing w:before="0" w:after="120"/>
        <w:rPr/>
      </w:pPr>
      <w:r>
        <w:rPr/>
      </w:r>
    </w:p>
    <w:p>
      <w:pPr>
        <w:pStyle w:val="Heading1"/>
        <w:spacing w:before="400" w:after="160"/>
        <w:rPr/>
      </w:pPr>
      <w:r>
        <w:rPr>
          <w:rFonts w:eastAsia="Arial" w:cs="Arial" w:ascii="Arial" w:hAnsi="Arial"/>
          <w:b/>
          <w:bCs/>
          <w:color w:val="1A1A2E"/>
          <w:sz w:val="36"/>
          <w:szCs w:val="36"/>
        </w:rPr>
        <w:t>1</w:t>
      </w:r>
      <w:r>
        <w:rPr>
          <w:rFonts w:eastAsia="Arial" w:cs="Arial" w:ascii="Arial" w:hAnsi="Arial"/>
          <w:b/>
          <w:bCs/>
          <w:color w:val="1A1A2E"/>
          <w:sz w:val="36"/>
          <w:szCs w:val="36"/>
        </w:rPr>
        <w:t>2</w:t>
      </w:r>
      <w:r>
        <w:rPr>
          <w:rFonts w:eastAsia="Arial" w:cs="Arial" w:ascii="Arial" w:hAnsi="Arial"/>
          <w:b/>
          <w:bCs/>
          <w:color w:val="1A1A2E"/>
          <w:sz w:val="36"/>
          <w:szCs w:val="36"/>
        </w:rPr>
        <w:t>. Disclaimer</w:t>
      </w:r>
    </w:p>
    <w:p>
      <w:pPr>
        <w:pStyle w:val="Normal"/>
        <w:spacing w:before="80" w:after="120"/>
        <w:rPr>
          <w:color w:val="auto"/>
        </w:rPr>
      </w:pPr>
      <w:r>
        <w:rPr>
          <w:rFonts w:eastAsia="Arial" w:cs="Arial"/>
          <w:b w:val="false"/>
          <w:bCs w:val="false"/>
          <w:i w:val="false"/>
          <w:iCs w:val="false"/>
          <w:color w:val="auto"/>
          <w:sz w:val="22"/>
          <w:szCs w:val="22"/>
        </w:rPr>
        <w:t>This whitepaper is for informational purposes only and does not constitute financial advice. DeFi protocols carry inherent risks including smart contract vulnerabilities, market volatility, impermanent loss, and liquidity risks. The estimated 12% APY and break-even projections are illustrative only and are not guaranteed. The ~4% APY referenced for Lido staking is an approximation based on current market conditions and may vary. Always conduct your own research (DYOR) before participating in any DeFi protocol. Past performance is not indicative of future results. This document is a draft and subject to change based on community feedback and technical development.</w:t>
      </w:r>
    </w:p>
    <w:p>
      <w:pPr>
        <w:pStyle w:val="Normal"/>
        <w:spacing w:before="0" w:after="120"/>
        <w:rPr/>
      </w:pPr>
      <w:r>
        <w:rPr/>
      </w:r>
    </w:p>
    <w:p>
      <w:pPr>
        <w:pStyle w:val="Normal"/>
        <w:pBdr>
          <w:bottom w:val="single" w:sz="4" w:space="1" w:color="C0392B"/>
        </w:pBdr>
        <w:spacing w:before="200" w:after="200"/>
        <w:rPr/>
      </w:pPr>
      <w:r>
        <w:rPr/>
      </w:r>
    </w:p>
    <w:p>
      <w:pPr>
        <w:pStyle w:val="Normal"/>
        <w:spacing w:before="200" w:after="80"/>
        <w:jc w:val="center"/>
        <w:rPr/>
      </w:pPr>
      <w:r>
        <w:rPr>
          <w:rFonts w:eastAsia="Arial" w:cs="Arial"/>
          <w:b/>
          <w:bCs/>
          <w:color w:val="C0392B"/>
          <w:sz w:val="24"/>
          <w:szCs w:val="24"/>
        </w:rPr>
        <w:t xml:space="preserve">🔥 </w:t>
      </w:r>
      <w:r>
        <w:rPr>
          <w:rFonts w:eastAsia="Arial" w:cs="Arial"/>
          <w:b/>
          <w:bCs/>
          <w:color w:val="C0392B"/>
          <w:sz w:val="24"/>
          <w:szCs w:val="24"/>
        </w:rPr>
        <w:t>HellBurn's Vault — Burn to Earn. Forever.</w:t>
      </w:r>
    </w:p>
    <w:p>
      <w:pPr>
        <w:pStyle w:val="Normal"/>
        <w:spacing w:before="0" w:after="80"/>
        <w:jc w:val="center"/>
        <w:rPr>
          <w:color w:val="auto"/>
        </w:rPr>
      </w:pPr>
      <w:r>
        <w:rPr>
          <w:rFonts w:eastAsia="Arial" w:cs="Arial"/>
          <w:color w:val="auto"/>
          <w:sz w:val="18"/>
          <w:szCs w:val="18"/>
        </w:rPr>
        <w:t>hellburn.win  |  t.me/hellburn_titanx_crypto  |  @HellburnTitanX</w:t>
      </w:r>
    </w:p>
    <w:sectPr>
      <w:footerReference w:type="even" r:id="rId3"/>
      <w:footerReference w:type="default" r:id="rId4"/>
      <w:footerReference w:type="first" r:id="rId5"/>
      <w:type w:val="nextPage"/>
      <w:pgSz w:w="11906" w:h="16838"/>
      <w:pgMar w:left="144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Arial">
    <w:charset w:val="00" w:characterSet="windows-1252"/>
    <w:family w:val="roman"/>
    <w:pitch w:val="variable"/>
  </w:font>
  <w:font w:name="Liberation Sans">
    <w:altName w:val="Arial"/>
    <w:charset w:val="00" w:characterSet="windows-1252"/>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7F8C8D"/>
        <w:sz w:val="16"/>
        <w:szCs w:val="16"/>
      </w:rPr>
      <w:t xml:space="preserve">HellBurn's Vault — Whitepaper v1.0    |    hellburn.win    |    </w:t>
    </w:r>
    <w:r>
      <w:rPr>
        <w:rFonts w:eastAsia="Arial" w:cs="Arial"/>
        <w:color w:val="7F8C8D"/>
        <w:sz w:val="18"/>
        <w:szCs w:val="18"/>
      </w:rPr>
      <w:fldChar w:fldCharType="begin"/>
    </w:r>
    <w:r>
      <w:rPr>
        <w:rFonts w:eastAsia="Arial" w:cs="Arial"/>
        <w:color w:val="7F8C8D"/>
        <w:sz w:val="18"/>
        <w:szCs w:val="18"/>
      </w:rPr>
      <w:instrText xml:space="preserve"> PAGE </w:instrText>
    </w:r>
    <w:r>
      <w:rPr>
        <w:rFonts w:eastAsia="Arial" w:cs="Arial"/>
        <w:color w:val="7F8C8D"/>
        <w:sz w:val="18"/>
        <w:szCs w:val="18"/>
      </w:rPr>
      <w:fldChar w:fldCharType="separate"/>
    </w:r>
    <w:r>
      <w:rPr>
        <w:rFonts w:eastAsia="Arial" w:cs="Arial"/>
        <w:color w:val="7F8C8D"/>
        <w:sz w:val="18"/>
        <w:szCs w:val="18"/>
      </w:rPr>
      <w:t>6</w:t>
    </w:r>
    <w:r>
      <w:rPr>
        <w:rFonts w:eastAsia="Arial" w:cs="Arial"/>
        <w:color w:val="7F8C8D"/>
        <w:sz w:val="18"/>
        <w:szCs w:val="1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Fonts w:eastAsia="Arial" w:cs="Arial"/>
        <w:color w:val="7F8C8D"/>
        <w:sz w:val="16"/>
        <w:szCs w:val="16"/>
      </w:rPr>
      <w:t xml:space="preserve">HellBurn's Vault — Whitepaper v1.0    |    hellburn.win    |    </w:t>
    </w:r>
    <w:r>
      <w:rPr>
        <w:rFonts w:eastAsia="Arial" w:cs="Arial"/>
        <w:color w:val="7F8C8D"/>
        <w:sz w:val="18"/>
        <w:szCs w:val="18"/>
      </w:rPr>
      <w:fldChar w:fldCharType="begin"/>
    </w:r>
    <w:r>
      <w:rPr>
        <w:rFonts w:eastAsia="Arial" w:cs="Arial"/>
        <w:color w:val="7F8C8D"/>
        <w:sz w:val="18"/>
        <w:szCs w:val="18"/>
      </w:rPr>
      <w:instrText xml:space="preserve"> PAGE </w:instrText>
    </w:r>
    <w:r>
      <w:rPr>
        <w:rFonts w:eastAsia="Arial" w:cs="Arial"/>
        <w:color w:val="7F8C8D"/>
        <w:sz w:val="18"/>
        <w:szCs w:val="18"/>
      </w:rPr>
      <w:fldChar w:fldCharType="separate"/>
    </w:r>
    <w:r>
      <w:rPr>
        <w:rFonts w:eastAsia="Arial" w:cs="Arial"/>
        <w:color w:val="7F8C8D"/>
        <w:sz w:val="18"/>
        <w:szCs w:val="18"/>
      </w:rPr>
      <w:t>6</w:t>
    </w:r>
    <w:r>
      <w:rPr>
        <w:rFonts w:eastAsia="Arial" w:cs="Arial"/>
        <w:color w:val="7F8C8D"/>
        <w:sz w:val="18"/>
        <w:szCs w:val="18"/>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40"/>
  <w:displayBackgroundShape/>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de-AT" w:eastAsia="zh-CN" w:bidi="hi-IN"/>
      </w:rPr>
    </w:rPrDefault>
    <w:pPrDefault>
      <w:pPr>
        <w:suppressAutoHyphens w:val="true"/>
      </w:pPr>
    </w:pPrDefault>
  </w:docDefaults>
  <w:style w:type="paragraph" w:styleId="Normal">
    <w:name w:val="Normal"/>
    <w:qFormat/>
    <w:pPr>
      <w:widowControl/>
      <w:bidi w:val="0"/>
      <w:spacing w:before="0" w:after="0"/>
      <w:jc w:val="start"/>
    </w:pPr>
    <w:rPr>
      <w:rFonts w:ascii="Arial" w:hAnsi="Arial" w:eastAsia="Arial" w:cs="Arial"/>
      <w:color w:val="auto"/>
      <w:kern w:val="0"/>
      <w:sz w:val="22"/>
      <w:szCs w:val="22"/>
      <w:lang w:val="de-AT" w:eastAsia="zh-CN" w:bidi="hi-IN"/>
    </w:rPr>
  </w:style>
  <w:style w:type="paragraph" w:styleId="Heading1">
    <w:name w:val="heading 1"/>
    <w:basedOn w:val="berschrift"/>
    <w:qFormat/>
    <w:pPr>
      <w:spacing w:before="400" w:after="160"/>
      <w:outlineLvl w:val="0"/>
    </w:pPr>
    <w:rPr>
      <w:rFonts w:ascii="Arial" w:hAnsi="Arial" w:eastAsia="Arial" w:cs="Arial"/>
      <w:b/>
      <w:bCs/>
      <w:color w:val="1A1A2E"/>
      <w:sz w:val="36"/>
      <w:szCs w:val="36"/>
    </w:rPr>
  </w:style>
  <w:style w:type="paragraph" w:styleId="Heading2">
    <w:name w:val="heading 2"/>
    <w:basedOn w:val="berschrift"/>
    <w:qFormat/>
    <w:pPr>
      <w:spacing w:before="320" w:after="120"/>
      <w:outlineLvl w:val="1"/>
    </w:pPr>
    <w:rPr>
      <w:rFonts w:ascii="Arial" w:hAnsi="Arial" w:eastAsia="Arial" w:cs="Arial"/>
      <w:b/>
      <w:bCs/>
      <w:color w:val="C0392B"/>
      <w:sz w:val="28"/>
      <w:szCs w:val="28"/>
    </w:rPr>
  </w:style>
  <w:style w:type="paragraph" w:styleId="Heading3">
    <w:name w:val="heading 3"/>
    <w:basedOn w:val="berschrift"/>
    <w:qFormat/>
    <w:pPr/>
    <w:rPr>
      <w:color w:val="1F4D78"/>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paragraph" w:styleId="berschrift">
    <w:name w:val="Überschrift"/>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Verzeichnis">
    <w:name w:val="Verzeichnis"/>
    <w:basedOn w:val="Normal"/>
    <w:qFormat/>
    <w:pPr>
      <w:suppressLineNumbers/>
    </w:pPr>
    <w:rPr>
      <w:rFonts w:cs="Arial"/>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Arial" w:hAnsi="Arial" w:eastAsia="Arial" w:cs="Arial"/>
      <w:b/>
      <w:bCs/>
      <w:color w:val="auto"/>
      <w:kern w:val="0"/>
      <w:sz w:val="22"/>
      <w:szCs w:val="22"/>
      <w:lang w:val="de-AT" w:eastAsia="zh-CN" w:bidi="hi-IN"/>
    </w:rPr>
  </w:style>
  <w:style w:type="paragraph" w:styleId="ListParagraph">
    <w:name w:val="List Paragraph"/>
    <w:qFormat/>
    <w:pPr>
      <w:widowControl/>
      <w:bidi w:val="0"/>
      <w:spacing w:before="0" w:after="0"/>
      <w:jc w:val="start"/>
    </w:pPr>
    <w:rPr>
      <w:rFonts w:ascii="Arial" w:hAnsi="Arial" w:eastAsia="Arial" w:cs="Arial"/>
      <w:color w:val="auto"/>
      <w:kern w:val="0"/>
      <w:sz w:val="22"/>
      <w:szCs w:val="22"/>
      <w:lang w:val="de-AT"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Kopf-Fuzeile">
    <w:name w:val="Kopf-/Fußzeile"/>
    <w:basedOn w:val="Normal"/>
    <w:qFormat/>
    <w:pPr/>
    <w:rPr/>
  </w:style>
  <w:style w:type="paragraph" w:styleId="Footer">
    <w:name w:val="footer"/>
    <w:basedOn w:val="Kopf-Fuzeile"/>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TotalTime>
  <Application>LibreOffice/26.2.0.3$Windows_X86_64 LibreOffice_project/620$Build-3</Application>
  <AppVersion>15.0000</AppVersion>
  <Pages>6</Pages>
  <Words>1458</Words>
  <Characters>7867</Characters>
  <CharactersWithSpaces>9145</CharactersWithSpaces>
  <Paragraphs>212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2026-03-25T09:23:37Z</dcterms:created>
  <dc:creator>Un-named</dc:creator>
  <dc:description/>
  <dc:language>de-AT</dc:language>
  <cp:lastModifiedBy/>
  <dcterms:modified xsi:type="dcterms:W3CDTF">2026-03-25T10:46:10Z</dcterms:modified>
  <cp:revision>4</cp:revision>
  <dc:subject/>
  <dc:title/>
</cp:coreProperties>
</file>