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D987E">
      <w:pPr>
        <w:jc w:val="left"/>
      </w:pPr>
    </w:p>
    <w:p w14:paraId="304FE082">
      <w:pPr>
        <w:jc w:val="left"/>
      </w:pPr>
    </w:p>
    <w:p w14:paraId="0364A0B0">
      <w:pPr>
        <w:jc w:val="center"/>
      </w:pPr>
    </w:p>
    <w:p w14:paraId="46754206">
      <w:pPr>
        <w:jc w:val="center"/>
        <w:rPr>
          <w:rStyle w:val="17"/>
          <w:sz w:val="36"/>
          <w:szCs w:val="36"/>
        </w:rPr>
      </w:pPr>
      <w:r>
        <w:rPr>
          <w:rStyle w:val="17"/>
          <w:rFonts w:hint="eastAsia"/>
          <w:sz w:val="36"/>
          <w:szCs w:val="36"/>
        </w:rPr>
        <w:drawing>
          <wp:inline distT="0" distB="0" distL="114300" distR="114300">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6"/>
                    <a:stretch>
                      <a:fillRect/>
                    </a:stretch>
                  </pic:blipFill>
                  <pic:spPr>
                    <a:xfrm>
                      <a:off x="0" y="0"/>
                      <a:ext cx="1682115" cy="1682115"/>
                    </a:xfrm>
                    <a:prstGeom prst="rect">
                      <a:avLst/>
                    </a:prstGeom>
                  </pic:spPr>
                </pic:pic>
              </a:graphicData>
            </a:graphic>
          </wp:inline>
        </w:drawing>
      </w:r>
    </w:p>
    <w:p w14:paraId="1B72C1F7">
      <w:pPr>
        <w:jc w:val="center"/>
        <w:rPr>
          <w:rStyle w:val="18"/>
          <w:spacing w:val="0"/>
        </w:rPr>
      </w:pPr>
    </w:p>
    <w:p w14:paraId="1C87D5C8">
      <w:pPr>
        <w:jc w:val="center"/>
        <w:rPr>
          <w:rStyle w:val="18"/>
        </w:rPr>
      </w:pPr>
    </w:p>
    <w:p w14:paraId="3123F681">
      <w:pPr>
        <w:jc w:val="center"/>
        <w:rPr>
          <w:rStyle w:val="19"/>
          <w:rFonts w:hint="eastAsia" w:ascii="方正小标宋简体" w:hAnsi="方正小标宋简体" w:eastAsia="方正小标宋简体" w:cs="方正小标宋简体"/>
          <w:bCs/>
          <w:sz w:val="44"/>
          <w:szCs w:val="44"/>
          <w:lang w:val="en-US" w:eastAsia="zh-CN"/>
        </w:rPr>
      </w:pPr>
      <w:r>
        <w:rPr>
          <w:rStyle w:val="19"/>
          <w:rFonts w:hint="eastAsia" w:ascii="方正小标宋简体" w:hAnsi="方正小标宋简体" w:eastAsia="方正小标宋简体" w:cs="方正小标宋简体"/>
          <w:bCs/>
          <w:sz w:val="44"/>
          <w:szCs w:val="44"/>
          <w:lang w:val="en-US" w:eastAsia="zh-CN"/>
        </w:rPr>
        <w:t>价衡卫士——大数据价格歧视智能监测与公益诉讼维权服务平台</w:t>
      </w:r>
    </w:p>
    <w:p w14:paraId="57C85EF4">
      <w:pPr>
        <w:jc w:val="center"/>
        <w:rPr>
          <w:rStyle w:val="19"/>
          <w:rFonts w:hint="eastAsia" w:ascii="方正小标宋简体" w:hAnsi="方正小标宋简体" w:eastAsia="方正小标宋简体" w:cs="方正小标宋简体"/>
          <w:bCs/>
          <w:sz w:val="44"/>
          <w:szCs w:val="44"/>
          <w:lang w:val="en-US" w:eastAsia="zh-CN"/>
        </w:rPr>
      </w:pPr>
      <w:r>
        <w:rPr>
          <w:rStyle w:val="19"/>
          <w:rFonts w:hint="eastAsia" w:ascii="方正小标宋简体" w:hAnsi="方正小标宋简体" w:eastAsia="方正小标宋简体" w:cs="方正小标宋简体"/>
          <w:bCs/>
          <w:sz w:val="44"/>
          <w:szCs w:val="44"/>
          <w:lang w:val="en-US" w:eastAsia="zh-CN"/>
        </w:rPr>
        <w:t>商业计划书</w:t>
      </w:r>
    </w:p>
    <w:p w14:paraId="6ABBE553">
      <w:pPr>
        <w:jc w:val="center"/>
        <w:rPr>
          <w:rStyle w:val="19"/>
          <w:rFonts w:hint="default" w:ascii="方正小标宋简体" w:hAnsi="方正小标宋简体" w:eastAsia="方正小标宋简体" w:cs="方正小标宋简体"/>
          <w:bCs/>
          <w:sz w:val="44"/>
          <w:szCs w:val="44"/>
          <w:lang w:val="en-US" w:eastAsia="zh-CN"/>
        </w:rPr>
      </w:pPr>
    </w:p>
    <w:p w14:paraId="35EB8BCB">
      <w:pPr>
        <w:keepNext w:val="0"/>
        <w:keepLines w:val="0"/>
        <w:pageBreakBefore w:val="0"/>
        <w:widowControl w:val="0"/>
        <w:kinsoku/>
        <w:wordWrap/>
        <w:overflowPunct/>
        <w:topLinePunct w:val="0"/>
        <w:autoSpaceDE/>
        <w:autoSpaceDN/>
        <w:bidi w:val="0"/>
        <w:adjustRightInd/>
        <w:snapToGrid/>
        <w:spacing w:line="360" w:lineRule="auto"/>
        <w:ind w:firstLine="960" w:firstLineChars="300"/>
        <w:textAlignment w:val="auto"/>
        <w:rPr>
          <w:rStyle w:val="21"/>
          <w:rFonts w:hint="eastAsia" w:ascii="仿宋_GB2312" w:hAnsi="仿宋_GB2312" w:eastAsia="仿宋_GB2312" w:cs="仿宋_GB2312"/>
          <w:sz w:val="32"/>
          <w:u w:val="single"/>
        </w:rPr>
      </w:pPr>
      <w:r>
        <w:rPr>
          <w:rStyle w:val="21"/>
          <w:rFonts w:hint="eastAsia" w:ascii="仿宋_GB2312" w:hAnsi="仿宋_GB2312" w:eastAsia="仿宋_GB2312" w:cs="仿宋_GB2312"/>
          <w:sz w:val="32"/>
        </w:rPr>
        <w:t>项目</w:t>
      </w:r>
      <w:r>
        <w:rPr>
          <w:rStyle w:val="21"/>
          <w:rFonts w:hint="eastAsia" w:ascii="仿宋_GB2312" w:hAnsi="仿宋_GB2312" w:eastAsia="仿宋_GB2312" w:cs="仿宋_GB2312"/>
          <w:sz w:val="32"/>
          <w:lang w:val="en-US" w:eastAsia="zh-CN"/>
        </w:rPr>
        <w:t>名称</w:t>
      </w:r>
      <w:r>
        <w:rPr>
          <w:rStyle w:val="21"/>
          <w:rFonts w:hint="eastAsia" w:ascii="仿宋_GB2312" w:hAnsi="仿宋_GB2312" w:eastAsia="仿宋_GB2312" w:cs="仿宋_GB2312"/>
          <w:sz w:val="32"/>
        </w:rPr>
        <w:t>：</w:t>
      </w:r>
      <w:r>
        <w:rPr>
          <w:rStyle w:val="21"/>
          <w:rFonts w:hint="eastAsia" w:ascii="仿宋_GB2312" w:hAnsi="仿宋_GB2312" w:eastAsia="仿宋_GB2312" w:cs="仿宋_GB2312"/>
          <w:sz w:val="32"/>
          <w:u w:val="single"/>
        </w:rPr>
        <w:t xml:space="preserve"> </w:t>
      </w:r>
      <w:r>
        <w:rPr>
          <w:rStyle w:val="21"/>
          <w:rFonts w:hint="eastAsia" w:ascii="仿宋_GB2312" w:hAnsi="仿宋_GB2312" w:eastAsia="仿宋_GB2312" w:cs="仿宋_GB2312"/>
          <w:sz w:val="32"/>
          <w:u w:val="single"/>
          <w:lang w:eastAsia="zh-CN"/>
        </w:rPr>
        <w:t>项目名称：价衡卫士——大数据价格歧视智能监测与公益诉讼维权服务平台</w:t>
      </w:r>
      <w:r>
        <w:rPr>
          <w:rStyle w:val="21"/>
          <w:rFonts w:hint="eastAsia" w:ascii="仿宋_GB2312" w:hAnsi="仿宋_GB2312" w:eastAsia="仿宋_GB2312" w:cs="仿宋_GB2312"/>
          <w:sz w:val="32"/>
          <w:u w:val="single"/>
        </w:rPr>
        <w:t xml:space="preserve">    </w:t>
      </w:r>
    </w:p>
    <w:p w14:paraId="3230A2E2">
      <w:pPr>
        <w:keepNext w:val="0"/>
        <w:keepLines w:val="0"/>
        <w:pageBreakBefore w:val="0"/>
        <w:widowControl w:val="0"/>
        <w:kinsoku/>
        <w:wordWrap/>
        <w:overflowPunct/>
        <w:topLinePunct w:val="0"/>
        <w:autoSpaceDE/>
        <w:autoSpaceDN/>
        <w:bidi w:val="0"/>
        <w:adjustRightInd/>
        <w:snapToGrid/>
        <w:spacing w:line="360" w:lineRule="auto"/>
        <w:ind w:firstLine="960" w:firstLineChars="200"/>
        <w:textAlignment w:val="auto"/>
        <w:rPr>
          <w:rStyle w:val="21"/>
          <w:rFonts w:hint="default" w:ascii="仿宋_GB2312" w:hAnsi="仿宋_GB2312" w:eastAsia="仿宋_GB2312" w:cs="仿宋_GB2312"/>
          <w:sz w:val="32"/>
          <w:u w:val="single"/>
          <w:lang w:val="en-US" w:eastAsia="zh-CN"/>
        </w:rPr>
      </w:pPr>
      <w:r>
        <w:rPr>
          <w:rStyle w:val="21"/>
          <w:rFonts w:hint="eastAsia" w:ascii="仿宋_GB2312" w:hAnsi="仿宋_GB2312" w:eastAsia="仿宋_GB2312" w:cs="仿宋_GB2312"/>
          <w:spacing w:val="80"/>
          <w:kern w:val="0"/>
          <w:sz w:val="32"/>
          <w:fitText w:val="1280" w:id="1390282117"/>
        </w:rPr>
        <w:t>负责</w:t>
      </w:r>
      <w:r>
        <w:rPr>
          <w:rStyle w:val="21"/>
          <w:rFonts w:hint="eastAsia" w:ascii="仿宋_GB2312" w:hAnsi="仿宋_GB2312" w:eastAsia="仿宋_GB2312" w:cs="仿宋_GB2312"/>
          <w:spacing w:val="0"/>
          <w:kern w:val="0"/>
          <w:sz w:val="32"/>
          <w:fitText w:val="1280" w:id="1390282117"/>
          <w:lang w:val="en-US" w:eastAsia="zh-CN"/>
        </w:rPr>
        <w:t>人</w:t>
      </w:r>
      <w:r>
        <w:rPr>
          <w:rStyle w:val="21"/>
          <w:rFonts w:hint="eastAsia" w:ascii="仿宋_GB2312" w:hAnsi="仿宋_GB2312" w:eastAsia="仿宋_GB2312" w:cs="仿宋_GB2312"/>
          <w:sz w:val="32"/>
        </w:rPr>
        <w:t>：</w:t>
      </w:r>
      <w:r>
        <w:rPr>
          <w:rStyle w:val="21"/>
          <w:rFonts w:hint="eastAsia" w:ascii="仿宋_GB2312" w:hAnsi="仿宋_GB2312" w:eastAsia="仿宋_GB2312" w:cs="仿宋_GB2312"/>
          <w:sz w:val="32"/>
          <w:u w:val="single"/>
        </w:rPr>
        <w:t xml:space="preserve"> 朱玺如            </w:t>
      </w:r>
    </w:p>
    <w:p w14:paraId="0EE57373">
      <w:pPr>
        <w:keepNext w:val="0"/>
        <w:keepLines w:val="0"/>
        <w:pageBreakBefore w:val="0"/>
        <w:widowControl w:val="0"/>
        <w:kinsoku/>
        <w:wordWrap/>
        <w:overflowPunct/>
        <w:topLinePunct w:val="0"/>
        <w:autoSpaceDE/>
        <w:autoSpaceDN/>
        <w:bidi w:val="0"/>
        <w:adjustRightInd/>
        <w:snapToGrid/>
        <w:spacing w:line="360" w:lineRule="auto"/>
        <w:ind w:firstLine="960" w:firstLineChars="300"/>
        <w:textAlignment w:val="auto"/>
        <w:rPr>
          <w:rStyle w:val="21"/>
          <w:rFonts w:hint="eastAsia" w:ascii="仿宋_GB2312" w:hAnsi="仿宋_GB2312" w:eastAsia="仿宋_GB2312" w:cs="仿宋_GB2312"/>
          <w:sz w:val="32"/>
          <w:u w:val="single"/>
        </w:rPr>
      </w:pPr>
      <w:r>
        <w:rPr>
          <w:rStyle w:val="21"/>
          <w:rFonts w:hint="eastAsia" w:ascii="仿宋_GB2312" w:hAnsi="仿宋_GB2312" w:eastAsia="仿宋_GB2312" w:cs="仿宋_GB2312"/>
          <w:sz w:val="32"/>
          <w:lang w:val="en-US" w:eastAsia="zh-CN"/>
        </w:rPr>
        <w:t>团队</w:t>
      </w:r>
      <w:r>
        <w:rPr>
          <w:rStyle w:val="21"/>
          <w:rFonts w:hint="eastAsia" w:ascii="仿宋_GB2312" w:hAnsi="仿宋_GB2312" w:eastAsia="仿宋_GB2312" w:cs="仿宋_GB2312"/>
          <w:sz w:val="32"/>
        </w:rPr>
        <w:t>成员：</w:t>
      </w:r>
      <w:r>
        <w:rPr>
          <w:rStyle w:val="21"/>
          <w:rFonts w:hint="eastAsia" w:ascii="仿宋_GB2312" w:hAnsi="仿宋_GB2312" w:eastAsia="仿宋_GB2312" w:cs="仿宋_GB2312"/>
          <w:sz w:val="32"/>
          <w:u w:val="single"/>
        </w:rPr>
        <w:t xml:space="preserve"> </w:t>
      </w:r>
      <w:r>
        <w:rPr>
          <w:rStyle w:val="21"/>
          <w:rFonts w:hint="eastAsia" w:ascii="仿宋_GB2312" w:hAnsi="仿宋_GB2312" w:eastAsia="仿宋_GB2312" w:cs="仿宋_GB2312"/>
          <w:sz w:val="32"/>
          <w:u w:val="single"/>
          <w:lang w:eastAsia="zh-CN"/>
        </w:rPr>
        <w:t>郭家锴、刘嘉瑜、张鑫熳</w:t>
      </w:r>
      <w:r>
        <w:rPr>
          <w:rStyle w:val="21"/>
          <w:rFonts w:hint="eastAsia" w:ascii="仿宋_GB2312" w:hAnsi="仿宋_GB2312" w:eastAsia="仿宋_GB2312" w:cs="仿宋_GB2312"/>
          <w:sz w:val="32"/>
          <w:u w:val="single"/>
        </w:rPr>
        <w:t xml:space="preserve">  </w:t>
      </w:r>
    </w:p>
    <w:p w14:paraId="138AB0DC">
      <w:pPr>
        <w:keepNext w:val="0"/>
        <w:keepLines w:val="0"/>
        <w:pageBreakBefore w:val="0"/>
        <w:widowControl w:val="0"/>
        <w:kinsoku/>
        <w:wordWrap/>
        <w:overflowPunct/>
        <w:topLinePunct w:val="0"/>
        <w:autoSpaceDE/>
        <w:autoSpaceDN/>
        <w:bidi w:val="0"/>
        <w:adjustRightInd/>
        <w:snapToGrid/>
        <w:spacing w:line="360" w:lineRule="auto"/>
        <w:ind w:firstLine="960" w:firstLineChars="300"/>
        <w:textAlignment w:val="auto"/>
        <w:rPr>
          <w:rStyle w:val="21"/>
          <w:rFonts w:hint="eastAsia" w:ascii="仿宋_GB2312" w:hAnsi="仿宋_GB2312" w:eastAsia="仿宋_GB2312" w:cs="仿宋_GB2312"/>
          <w:sz w:val="32"/>
          <w:u w:val="single"/>
        </w:rPr>
      </w:pPr>
      <w:r>
        <w:rPr>
          <w:rStyle w:val="21"/>
          <w:rFonts w:hint="eastAsia" w:ascii="仿宋_GB2312" w:hAnsi="仿宋_GB2312" w:eastAsia="仿宋_GB2312" w:cs="仿宋_GB2312"/>
          <w:sz w:val="32"/>
          <w:lang w:val="en-US" w:eastAsia="zh-CN"/>
        </w:rPr>
        <w:t>联系电话</w:t>
      </w:r>
      <w:r>
        <w:rPr>
          <w:rStyle w:val="21"/>
          <w:rFonts w:hint="eastAsia" w:ascii="仿宋_GB2312" w:hAnsi="仿宋_GB2312" w:eastAsia="仿宋_GB2312" w:cs="仿宋_GB2312"/>
          <w:sz w:val="32"/>
        </w:rPr>
        <w:t>：</w:t>
      </w:r>
      <w:r>
        <w:rPr>
          <w:rStyle w:val="21"/>
          <w:rFonts w:hint="eastAsia" w:ascii="仿宋_GB2312" w:hAnsi="仿宋_GB2312" w:eastAsia="仿宋_GB2312" w:cs="仿宋_GB2312"/>
          <w:sz w:val="32"/>
          <w:u w:val="single"/>
        </w:rPr>
        <w:t xml:space="preserve"> </w:t>
      </w:r>
      <w:r>
        <w:rPr>
          <w:rStyle w:val="21"/>
          <w:rFonts w:hint="eastAsia" w:ascii="仿宋_GB2312" w:hAnsi="仿宋_GB2312" w:eastAsia="仿宋_GB2312" w:cs="仿宋_GB2312"/>
          <w:sz w:val="32"/>
          <w:u w:val="single"/>
          <w:lang w:eastAsia="zh-CN"/>
        </w:rPr>
        <w:t>法学院、计算机科学与技术学院</w:t>
      </w:r>
      <w:r>
        <w:rPr>
          <w:rStyle w:val="21"/>
          <w:rFonts w:hint="eastAsia" w:ascii="仿宋_GB2312" w:hAnsi="仿宋_GB2312" w:eastAsia="仿宋_GB2312" w:cs="仿宋_GB2312"/>
          <w:sz w:val="32"/>
          <w:u w:val="single"/>
        </w:rPr>
        <w:t xml:space="preserve">  </w:t>
      </w:r>
    </w:p>
    <w:p w14:paraId="24BFF607">
      <w:pPr>
        <w:keepNext w:val="0"/>
        <w:keepLines w:val="0"/>
        <w:pageBreakBefore w:val="0"/>
        <w:widowControl w:val="0"/>
        <w:kinsoku/>
        <w:wordWrap/>
        <w:overflowPunct/>
        <w:topLinePunct w:val="0"/>
        <w:autoSpaceDE/>
        <w:autoSpaceDN/>
        <w:bidi w:val="0"/>
        <w:adjustRightInd/>
        <w:snapToGrid/>
        <w:spacing w:line="360" w:lineRule="auto"/>
        <w:ind w:firstLine="960" w:firstLineChars="100"/>
        <w:textAlignment w:val="auto"/>
        <w:rPr>
          <w:rStyle w:val="21"/>
          <w:rFonts w:hint="eastAsia" w:ascii="仿宋_GB2312" w:hAnsi="仿宋_GB2312" w:eastAsia="仿宋_GB2312" w:cs="仿宋_GB2312"/>
          <w:sz w:val="32"/>
          <w:u w:val="single"/>
        </w:rPr>
      </w:pPr>
      <w:r>
        <w:rPr>
          <w:rStyle w:val="21"/>
          <w:rFonts w:hint="eastAsia" w:ascii="仿宋_GB2312" w:hAnsi="仿宋_GB2312" w:eastAsia="仿宋_GB2312" w:cs="仿宋_GB2312"/>
          <w:spacing w:val="320"/>
          <w:kern w:val="0"/>
          <w:sz w:val="32"/>
          <w:fitText w:val="1280" w:id="954363489"/>
          <w:lang w:val="en-US" w:eastAsia="zh-CN"/>
        </w:rPr>
        <w:t>学</w:t>
      </w:r>
      <w:r>
        <w:rPr>
          <w:rStyle w:val="21"/>
          <w:rFonts w:hint="eastAsia" w:ascii="仿宋_GB2312" w:hAnsi="仿宋_GB2312" w:eastAsia="仿宋_GB2312" w:cs="仿宋_GB2312"/>
          <w:spacing w:val="0"/>
          <w:kern w:val="0"/>
          <w:sz w:val="32"/>
          <w:fitText w:val="1280" w:id="954363489"/>
          <w:lang w:val="en-US" w:eastAsia="zh-CN"/>
        </w:rPr>
        <w:t>院</w:t>
      </w:r>
      <w:r>
        <w:rPr>
          <w:rStyle w:val="21"/>
          <w:rFonts w:hint="eastAsia" w:ascii="仿宋_GB2312" w:hAnsi="仿宋_GB2312" w:eastAsia="仿宋_GB2312" w:cs="仿宋_GB2312"/>
          <w:sz w:val="32"/>
        </w:rPr>
        <w:t>：</w:t>
      </w:r>
      <w:r>
        <w:rPr>
          <w:rStyle w:val="21"/>
          <w:rFonts w:hint="eastAsia" w:ascii="仿宋_GB2312" w:hAnsi="仿宋_GB2312" w:eastAsia="仿宋_GB2312" w:cs="仿宋_GB2312"/>
          <w:sz w:val="32"/>
          <w:u w:val="single"/>
        </w:rPr>
        <w:t xml:space="preserve"> </w:t>
      </w:r>
      <w:r>
        <w:rPr>
          <w:rStyle w:val="21"/>
          <w:rFonts w:hint="eastAsia" w:ascii="仿宋_GB2312" w:hAnsi="仿宋_GB2312" w:eastAsia="仿宋_GB2312" w:cs="仿宋_GB2312"/>
          <w:sz w:val="32"/>
          <w:u w:val="single"/>
          <w:lang w:eastAsia="zh-CN"/>
        </w:rPr>
        <w:t>18661735875</w:t>
      </w:r>
      <w:r>
        <w:rPr>
          <w:rStyle w:val="21"/>
          <w:rFonts w:hint="eastAsia" w:ascii="仿宋_GB2312" w:hAnsi="仿宋_GB2312" w:eastAsia="仿宋_GB2312" w:cs="仿宋_GB2312"/>
          <w:sz w:val="32"/>
          <w:u w:val="single"/>
        </w:rPr>
        <w:t xml:space="preserve">    </w:t>
      </w:r>
    </w:p>
    <w:p w14:paraId="13A89A9F">
      <w:pPr>
        <w:keepNext w:val="0"/>
        <w:keepLines w:val="0"/>
        <w:pageBreakBefore w:val="0"/>
        <w:widowControl w:val="0"/>
        <w:kinsoku/>
        <w:wordWrap/>
        <w:overflowPunct/>
        <w:topLinePunct w:val="0"/>
        <w:autoSpaceDE/>
        <w:autoSpaceDN/>
        <w:bidi w:val="0"/>
        <w:adjustRightInd/>
        <w:snapToGrid/>
        <w:spacing w:line="360" w:lineRule="auto"/>
        <w:ind w:firstLine="960" w:firstLineChars="300"/>
        <w:textAlignment w:val="auto"/>
        <w:rPr>
          <w:rStyle w:val="21"/>
          <w:rFonts w:hint="eastAsia" w:ascii="仿宋_GB2312" w:hAnsi="仿宋_GB2312" w:eastAsia="仿宋_GB2312" w:cs="仿宋_GB2312"/>
          <w:sz w:val="32"/>
          <w:u w:val="single"/>
        </w:rPr>
      </w:pPr>
      <w:r>
        <w:rPr>
          <w:rStyle w:val="21"/>
          <w:rFonts w:hint="eastAsia" w:ascii="仿宋_GB2312" w:hAnsi="仿宋_GB2312" w:eastAsia="仿宋_GB2312" w:cs="仿宋_GB2312"/>
          <w:sz w:val="32"/>
          <w:lang w:val="en-US" w:eastAsia="zh-CN"/>
        </w:rPr>
        <w:t>提交日期</w:t>
      </w:r>
      <w:r>
        <w:rPr>
          <w:rStyle w:val="21"/>
          <w:rFonts w:hint="eastAsia" w:ascii="仿宋_GB2312" w:hAnsi="仿宋_GB2312" w:eastAsia="仿宋_GB2312" w:cs="仿宋_GB2312"/>
          <w:sz w:val="32"/>
        </w:rPr>
        <w:t>：</w:t>
      </w:r>
      <w:r>
        <w:rPr>
          <w:rStyle w:val="21"/>
          <w:rFonts w:hint="eastAsia" w:ascii="仿宋_GB2312" w:hAnsi="仿宋_GB2312" w:eastAsia="仿宋_GB2312" w:cs="仿宋_GB2312"/>
          <w:sz w:val="32"/>
          <w:u w:val="single"/>
        </w:rPr>
        <w:t xml:space="preserve">  </w:t>
      </w:r>
      <w:r>
        <w:rPr>
          <w:rStyle w:val="21"/>
          <w:rFonts w:hint="eastAsia" w:ascii="仿宋_GB2312" w:hAnsi="仿宋_GB2312" w:eastAsia="仿宋_GB2312" w:cs="仿宋_GB2312"/>
          <w:sz w:val="32"/>
          <w:u w:val="single"/>
          <w:lang w:val="en-US" w:eastAsia="zh-CN"/>
        </w:rPr>
        <w:t>2026年9月8日</w:t>
      </w:r>
      <w:r>
        <w:rPr>
          <w:rStyle w:val="21"/>
          <w:rFonts w:hint="eastAsia" w:ascii="仿宋_GB2312" w:hAnsi="仿宋_GB2312" w:eastAsia="仿宋_GB2312" w:cs="仿宋_GB2312"/>
          <w:sz w:val="32"/>
          <w:u w:val="single"/>
        </w:rPr>
        <w:t xml:space="preserve">    </w:t>
      </w:r>
    </w:p>
    <w:p w14:paraId="51FCDAC8">
      <w:pPr>
        <w:jc w:val="both"/>
      </w:pPr>
    </w:p>
    <w:p w14:paraId="570999FE">
      <w:pPr>
        <w:jc w:val="left"/>
        <w:rPr>
          <w:rStyle w:val="23"/>
          <w:rFonts w:hint="eastAsia" w:eastAsia="宋体"/>
          <w:b/>
          <w:bCs/>
          <w:szCs w:val="28"/>
          <w:lang w:val="en-US" w:eastAsia="zh-CN"/>
        </w:rPr>
      </w:pPr>
      <w:r>
        <w:rPr>
          <w:rStyle w:val="23"/>
          <w:rFonts w:hint="eastAsia"/>
          <w:b/>
          <w:bCs/>
          <w:szCs w:val="28"/>
          <w:lang w:val="en-US" w:eastAsia="zh-CN"/>
        </w:rPr>
        <w:t>目录</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2B77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1" w:hRule="atLeast"/>
          <w:jc w:val="center"/>
        </w:trPr>
        <w:tc>
          <w:tcPr>
            <w:tcW w:w="9072" w:type="dxa"/>
          </w:tcPr>
          <w:p w14:paraId="48DA9277">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一、项目背景</w:t>
            </w:r>
          </w:p>
          <w:p w14:paraId="60D998BD">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二、项目创新</w:t>
            </w:r>
          </w:p>
          <w:p w14:paraId="648C95BF">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三、产业价值</w:t>
            </w:r>
          </w:p>
          <w:p w14:paraId="63AC2EDF">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四、团队协作</w:t>
            </w:r>
          </w:p>
          <w:p w14:paraId="5E7DCF9C">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五、个人成长</w:t>
            </w:r>
          </w:p>
          <w:p w14:paraId="425E3478">
            <w:pPr>
              <w:spacing w:line="400" w:lineRule="exact"/>
              <w:ind w:firstLine="480" w:firstLineChars="200"/>
              <w:rPr>
                <w:rFonts w:hint="eastAsia" w:eastAsia="华文中宋"/>
                <w:sz w:val="24"/>
                <w:szCs w:val="28"/>
                <w:lang w:eastAsia="zh-CN"/>
              </w:rPr>
            </w:pPr>
            <w:r>
              <w:rPr>
                <w:rFonts w:hint="eastAsia" w:eastAsia="华文中宋"/>
                <w:sz w:val="24"/>
                <w:szCs w:val="28"/>
                <w:lang w:eastAsia="zh-CN"/>
              </w:rPr>
              <w:t>六、未来发展</w:t>
            </w:r>
          </w:p>
          <w:p w14:paraId="78CE7AF0">
            <w:pPr>
              <w:spacing w:line="400" w:lineRule="exact"/>
              <w:ind w:firstLine="480" w:firstLineChars="200"/>
              <w:rPr>
                <w:rFonts w:eastAsia="华文中宋"/>
                <w:sz w:val="24"/>
                <w:szCs w:val="28"/>
              </w:rPr>
            </w:pPr>
            <w:r>
              <w:rPr>
                <w:rFonts w:hint="eastAsia" w:eastAsia="华文中宋"/>
                <w:sz w:val="24"/>
                <w:szCs w:val="28"/>
                <w:lang w:eastAsia="zh-CN"/>
              </w:rPr>
              <w:t>七、附件</w:t>
            </w:r>
          </w:p>
        </w:tc>
      </w:tr>
    </w:tbl>
    <w:p w14:paraId="47F49FA1">
      <w:pPr>
        <w:jc w:val="left"/>
        <w:rPr>
          <w:rStyle w:val="23"/>
          <w:b/>
          <w:bCs/>
          <w:szCs w:val="28"/>
        </w:rPr>
      </w:pPr>
      <w:r>
        <w:rPr>
          <w:rStyle w:val="23"/>
          <w:rFonts w:hint="eastAsia"/>
          <w:b/>
          <w:bCs/>
          <w:szCs w:val="28"/>
        </w:rPr>
        <w:t>一、项目背景</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30F2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1" w:hRule="atLeast"/>
          <w:jc w:val="center"/>
        </w:trPr>
        <w:tc>
          <w:tcPr>
            <w:tcW w:w="9072" w:type="dxa"/>
          </w:tcPr>
          <w:p w14:paraId="52404E1C">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（一）项目背景</w:t>
            </w:r>
          </w:p>
          <w:p w14:paraId="5B40739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国家“十五五”规划建议和纲要立足数字经济高质量发展大局，针对平台经济规范化、法治化、普惠化发展作出系统性战略部署，明确提出持续完善平台经济常态化监管体系、深化人工智能与算法领域专项治理、全方位保障消费者合法权益的核心工作要求。规划重点聚焦平台企业核心经营要素，对企业数据采集使用、算法研发应用、流量分发机制、平台交易规则四大核心板块建立全链条监管规范，核心导向是破除数字领域监管盲区、补齐算法治理短板，坚持在法治框架、制度轨道内有序推进数字社会、数字消费体系建设，推动数字经济从“高速发展”向“高质量规范发展”转型。</w:t>
            </w:r>
          </w:p>
          <w:p w14:paraId="29EA9CA2">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算法作为数字平台匹配供需、定价交易、分发服务的核心技术工具，其本质价值应当是依托大数据、人工智能技术优化服务效率、降低消费成本、提升大众生活便捷度，成为赋能民生服务、激活市场活力、助力消费升级的核心助力，而非平台规避监管、谋取超额利润、差异化侵害消费者权益的技术“暗箱”与垄断工具。但在平台经济高速扩张、流量竞争日趋激烈、盈利压力持续加大的行业背景下，部分互联网平台滥用算法技术与用户数据优势，违背公平交易原则，衍生出大数据杀熟、算法歧视、精准差异化定价等一系列违规乱象，且此类问题呈现出隐蔽化、常态化、规模化、复杂化的发展趋势，成为制约数字消费市场健康发展、损害消费者权益的突出顽疾。</w:t>
            </w:r>
          </w:p>
          <w:p w14:paraId="73E9D3E8">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从市场实际调研数据来看，北京市消费者协会针对全网电商、出行、文旅、外卖等主流平台算法定价行为开展专项调研，调研覆盖全年龄段、各职业消费群体，调研结果显示，超八成受访者在日常网络消费中明确感知到大数据杀熟现象的存在，证实该问题已成为普遍化的市场乱象。具体表现为同一电商商品、同一出行服务、同一酒店机票预订服务，在完全相同的交易时段、相同的服务规格、相同的消费场景下，平台依托用户画像、消费频次、会员等级、设备信息、地域定位等多维度数据，实施差异化定价：长期活跃的老用户消费价格显著高于新注册用户、付费会员的实际交易价格高于普通非会员用户、高频刚需消费群体被平台精准识别并定向加价。这种依托算法技术的差异化定价行为，直接打破了市场经济公平交易的核心准则，严重侵犯了《消费者权益保护法》赋予消费者的公平交易权、知情权与选择权，同时持续消耗社会公众对数字平台、数字经济的信任度，破坏了公平有序、透明诚信的网络消费市场秩序，不利于数字经济行业的长期可持续发展。</w:t>
            </w:r>
          </w:p>
          <w:p w14:paraId="4A23EC9E">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在法律规制层面，我国已构建起多维度、多层次的算法治理与消费者权益保护法律体系，为整治大数据杀熟、算法歧视问题提供了明确的法律依据。其中，《中华人民共和国个人信息保护法》第二十四条明确规定，个人信息处理者利用个人信息进行自动化决策时，应当保证决策的透明度和结果的公平、公正，不得对个人在交易价格等交易条件上实行不合理的差别待遇，从法律层面直接禁止了大数据杀熟的核心违规行为。同时，该法第七十条进一步明确了公益诉讼维权路径，规定人民检察院、法律规定的消费者组织和由国家网信部门确定的组织，针对侵害众多个人信息权益的违法行为，有权依法向人民法院提起公益诉讼，为规模化整治算法侵权乱象提供了司法支撑。</w:t>
            </w:r>
          </w:p>
          <w:p w14:paraId="415B0808">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除此之外，国家网信办、工信部、公安部、市场监管总局联合出台的《互联网信息服务算法推荐管理规定》，专门针对算法推荐服务的合规边界、监管要求、主体责任作出细化规定，明确要求算法服务提供者不得利用算法实施不公平交易、侵害用户合法权益的行为，要求平台保障算法公开透明、杜绝算法歧视。《中华人民共和国电子商务法》第十八条也针对电子商务平台的经营行为作出约束，明确平台经营者应当公平对待平台内经营者和消费者，不得利用技术手段实施不合理的差异化待遇。与此同时，《消费者权益保护法》《价格法》等相关法律法规，也从价格监管、权益保障、违规追责等角度形成配套规制体系，全方位压实平台合规经营责任。</w:t>
            </w:r>
          </w:p>
          <w:p w14:paraId="32B23400">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尽管当前法律体系已实现对算法歧视、大数据杀熟行为的明确规制，但在落地实践过程中，相关治理工作仍面临极大的现实困境，消费者维权、监管执法、公益诉讼均存在显著堵点，集中体现为消费者维权的感知难、取证难、举证难、诉讼难四大核心难题。一是感知难，平台算法差异化定价幅度往往较小，多为几元至几十元不等，且价格波动无固定规律、不同时段定价标准不一，普通消费者难以主动识别自身是否遭遇大数据杀熟，极易将差异化定价误认为正常市场波动、平台优惠活动差异；二是取证难，平台定价数据实时动态更新，价格差异呈现转瞬即逝的特点，无人工留存记录，消费者无法自主固定侵权证据，且平台算法属于核心商业机密，完全处于技术“黑箱”状态，外部人员无法获取算法运行逻辑、定价规则与数据依据；三是举证难，普通消费者缺乏专业的技术检测能力、数据分析能力和法律专业知识，无法证明平台定价行为存在不合理差别待遇，也无法界定平台违规事实；四是诉讼难，单一消费者遭遇的侵权金额较低，维权时间成本、经济成本远高于维权收益，且个人难以对抗平台的技术优势和法务体系，极少有人选择司法维权。</w:t>
            </w:r>
          </w:p>
          <w:p w14:paraId="10BD45F1">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从公益诉讼与监管层面来看，检察机关、消费者协会作为治理算法侵权乱象、维护公共消费权益的核心主体，在开展个人信息保护、消费者权益保护公益诉讼工作中，同样存在明显短板。目前行业内缺乏规模化、常态化、标准化的侵权证据采集渠道与证据留存体系，大量隐蔽性的大数据杀熟、算法歧视侵权行为无法被及时发现、精准固定，多数涉嫌违规的平台侵权行为因证据灭失、线索不足、无法量化验证，最终无法启动监管追责与公益诉讼程序，导致现有法律规制体系难以真正落地见效，算法侵权乱象长期得不到根治。</w:t>
            </w:r>
          </w:p>
          <w:p w14:paraId="3E8442A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（二）行业调研</w:t>
            </w:r>
          </w:p>
          <w:p w14:paraId="5814F88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团队深入消费维权与算法治理一线开展实地调研，拒绝停留在实验室与设想阶段</w:t>
            </w:r>
            <w:r>
              <w:rPr>
                <w:rFonts w:hint="eastAsia" w:ascii="楷体" w:hAnsi="楷体" w:eastAsia="楷体"/>
                <w:bCs/>
                <w:sz w:val="24"/>
                <w:szCs w:val="28"/>
                <w:lang w:eastAsia="zh-CN"/>
              </w:rPr>
              <w:t>。</w:t>
            </w:r>
            <w:r>
              <w:rPr>
                <w:rFonts w:hint="eastAsia" w:ascii="楷体" w:hAnsi="楷体" w:eastAsia="楷体"/>
                <w:bCs/>
                <w:sz w:val="24"/>
                <w:szCs w:val="28"/>
                <w:lang w:val="en-US" w:eastAsia="zh-CN"/>
              </w:rPr>
              <w:t>为彻底摸清当前算法歧视治理、消费维权、公益诉讼工作的真实现状、核心痛点与行业缺口，杜绝理论化、理想化、片面化的项目研发思路，不仅依托文献资料、网络数据、实验室推演的研究模式，保障项目研发贴合市场真实需求、贴合司法实践、贴合消费者维权实际，团队组建专项调研小组，深入消费维权一线、平台合规管理一线、法律援助服务一线、基层消费市场一线，开展全方位、沉浸式、实地化的深度调研工作，通过多场景、多主体、多维度调研，全面收集真实行业数据、案例素材与痛点问题，为项目研发提供扎实的现实依据</w:t>
            </w:r>
            <w:r>
              <w:rPr>
                <w:rFonts w:hint="eastAsia" w:ascii="楷体" w:hAnsi="楷体" w:eastAsia="楷体"/>
                <w:bCs/>
                <w:sz w:val="24"/>
                <w:szCs w:val="28"/>
              </w:rPr>
              <w:t>：</w:t>
            </w:r>
          </w:p>
          <w:p w14:paraId="6938D2D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调研地点层面，本次调研选取行业权威机构、企业合规主体、专业法律服务平台、基层消费场景四大类核心调研场地，覆盖算法治理与消费维权全链条场景，具体包括：北京市消费者协会，作为属地消费维权官方权威机构，掌握海量消费投诉数据、侵权案例与行业治理痛点；头部互联网平台合规部门，直击平台算法合规管理、风险管控、内部定价规则的核心一线，了解平台合规漏洞与行业现存问题；北京交通大学法律援助中心，聚焦公益诉讼、消费者法律援助实务，掌握司法维权过程中的实操难点；同时覆盖多所高校校园及周边社区，面向青年、居民等核心消费群体开展基层调研，兼顾不同圈层消费者的真实体验与维权现状。</w:t>
            </w:r>
          </w:p>
          <w:p w14:paraId="4AE3EC8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调研对象层面，本次调研实现全链条主体覆盖，精准匹配行业治理、司法维权、企业合规、终端消费四大核心群体，确保调研视角全面、数据真实、结论客观。具体调研对象包括：一是消协一线工作人员，长期处理大数据杀熟投诉、开展消费纠纷调解，熟悉市场侵权乱象与消费者维权痛点；二是公益诉讼专业律师，深耕个人信息保护、消费者权益保护公益诉讼领域，精通司法维权流程、证据标准与办案难点；三是主流互联网平台合规负责人，熟悉平台算法设计、定价机制、合规风控体系与行业现存合规漏洞；四是网购高频消费者，重点涵盖大学生、都市白领等网络消费主力群体，该类人群消费频次高、平台使用场景丰富，是大数据杀熟、算法歧视的主要受害群体，对算法侵权行为感知最为敏锐。</w:t>
            </w:r>
          </w:p>
          <w:p w14:paraId="5E842C9B">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调研方式层面，本次调研采用“线上+线下、定量+定性、调研+实测”的多元化综合调研模式，全方位保障调研成果的科学性、真实性、全面性。一是问卷调查法，同步开通线上问卷渠道与线下实地发放渠道，面向全网消费者、校园学生、社区居民广泛收集大众对大数据杀熟的感知情况、维权经历、诉求建议，扩大调研样本覆盖面；二是深度访谈法，一对一访谈消协工作人员、公益诉讼律师、平台合规从业者，深入挖掘行业深层痛点、制度漏洞、实操难题，获取书面资料无法体现的一线经验；三是案例分析法，系统梳理近三年全国范围内大数据杀熟、算法歧视相关的消费投诉案例、行政处罚案例、公益诉讼判例，总结当前维权与治理工作的共性问题；四是实验测试法，团队自主搭建多场景消费测试模型，通过新老账号、会员与非会员账号、不同设备、不同时段的对照测试，直观验证平台差异化定价的真实存在形式与特征。</w:t>
            </w:r>
          </w:p>
          <w:p w14:paraId="2B3B3C0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调研核心成果层面，经过系统性、全方位的实地调研、数据统计、案例梳理与深度分析，团队形成多项精准、落地的调研成果，全面印证行业现存核心问题：</w:t>
            </w:r>
          </w:p>
          <w:p w14:paraId="538C7224">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第一，本次调研累计回收有效问卷若干份，样本覆盖不同年龄、职业、地域、消费层级的网络消费群体，样本结构具备较强的普遍性与代表性。问卷统计结果显示，大部分受访者在日常网购、出行、住宿、外卖等消费场景中，曾主动怀疑或被动感知到自己遭遇平台大数据杀熟、算法差异化定价行为，足以说明该乱象的普及度极高。但在所有感知到侵权行为的受访者中，仅有不足5%的消费者尝试通过平台投诉、12315举报、司法求助等方式维权，主动维权比例极低。进一步调研分析可知，消费者放弃维权的核心原因集中在无法固定证据、不懂维权流程、维权成本过高、不确定是否属于平台违规行为四大方面。</w:t>
            </w:r>
          </w:p>
          <w:p w14:paraId="76405BC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第二，通过对十余位消协一线工作人员、公益诉讼专职律师的深度访谈，团队精准梳理出当前算法侵权公益诉讼工作的核心瓶颈。目前检察机关、消费者协会等公益诉讼主体，在开展大数据杀熟、算法歧视相关公益诉讼时，普遍面临线索发现难、证据固定难、技术鉴定难三大核心难题。线索发现层面，平台算法侵权行为隐蔽性极强，无明显违规标识，监管与维权主体无法主动、批量挖掘侵权线索，多依赖消费者零星投诉，线索来源碎片化、被动化；证据固定层面，平台定价数据实时更新、云端留存不对外公开，无标准化、司法认可的证据留存渠道，侵权证据极易灭失，无法形成完整证据链；技术鉴定层面，算法运行逻辑属于平台黑箱技术，目前缺乏标准化、低成本的第三方技术鉴定工具，无法科学验证平台定价是否存在不合理差别待遇、是否构成算法歧视，导致大量案件因技术短板无法立案追责。</w:t>
            </w:r>
          </w:p>
          <w:p w14:paraId="1C85AE1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第三，团队针对大学生核心消费群体开展专项调研，完成标准化校园消费维权专项调研报告1份。报告数据显示，大学生群体作为高频网络消费群体，日常广泛使用各类电商、出行、娱乐、外卖平台，对大数据杀熟、算法歧视的敏感度、感知度显著高于其他群体，能够清晰感知到新老用户、会员与非会员的价格差异。但与此同时，大学生群体普遍缺乏专业的技术检测手段、证据留存意识和法律维权知识，面对算法侵权行为完全没有自主取证、自主维权的能力，是算法歧视的重点受害弱势群体，且该群体的维权诉求长期处于被忽视状态。</w:t>
            </w:r>
          </w:p>
          <w:p w14:paraId="173FCEEE">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第四，综合所有问卷数据、访谈内容、案例分析、实验测试结果，本次调研形成明确核心结论：当前数字消费市场、算法治理体系、公益诉讼体系均存在显著短板，传统维权工具与治理手段已无法适配当前算法侵权治理需求，市场高度亟需一款集算法杀熟检测、司法级取证存证、全流程维权辅助功能于一体的公益性、标准化、智能化综合服务平台，填补当前行业工具空白、技术空白与服务空白。</w:t>
            </w:r>
          </w:p>
          <w:p w14:paraId="46FBB9C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（三）需求痛点</w:t>
            </w:r>
          </w:p>
          <w:p w14:paraId="3154703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结合本次全方位行业调研成果，当前大数据杀熟、算法歧视治理与消费维权领域的痛点问题清晰明确，且呈现出消费者端、公益诉讼主体端、市场供给端三方多层级、全方位的结构性痛点，各主体痛点相互关联、相互制约，共同造成当前算法侵权乱象久治不愈、维权难、治理难的行业现状，具体细分如下：</w:t>
            </w:r>
          </w:p>
          <w:p w14:paraId="5670F00A">
            <w:pPr>
              <w:spacing w:line="400" w:lineRule="exact"/>
              <w:ind w:firstLine="480" w:firstLineChars="200"/>
              <w:rPr>
                <w:rFonts w:eastAsia="华文中宋"/>
                <w:sz w:val="24"/>
                <w:szCs w:val="28"/>
              </w:rPr>
            </w:pPr>
            <w:r>
              <w:rPr>
                <w:rFonts w:hint="eastAsia" w:ascii="楷体" w:hAnsi="楷体" w:eastAsia="楷体"/>
                <w:bCs/>
                <w:sz w:val="24"/>
                <w:szCs w:val="28"/>
                <w:lang w:val="en-US" w:eastAsia="zh-CN"/>
              </w:rPr>
              <w:t>一是消费者端：全流程维权壁垒突出，四大难题彻底阻断维权路径。普通消费者在面对平台算法歧视、大数据杀熟行为时，从侵权感知、证据留存、司法举证到最终维权，全程存在系统性障碍。首先是感知难，平台差异化定价具备极强的隐蔽性，定价差额零散、波动无规律，平台通过动态算法调整规避消费者察觉，普通用户无法区分正常优惠与恶意加价，难以精准判定自身权益是否被侵害；其次是取证难，平台交易价格、定价算法、用户画像数据均由平台独家掌控，数据实时动态刷新、无公开留存渠道，价格差异转瞬即逝，消费者无法自主抓取、保存侵权对比数据，无有效取证手段；再次是举证难，即便消费者偶然发现价格差异，也缺乏专业统计分析能力与法律认知，无法证明该差异属于“不合理差别待遇”，无法界定平台违规事实，难以形成司法认可的举证材料；最后是诉讼难，单一消费者侵权金额低、维权时间与经济成本高，且缺乏专业法务支撑，无力对抗大型互联网平台的技术与法务优势，绝大多数消费者最终只能放弃维权，合法权益无法得到保障。</w:t>
            </w:r>
          </w:p>
          <w:p w14:paraId="5E9D3D3A">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二是公益诉讼主体端：证据体系存在核心短板，规模化治理难以落地。检察机关、各级消费者协会是维护群体性消费者权益、整治算法乱象的核心公益主体，承担着规范平台算法、打击大数据杀熟、维护数字消费市场秩序的重要职能，但在实务工作中面临核心能力短板。目前公益诉讼工作缺少规模化、常态化、标准化、司法合规的证据采集与留存渠道，无法批量挖掘、固定、存储平台算法侵权线索与侵权证据。大量普遍性、常态化的大数据杀熟侵权行为，因线索零散、证据无法固化、缺乏技术鉴定支撑，无法满足公益诉讼的立案标准与证据要求，大量违规行为无法被追责、无法被整治，导致平台算法侵权的违法成本极低，乱象持续泛滥，群体性消费者权益长期处于受损状态。</w:t>
            </w:r>
          </w:p>
          <w:p w14:paraId="0E9CD05D">
            <w:pPr>
              <w:spacing w:line="400" w:lineRule="exact"/>
              <w:ind w:firstLine="480" w:firstLineChars="200"/>
              <w:rPr>
                <w:rFonts w:eastAsia="华文中宋"/>
                <w:sz w:val="24"/>
                <w:szCs w:val="28"/>
              </w:rPr>
            </w:pPr>
            <w:r>
              <w:rPr>
                <w:rFonts w:hint="eastAsia" w:ascii="楷体" w:hAnsi="楷体" w:eastAsia="楷体"/>
                <w:bCs/>
                <w:sz w:val="24"/>
                <w:szCs w:val="28"/>
                <w:lang w:val="en-US" w:eastAsia="zh-CN"/>
              </w:rPr>
              <w:t>三是市场供给端：现有工具存在功能断层，行业空白长期未被填补。目前国内市面上已有的消费维权类工具、平台与小程序，功能定位普遍单一、技术维度浅显、服务场景局限，大多仅停留在基础商品比价、消费投诉信息聚合、维权渠道公示等基础层面，仅能实现简单的价格对比和投诉转接功能，无法解决算法歧视治理的核心技术与司法难题。纵观全网同类产品，目前尚未出现一款能够实现多变量控制的统计显著性检验、法律规则自动评估、司法级电子存证三大核心功能全线贯通，且精准对接检察机关、消协公益诉讼工作的专业化、公益性智能维权平台。现有工具既无法从技术层面精准识别平台算法不合理差异化定价行为，也无法从法律层面判定违规属性，更无法产出具备司法效力的标准化证据，无法支撑个人维权与公益诉讼办案，市场存在明确且长期的功能空白、技术空白与服务空白。</w:t>
            </w:r>
          </w:p>
        </w:tc>
      </w:tr>
    </w:tbl>
    <w:p w14:paraId="5635480E">
      <w:pPr>
        <w:jc w:val="left"/>
      </w:pPr>
      <w:r>
        <w:rPr>
          <w:rStyle w:val="23"/>
          <w:rFonts w:hint="eastAsia"/>
          <w:b/>
          <w:bCs/>
          <w:szCs w:val="28"/>
        </w:rPr>
        <w:t>二、项目创新</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09244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jc w:val="center"/>
        </w:trPr>
        <w:tc>
          <w:tcPr>
            <w:tcW w:w="9072" w:type="dxa"/>
          </w:tcPr>
          <w:p w14:paraId="353E22F4">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本项目严格遵循创新创业项目问题导向、目标导向、创新成效三大核心评审准则，立足数字经济时代算法乱象频发、消费者维权难的社会痛点，依托新文科交叉创新思维，构建从理论创新、技术赋能、产品落地到社会服务、成果转化的全链条创新创业体系。项目摒弃单一理论研究或纯技术开发的传统模式，完整践行“创意构思—理论深耕—技术研发—产品试制—场景测试—市场落地—公益服务”的创新全流程，实现了从基础法学理论研究向应用型、实务型维权解决方案的跨越式突破，精准对接社会治理与民生保障的实际需求，具备扎实的创新基础、清晰的落地路径和可量化、可展示的创新成果。</w:t>
            </w:r>
          </w:p>
          <w:p w14:paraId="4A393247">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在项目开展过程中，团队始终以真实社会问题为核心切入点，聚焦大数据杀熟、算法差别待遇等数字消费领域高频乱象，结合法学专业核心优势，融合计算机技术、数理统计分析等跨学科知识，创新运用交叉学科研究范式、公益服务创新模式、技术赋能法律实务的全新理念，精准破解传统维权模式中法理依据模糊、认定标准缺失、举证难度极大、集体救济缺位等行业痛点与市场难题，有效满足了普通消费者、公益诉讼机构、司法服务平台、监管部门的多元化实际需求，充分彰显项目的实用价值与社会价值。同时，项目围绕法理创新、产品研发、技术落地、服务模式革新多维度开展系统性创新创业实践，积累了丰富的阶段性创新成果，且已规划高含金量知识产权、学术成果与应用落地证明，全面体现团队的自主创新能力与项目可持续发展潜力。</w:t>
            </w:r>
          </w:p>
          <w:p w14:paraId="6B1959CD">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（一）新文科定位与法理创新（核心）</w:t>
            </w:r>
          </w:p>
          <w:p w14:paraId="691E503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本项目属于新文科方向，核心不在于单纯的技术开发，而在于以法学理论回应数字时代的公平正义问题。项目将法学、计算机科学、统计学交叉融合，以法学为主导，以技术为支撑，探索“法学理论—法律规则—技术工具—公益诉讼”一体化维权路径。</w:t>
            </w:r>
          </w:p>
          <w:p w14:paraId="5EF4ED75">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1.算法歧视的法律定性：从隐私权到公平交易权的双重保护</w:t>
            </w:r>
          </w:p>
          <w:p w14:paraId="00F3EB8E">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当前我国司法实践中，针对“大数据杀熟”等算法歧视行为的法律定性存在单一化、碎片化问题，多数案例仅从个人信息隐私权角度进行规制，忽视了消费者核心交易权益的受损问题，导致维权依据不充分、司法裁判标准不统一。本项目精准立足这一法理漏洞，严格依据《中华人民共和国个人信息保护法》第24条核心规定，系统论证大数据平台“大数据杀熟”行为，本质属于利用用户个人信息开展自动化决策，并对不同用户的交易条件实施无正当理由的不合理差别待遇，明确了算法歧视行为的违法核心属性。同时，项目结合《中华人民共和国消费者权益保护法》第8条消费者知情权、第10条公平交易权的法定条款，双重论证算法价格歧视行为的侵权逻辑：一方面，平台未向用户告知自动化决策规则、差别定价依据，侵害了消费者法定知情权；另一方面，在商品、服务、交易场景完全一致的前提下，针对不同用户设置差异化价格，直接侵害消费者公平交易权。本项目构建的隐私权、公平交易权双重保护路径，突破了传统单一权利保护的局限，完善了算法歧视行为的侵权认定法理体系，为算法歧视案件的司法定性、裁判裁量提供了坚实、全面、可落地的法理支撑，有效弥补了当前数字法治领域的理论短板。</w:t>
            </w:r>
          </w:p>
          <w:p w14:paraId="3BD3F31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2.差别待遇的认定要件：从构成要件到抗辩事由的体系化建构</w:t>
            </w:r>
          </w:p>
          <w:p w14:paraId="7A55C2C7">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目前国内暂无统一、体系化的算法歧视司法认定标准，司法实践中多依赖法官自由裁量，存在认定标准模糊、边界不清、容易误判或漏判的问题，极大制约了维权效率。本项目基于法学要件分析方法与数理统计逻辑，创新性构建了算法歧视认定四要件体系，实现了算法歧视认定的标准化、规范化、科学化。</w:t>
            </w:r>
          </w:p>
          <w:p w14:paraId="62C46B4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项目提出算法歧视认定的四要件：主体要件（平台利用自动化决策）、行为要件（基于用户标签进行差别待遇）、结果要件（同等条件价格显著差异）、因果关系要件（差异与标签存在统计学关联）。同时，</w:t>
            </w:r>
            <w:r>
              <w:rPr>
                <w:rFonts w:hint="eastAsia" w:ascii="楷体" w:hAnsi="楷体" w:eastAsia="楷体"/>
                <w:bCs/>
                <w:sz w:val="24"/>
                <w:szCs w:val="28"/>
                <w:lang w:val="en-US" w:eastAsia="zh-CN"/>
              </w:rPr>
              <w:t>为兼顾消费者权益保护与平台正常商业发展，避免司法认定过度严苛造成行业发展受限，项目创新性搭建合理抗辩标签库，</w:t>
            </w:r>
            <w:r>
              <w:rPr>
                <w:rFonts w:hint="eastAsia" w:ascii="楷体" w:hAnsi="楷体" w:eastAsia="楷体"/>
                <w:bCs/>
                <w:sz w:val="24"/>
                <w:szCs w:val="28"/>
              </w:rPr>
              <w:t>构建“合理抗辩标签库”（如新人专享、限时秒杀、区域物流成本差异），</w:t>
            </w:r>
            <w:r>
              <w:rPr>
                <w:rFonts w:hint="eastAsia" w:ascii="楷体" w:hAnsi="楷体" w:eastAsia="楷体"/>
                <w:bCs/>
                <w:sz w:val="24"/>
                <w:szCs w:val="28"/>
                <w:lang w:val="en-US" w:eastAsia="zh-CN"/>
              </w:rPr>
              <w:t>系统梳理新人专享、限时秒杀、节日促销、区域物流成本差异、库存差异、会员专属权益等合法合规的差异化定价场景，明确平台正当抗辩事由。该体系既精准规制恶意算法歧视行为、全方位保障数字消费者合法权益，又尊重平台正常市场化经营规则，完美践行了法学利益平衡、公平公正的核心裁判与治理理念，为司法机关、监管部门精准界定算法歧视边界提供了全新的标准化参考体系。</w:t>
            </w:r>
            <w:r>
              <w:rPr>
                <w:rFonts w:hint="eastAsia" w:ascii="楷体" w:hAnsi="楷体" w:eastAsia="楷体"/>
                <w:bCs/>
                <w:sz w:val="24"/>
                <w:szCs w:val="28"/>
              </w:rPr>
              <w:t>既保障消费者权益，又避免误伤正常商业定价，体现了法学“利益平衡”的核心方法。</w:t>
            </w:r>
          </w:p>
          <w:p w14:paraId="3C1A0301">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3.举证责任分配：从“谁主张谁举证”到“举证责任倒置”的理论探索</w:t>
            </w:r>
          </w:p>
          <w:p w14:paraId="5CD24ECC">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传统民事诉讼严格遵循“谁主张、谁举证”的基本原则，但在算法歧视纠纷案件中，存在典型的“算法黑箱”“技术鸿沟”问题。普通消费者无法获取平台自动化决策算法规则、用户标签生成逻辑、定价运算机制等核心后台数据，仅凭个人截图、订单记录难以完成完整举证，导致大量算法歧视维权案件因证据不足无法立案、败诉率极高，成为数字消费维权的核心痛点。针对这一司法困境，本项目深度借鉴《个人信息保护法》第69条过错推定原则的立法精神，结合算法纠纷案件的特殊性，创新性探索算法歧视案件举证责任倒置适用规则，重构新型举证逻辑与证据规则体系。</w:t>
            </w:r>
          </w:p>
          <w:p w14:paraId="5BFA4D50">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项目明确，消费者仅需承担初步举证责任，通过价格差异截图、订单凭证、消费记录等材料，证明自身与其他用户存在同等交易条件、不同交易价格的基础事实即可完成初步举证。举证责任随即转移至平台，由平台举证证明自身差异化定价具备正当、合法、合理的依据，若平台无法提供有效抗辩证据、无法佐证算法决策的合规性与公正性，则依法推定其构成算法歧视并承担侵权责任。这一理论探索彻底打破了传统举证规则在数字算法纠纷中的适用困境，有效平衡了消费者与平台之间的举证能力差距，为算法歧视公益诉讼、个人维权的证据规则完善提供了全新的理论思路与实务参考，具备极高的司法应用价值。</w:t>
            </w:r>
          </w:p>
          <w:p w14:paraId="6C77C641">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4.公益诉讼衔接机制：从个体维权到集体救济的制度设计</w:t>
            </w:r>
          </w:p>
          <w:p w14:paraId="3FB3C9EA">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现有算法歧视维权模式以个体维权为主，存在维权成本高、涉案金额小、维权意愿低、侵权范围广、治理效果差的弊端。算法歧视行为并非针对单一用户，而是依托大数据算法对海量用户实施规模化、扩散性、隐蔽性侵权，侵害的是不特定多数消费者的公共权益，具有显著的集合性、广泛性、持续性特征，单一的个体维权模式无法从根源上遏制算法乱象。基于此，本项目严格依据《个人信息保护法》第70条公益诉讼相关规定，创新性设计线索发现—证据固定—技术鉴定—线索移交—公益立案—集体救济的全链条公益诉讼衔接机制。</w:t>
            </w:r>
          </w:p>
          <w:p w14:paraId="2300987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项目依托自主研发的技术平台，广泛汇聚普通用户的消费观测数据，将分散、孤立的个体侵权遭遇，通过大数据汇总、统计分析、技术核验，转化为具备系统性、规模化、可司法认定的集体侵权证据链，成功实现算法歧视维权从“一对一零散维权”到“一对多批量救济”的跨越式升级。该机制有效衔接了普通消费者、技术检测平台、公益诉讼主体、司法机关四方主体，打通了民间监测与司法治理的壁垒，大幅提升了算法歧视乱象的治理效率，为数字消费领域公共利益保护提供了全新的制度落地路径。</w:t>
            </w:r>
          </w:p>
          <w:p w14:paraId="347D3E9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5.平台技术中的法理映射</w:t>
            </w:r>
          </w:p>
          <w:p w14:paraId="240D8723">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本项目区别于纯理论研究项目，实现了法学理论与技术落地的深度双向融合，将抽象的法律条文、法学原则、司法证据逻辑精准映射到技术平台研发全过程，让法律规则落地为可操作、可检测、可核验的技术功能，真正实现“技术赋能法治、法治规范技术”的创新闭环。目前项目自研平台已完成多项核心法理与技术的精准对应，实现法理规则的技术化落地，</w:t>
            </w:r>
            <w:r>
              <w:rPr>
                <w:rFonts w:hint="eastAsia" w:ascii="楷体" w:hAnsi="楷体" w:eastAsia="楷体"/>
                <w:bCs/>
                <w:sz w:val="24"/>
                <w:szCs w:val="28"/>
              </w:rPr>
              <w:t>目前平台已初步实现以下法理映射：</w:t>
            </w:r>
          </w:p>
          <w:p w14:paraId="4FF2A93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一是“授权状态”与“本地脱敏”功能，精准对应《个人信息保护法》第13条“知情同意原则”与第6条“最小必要原则”。平台严格恪守用户自主意愿，所有数据采集行为均需用户主动点击授权方可启动，杜绝静默采集、强制采集等违规行为；同时所有用户敏感个人信息均在用户本地设备完成哈希化脱敏处理，原始个人信息不离开用户终端设备，从技术层面彻底规避个人信息泄露风险，完全契合现行数据安全与个人信息保护的法律规范要求。</w:t>
            </w:r>
          </w:p>
          <w:p w14:paraId="4AC1E44B">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二是“Mann Whitney U检验”与“低置信预警”机制，精准对应司法认定中“证据真实、严谨、审慎”的核心要求。法律事实的认定必须依托科学、可靠的证据，杜绝主观臆断。平台严格区分描述性统计与显著性数理检验，摒弃简单的价格对比判定模式，通过专业统计学方法验证价差合理性。同时针对样本量不足、数据不完整的观测场景，自动触发低置信预警提示，绝不草率作出算法歧视判定，完美体现法学严谨审慎的证据裁判思维，保障检测结果的合法性与客观性。</w:t>
            </w:r>
          </w:p>
          <w:p w14:paraId="733F12F6">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三是“跨商品复现检验”功能，精准对应个体维权向公益诉讼跨越的司法立案标准。单次、单一商品的价格差异可能由偶然因素、临时促销等合理原因导致，无法认定为系统性算法歧视。平台通过多品类、多时段、多用户的跨商品复现检验，只有在多款商品、多个交易场景中持续复现相同差异化定价模式，才能判定存在系统性、规模化算法歧视，完全契合公益诉讼对“批量侵权、公共利益受损”的立案要求，为公益诉讼案件立案提供了标准化技术依据。</w:t>
            </w:r>
          </w:p>
          <w:p w14:paraId="7EA229B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（二）核心技术</w:t>
            </w:r>
          </w:p>
          <w:p w14:paraId="7267D851">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平台以法学规则为引领，融合四项支撑技术：</w:t>
            </w:r>
          </w:p>
          <w:p w14:paraId="4B2B058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1.合规化数据采集与本地脱敏技术：开发“算法歧视众包观测”浏览器插件，支持淘宝、天猫、京东、拼多多等平台。用户主动点击“采集本页数据”，读取当前页面可见的商品信息、价格、优惠券、用户上下文（登录态、发货城市等），本地脱敏后加密上报。</w:t>
            </w:r>
          </w:p>
          <w:p w14:paraId="7249F88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2.算法歧视统计推断引擎：后端本地控制台接收观测数据后，自动分组（如按登录态、新老用户），控制城市、时段、促销等混淆变量，采用Mann Whitney U检验与多元回归判断价格差异是否显著。</w:t>
            </w:r>
          </w:p>
          <w:p w14:paraId="62017D4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3.法律规则知识库与自动评估技术：将《个人信息保护法》第24条、《电子商务法》第18条、《价格法》第14条等转化为结构化规则表，自动生成初步法律评估报告。</w:t>
            </w:r>
          </w:p>
          <w:p w14:paraId="7F1737F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4.电子证据固化技术（规划中）：拟打包页面截图、DOM快照、原始观测数据，计算哈希值，对接可信时间戳与区块链存证平台，符合司法认可标准。</w:t>
            </w:r>
          </w:p>
          <w:p w14:paraId="1630622D">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（三）产品及服务展示（基于真实系统）</w:t>
            </w:r>
          </w:p>
          <w:p w14:paraId="15F88D24">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本项目产品立足数字消费民生痛点，精准定位为面向算法消费场景的“价格公平体检仪”，核心服务理念是将消费者主观感知的“被大数据杀熟”，转化为客观、量化、可检验、可举证、可诉讼、可维权的标准化证据成果，彻底解决传统维权无依据、无证据、无渠道的困境。平台为完全自主研发的真实可运行系统，所有功能均已落地实现，具备完整的使用、检测、分析、输出能力，由三大核心模块构成，形成闭环式服务体系。</w:t>
            </w:r>
            <w:r>
              <w:rPr>
                <w:rFonts w:hint="eastAsia" w:ascii="楷体" w:hAnsi="楷体" w:eastAsia="楷体"/>
                <w:bCs/>
                <w:sz w:val="24"/>
                <w:szCs w:val="28"/>
              </w:rPr>
              <w:t>面向算法消费场景的“价格公平体检仪”——把“感觉被杀熟”变成“可检验、可举证、可诉讼”。</w:t>
            </w:r>
          </w:p>
          <w:p w14:paraId="5F1C386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平台目前由三大真实模块构成：</w:t>
            </w:r>
          </w:p>
          <w:p w14:paraId="7C69526E">
            <w:pPr>
              <w:numPr>
                <w:ilvl w:val="0"/>
                <w:numId w:val="0"/>
              </w:numPr>
              <w:spacing w:line="400" w:lineRule="exact"/>
              <w:ind w:firstLine="480" w:firstLineChars="200"/>
              <w:rPr>
                <w:rFonts w:hint="eastAsia" w:ascii="楷体" w:hAnsi="楷体" w:eastAsia="楷体"/>
                <w:bCs/>
                <w:sz w:val="24"/>
                <w:szCs w:val="28"/>
              </w:rPr>
            </w:pPr>
            <w:r>
              <w:rPr>
                <w:rFonts w:hint="eastAsia" w:ascii="楷体" w:hAnsi="楷体" w:eastAsia="楷体" w:cs="Times New Roman"/>
                <w:bCs/>
                <w:kern w:val="2"/>
                <w:sz w:val="24"/>
                <w:szCs w:val="28"/>
                <w:lang w:val="en-US" w:eastAsia="zh-CN" w:bidi="ar-SA"/>
              </w:rPr>
              <w:t>1.</w:t>
            </w:r>
            <w:r>
              <w:rPr>
                <w:rFonts w:hint="eastAsia" w:ascii="楷体" w:hAnsi="楷体" w:eastAsia="楷体"/>
                <w:bCs/>
                <w:sz w:val="24"/>
                <w:szCs w:val="28"/>
              </w:rPr>
              <w:t>前端：浏览器插件“算法歧视众包观测”</w:t>
            </w:r>
          </w:p>
          <w:p w14:paraId="1977440B">
            <w:pPr>
              <w:numPr>
                <w:ilvl w:val="0"/>
                <w:numId w:val="0"/>
              </w:numPr>
              <w:tabs>
                <w:tab w:val="left" w:pos="608"/>
              </w:tabs>
              <w:spacing w:line="400" w:lineRule="exact"/>
              <w:rPr>
                <w:rFonts w:hint="eastAsia" w:ascii="楷体" w:hAnsi="楷体" w:eastAsia="楷体"/>
                <w:bCs/>
                <w:sz w:val="24"/>
                <w:szCs w:val="28"/>
                <w:lang w:eastAsia="zh-CN"/>
              </w:rPr>
            </w:pPr>
            <w:r>
              <w:rPr>
                <w:rFonts w:hint="eastAsia" w:ascii="楷体" w:hAnsi="楷体" w:eastAsia="楷体"/>
                <w:bCs/>
                <w:sz w:val="24"/>
                <w:szCs w:val="28"/>
                <w:lang w:eastAsia="zh-CN"/>
              </w:rPr>
              <w:tab/>
            </w:r>
            <w:r>
              <w:rPr>
                <w:rFonts w:hint="eastAsia" w:ascii="楷体" w:hAnsi="楷体" w:eastAsia="楷体"/>
                <w:bCs/>
                <w:sz w:val="24"/>
                <w:szCs w:val="28"/>
                <w:lang w:val="en-US" w:eastAsia="zh-CN"/>
              </w:rPr>
              <w:t>前端插件为面向普通用户的核心交互端口，界面简洁清晰、操作便捷，适配主流浏览器，具备极强的落地实用性。系统可自动识别当前浏览页面是否为淘宝、天猫、京东、拼多多等适配电商平台，实时展示平台适配状态与用户授权状态，全程公开透明，充分保障用户的知情权、选择权与隐私权。平台设置“测试连接”“采集本页数据”两大核心功能按钮，所有数据采集行为均由用户自主触发，无任何后台静默操作。用户完成数据采集后，系统自动生成唯一专属观测ID，用户可凭借该ID随时查询个人采集数据、核验检测结果，同时支持自主撤回、删除个人数据，完全契合个人信息保护的合规要求，兼顾实用性与安全性。</w:t>
            </w:r>
          </w:p>
          <w:p w14:paraId="2B5ADD1A">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界面显示当前页面是否为受支持平台（淘宝/天猫/京东/拼多多）。</w:t>
            </w:r>
          </w:p>
          <w:p w14:paraId="388C2BD4">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显示“授权状态”及“商品页自动采集”选项，充分保障用户知情权与选择权。</w:t>
            </w:r>
          </w:p>
          <w:p w14:paraId="0C9AAEE5">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提供“测试连接”与“采集本页数据”按钮。用户点击后，系统返回观测ID，用户可凭此ID查询、撤回或删除自己的数据。</w:t>
            </w:r>
          </w:p>
          <w:p w14:paraId="4B3A9899">
            <w:pPr>
              <w:numPr>
                <w:ilvl w:val="0"/>
                <w:numId w:val="0"/>
              </w:numPr>
              <w:spacing w:line="400" w:lineRule="exact"/>
              <w:ind w:left="0" w:leftChars="0" w:firstLine="480" w:firstLineChars="200"/>
              <w:rPr>
                <w:rFonts w:hint="eastAsia" w:ascii="楷体" w:hAnsi="楷体" w:eastAsia="楷体"/>
                <w:bCs/>
                <w:sz w:val="24"/>
                <w:szCs w:val="28"/>
              </w:rPr>
            </w:pPr>
            <w:r>
              <w:rPr>
                <w:rFonts w:hint="eastAsia" w:ascii="楷体" w:hAnsi="楷体" w:eastAsia="楷体" w:cs="Times New Roman"/>
                <w:bCs/>
                <w:kern w:val="2"/>
                <w:sz w:val="24"/>
                <w:szCs w:val="28"/>
                <w:lang w:val="en-US" w:eastAsia="zh-CN" w:bidi="ar-SA"/>
              </w:rPr>
              <w:t>2.</w:t>
            </w:r>
            <w:r>
              <w:rPr>
                <w:rFonts w:hint="eastAsia" w:ascii="楷体" w:hAnsi="楷体" w:eastAsia="楷体"/>
                <w:bCs/>
                <w:sz w:val="24"/>
                <w:szCs w:val="28"/>
              </w:rPr>
              <w:t>后端：本地控制台“算法歧视众包观测”</w:t>
            </w:r>
          </w:p>
          <w:p w14:paraId="1D2F3E7A">
            <w:pPr>
              <w:numPr>
                <w:ilvl w:val="0"/>
                <w:numId w:val="0"/>
              </w:num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后端控制台为项目核心数据分析与管理端口，承担数据汇总、智能分析、结果判定、证据留存的核心功能，整体架构完整、运行稳定。总览界面可视化展示插件采集入口、完整数据分析流水线（采集→入库→清洗→统计检验→合规判定）、累计覆盖商品品类、合作电商平台数量、有效观测数据总量等核心运营数据，直观呈现平台运行成效。观测数据界面以标准化表格形式留存所有采集明细，精准记录采集时间、电商平台、商品全称、商品ID、挂牌价、实际到手价、用户所在城市、用户登录状态、优惠券使用情况等关键维度数据，实现数据全溯源、全留存。</w:t>
            </w:r>
          </w:p>
          <w:p w14:paraId="4D165146">
            <w:pPr>
              <w:numPr>
                <w:ilvl w:val="0"/>
                <w:numId w:val="0"/>
              </w:num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歧视分析界面为核心功能模块，系统可根据用户需求筛选指定商品，自动提取差异化最大的两组匿名用户数据进行多维对比，结合样本数据量自动区分置信等级，明确标注“低置信判定”“高置信判定”结果，杜绝虚假判定。页面同步展示完整的描述性统计数据、均值对比、差值分析、Mann Whitney U显著性检验结果、回归分析报告，每一项判定结论均有对应的数理统计依据与法律规则支撑，结果客观权威。同时平台配备专属数据打包功能，可一键导出含SHA 256校验清单的标准化数据包，支持跨设备、跨平台导入核验，为后续生成司法级合规证据包、对接司法存证系统奠定坚实技术基础。</w:t>
            </w:r>
          </w:p>
          <w:p w14:paraId="3921110C">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总览界面：展示插件采集入口、分析流水线（采集→入库→统计检验→判定）、覆盖商品数与平台数。</w:t>
            </w:r>
          </w:p>
          <w:p w14:paraId="756FBB8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观测数据界面：以表格形式展示每次采集的明细，包括采集时间、平台（天猫/淘宝）、商品名称、商品ID、标价、到手价、城市、登录态等。</w:t>
            </w:r>
          </w:p>
          <w:p w14:paraId="4BAD16F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歧视分析界面：选择具体商品后，系统自动提取价差最大的两个匿名用户进行对比。系统严格标明样本量是否充足，并给出“低置信”或“高置信”判定。下方详细展示描述性统计对比、Mann Whitney U检验结果，确保每一步推断都有据可查。</w:t>
            </w:r>
          </w:p>
          <w:p w14:paraId="246FE14E">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数据打包功能：支持导出数据包（含SHA 256校验清单），可导入到其他机器，为未来生成司法级证据包奠定基础。</w:t>
            </w:r>
          </w:p>
          <w:p w14:paraId="264B9505">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（四）项目进展（据实陈述）</w:t>
            </w:r>
          </w:p>
          <w:p w14:paraId="67B302F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项目目前处于研发初期，已完成以下基础工作：</w:t>
            </w:r>
          </w:p>
          <w:p w14:paraId="399DDCD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完成调查问卷设计与发放；</w:t>
            </w:r>
          </w:p>
          <w:p w14:paraId="3B30FD6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完成校园消费维权调研报告1份；</w:t>
            </w:r>
          </w:p>
          <w:p w14:paraId="72368CB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完成“算法歧视众包观测”浏览器插件与本地控制台的原型开发，附件提供平台运行视频与源代码；</w:t>
            </w:r>
          </w:p>
          <w:p w14:paraId="18E03767">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初步跑通“采集→入库→统计检验→判定”的分析流水线，并在模拟场景中验证了统计学方法的可行性；</w:t>
            </w:r>
          </w:p>
          <w:p w14:paraId="59D06B3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尚未申请专利或软件著作权，拟在技术方案成熟后申请相关知识产权。</w:t>
            </w:r>
          </w:p>
          <w:p w14:paraId="69C16D5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（五）拟申请知识产权</w:t>
            </w:r>
          </w:p>
          <w:p w14:paraId="669A6C75">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拟申请软件著作权：“算法歧视众包观测”浏览器插件及本地控制台；</w:t>
            </w:r>
          </w:p>
          <w:p w14:paraId="6E5EE019">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拟申请发明专利：基于多变量控制的算法歧视统计推断方法。</w:t>
            </w:r>
          </w:p>
          <w:p w14:paraId="5C8FC4EF">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为系统化固化项目创新成果，全面体现团队自主创新能力，完善项目知识产权保护体系，支撑项目长效发展与成果转化，团队结合项目技术特点与理论创新成果，制定明确、可落地的知识产权申报计划，所有成果均归属本创新创业团队，可有效支撑项目创新成效量化评审，具体规划如下：</w:t>
            </w:r>
          </w:p>
          <w:p w14:paraId="794ED50B">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拟申请计算机软件著作权：《算法歧视众包观测浏览器插件V1.0》《算法歧视众包观测本地控制台管理系统V1.0》，全面保护项目前端交互、后端数据处理、智能分析、合规判定等全部自主研发软件成果，固化产品技术创新价值。</w:t>
            </w:r>
          </w:p>
          <w:p w14:paraId="3B9BC63D">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拟申请核心发明专利：《一种基于多变量控制的算法歧视统计推断与合规判定方法》，聚焦项目核心技术创新点，针对多变量混淆因子剔除、精准数理统计检验、法理自动匹配判定等原创性技术方案申报发明专利，填补行业技术空白，提升项目核心竞争力（专利为国赛核心必备创新成果，为本项目重点攻坚成果）。</w:t>
            </w:r>
          </w:p>
          <w:p w14:paraId="4B892BFE">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拟产出学术论文：团队基于项目法理创新体系、交叉学科研究成果，整理研究数据与理论结论，拟发表法学、数字法治、交叉创新领域学术论文1-2篇，丰富项目理论创新成果体系。</w:t>
            </w:r>
          </w:p>
          <w:p w14:paraId="2F24368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拟获取官方应用证明与成果认证：依托项目合作单位、对接的公益机构、司法服务平台、消费者协会，出具项目系统应用证明、公益服务成果报告、实务落地验证报告等官方佐证材料，充分证明项目的实际应用价值与落地成效。</w:t>
            </w:r>
          </w:p>
          <w:p w14:paraId="41EDBDEE">
            <w:pPr>
              <w:numPr>
                <w:ilvl w:val="0"/>
                <w:numId w:val="1"/>
              </w:num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合作资源</w:t>
            </w:r>
          </w:p>
          <w:p w14:paraId="236F8A95">
            <w:pPr>
              <w:numPr>
                <w:ilvl w:val="0"/>
                <w:numId w:val="0"/>
              </w:num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本项目依托多校、多领域、多主体优质合作资源，构建了“高校科研+司法服务+行业监管+实务落地”的全方位资源支撑体系，为项目理论研究、技术迭代、产品落地、公益服务、成果转化、创新产出提供强有力保障，所有合作资源均可为本项目提供成果背书、技术支撑、落地验证，助力项目产出高质量创新成果：</w:t>
            </w:r>
          </w:p>
          <w:p w14:paraId="02E9580F">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高校核心科研资源：依托北京交通大学法学院、计算机科学与技术学院双院系交叉学科平台，汇聚法学理论、计算机技术、数理统计领域专业师资团队提供全程指导，为项目文理交叉创新、理论深耕、技术攻坚提供专业学术支撑，助力团队完成论文撰写、专利研发、理论创新等核心成果产出。</w:t>
            </w:r>
          </w:p>
          <w:p w14:paraId="421ADDF8">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校内实务服务平台：依托学校法学模拟法庭、法律援助中心两大平台，开展案例核验、法理论证、维权实务测试、公益普法等实践工作，积累大量实务落地经验，完善项目公益诉讼衔接机制，提升项目实务适配性。</w:t>
            </w:r>
          </w:p>
          <w:p w14:paraId="1FCC341E">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行业监管与公益机构资源：项目已初步对接北京市消费者协会、多所高校法律援助中心，后续将深度开展合作，依托机构平台开展产品试点应用、消费者维权服务、乱象监测统计，获取官方应用证明与落地成果报告。</w:t>
            </w:r>
          </w:p>
          <w:p w14:paraId="4BCEC8DB">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司法与检察资源：拟对接检察机关公益诉讼部门，将项目监测数据、证据成果、维权线索纳入公益诉讼实务应用场景，实现技术成果与司法实务的深度融合，获取司法落地应用认证。</w:t>
            </w:r>
          </w:p>
          <w:p w14:paraId="0550CD02">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lang w:val="en-US" w:eastAsia="zh-CN"/>
              </w:rPr>
              <w:t>专业法律服务资源：已意向邀请专业执业律师组成公益法律服务团队，为项目维权机制优化、证据规则完善、公益诉讼落地、成果合规性审核提供专业法律支持，保障项目所有创新成果合法合规、适配司法实务标准。</w:t>
            </w:r>
          </w:p>
          <w:p w14:paraId="611A3C3E">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综上，本项目严格契合创新创业大赛问题导向、目标导向、创新成效的核心要求，拥有完整的创新逻辑、扎实的理论与技术创新、成熟的产品落地、丰富的阶段性成果、清晰的知识产权产出规划和完善的合作支撑体系，创新维度多元、成果质量过硬、落地价值突出，充分彰显团队的自主创新能力与项目的可持续发展潜力。</w:t>
            </w:r>
          </w:p>
          <w:p w14:paraId="1D1B7C95">
            <w:pPr>
              <w:spacing w:line="400" w:lineRule="exact"/>
              <w:ind w:firstLine="480" w:firstLineChars="200"/>
              <w:rPr>
                <w:rFonts w:hint="eastAsia" w:ascii="楷体" w:hAnsi="楷体" w:eastAsia="楷体"/>
                <w:bCs/>
                <w:sz w:val="24"/>
                <w:szCs w:val="28"/>
                <w:lang w:val="en-US" w:eastAsia="zh-CN"/>
              </w:rPr>
            </w:pPr>
          </w:p>
        </w:tc>
      </w:tr>
    </w:tbl>
    <w:p w14:paraId="04E69D41">
      <w:pPr>
        <w:jc w:val="left"/>
      </w:pPr>
      <w:r>
        <w:rPr>
          <w:rStyle w:val="23"/>
          <w:rFonts w:hint="eastAsia"/>
          <w:b/>
          <w:bCs/>
          <w:szCs w:val="28"/>
        </w:rPr>
        <w:t>三、产业价值</w:t>
      </w:r>
    </w:p>
    <w:tbl>
      <w:tblPr>
        <w:tblStyle w:val="10"/>
        <w:tblW w:w="88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0"/>
      </w:tblGrid>
      <w:tr w14:paraId="4D54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80" w:type="dxa"/>
          </w:tcPr>
          <w:p w14:paraId="01FE213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（一）政策背景</w:t>
            </w:r>
          </w:p>
          <w:p w14:paraId="3E86D5E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“十五五” 规划立足我国数字经济高质量发展全局，明确提出完善平台经济监管体系、强化算法全流程治理、健全消费者权益保障机制的发展任务，为数字时代平台经济的发展划定规范化、法治化发展路径。习近平总书记多次强调 “推动平台经济规范健康持续发展”“保护消费者合法权益”，深刻指明数字平台发展与民生权益保护协同共进的发展方向，要求统筹数字产业创新活力与社会公共利益，平衡产业发展、技术创新、个体权益保护三者之间的关系。</w:t>
            </w:r>
          </w:p>
          <w:p w14:paraId="1FE3C5D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在法律制度层面，我国已经搭建起多层次、立体化的算法治理与个人信息保护法律规范体系。《个人信息保护法》第 24 条针对自动化决策作出专门规制，明确禁止利用算法实施不合理的差别待遇行为，从法律源头对 “大数据杀熟”、算法价格歧视等侵害消费者权益行为作出禁止性规定；该法第 70 条正式确立个人信息保护领域公益诉讼制度，赋予消费者协会、检察机关开展公益诉讼的法定资格，打通大规模数字权益受损的司法救济通道。与此同时，《互联网信息服务算法推荐管理规定》针对算法推荐服务的运行规范、公平义务、监督机制作出细化约束，《电子商务法》第 18 条对电子商务经营者的个性化推送、价格展示义务予以明确，行政法规、部门规章与法律相互衔接，构建起完备的制度规则矩阵。</w:t>
            </w:r>
          </w:p>
          <w:p w14:paraId="0A10388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当前国家层面算法治理、个人信息保护领域执法力度持续加大，监管部门不断开展算法专项整治行动，针对算法歧视、大数据杀熟、个人信息滥用开展常态化监督检查。但制度落地过程中，长期面临线索发现难、证据固定难、技术鉴定难等现实堵点，公益诉讼案件线索发现渠道不足、案件线索来源规模化机制尚未完全形成。制度框架已经建成，但是配套技术工具供给存在缺口，制度红利与现实技术缺口共同为本项目的落地提供了历史性发展机遇。本项目正是锚定法律制度落地的现实痛点，以技术工具承接法律规范的实践转化，把纸面上的法律条文转化为可实操、可落地的监测取证工具，助力国家算法治理政策与法律制度真正落地见效。</w:t>
            </w:r>
          </w:p>
          <w:p w14:paraId="3640DDC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（二）行业背景</w:t>
            </w:r>
          </w:p>
          <w:p w14:paraId="013C5DD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数字消费已经深度融入我国居民日常生活，成为拉动内需、激活国内大循环的重要支柱。我国网络购物用户规模已超过 8 亿人，庞大的网民基数催生万亿级数字消费市场，线上消费已经从补充消费渠道转变为居民消费主渠道。算法技术作为数字平台的核心底层技术，广泛应用于商品定价、商品推荐、用户服务匹配等全流程，在提升商业效率的同时，算法滥用带来的风险也同步凸显。</w:t>
            </w:r>
          </w:p>
          <w:p w14:paraId="5A7AC12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在消费维权实践当中，“大数据杀熟”、算法差别待遇相关投诉长期居高不下，持续位居网络消费投诉热点前列。普通消费者在遭遇算法歧视时往往只能产生主观感受，缺少客观对比依据、专业技术能力与司法有效证据，个体消费者举证能力严重不足，维权成本极高，个体维权成功率偏低。大量算法侵权损害具有分散性、隐蔽性、群体性特征：单一消费者受损金额较小，但受害群体规模庞大，个体缺乏动力单独起诉，社会公共利益持续受损却难以通过传统维权渠道得到救济。</w:t>
            </w:r>
          </w:p>
          <w:p w14:paraId="43DDB71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从整个行业产业现实格局来看，当前算法治理领域呈现鲜明的“强监管 + 弱工具” 局面：国家层面法律、法规、监管制度供给已经较为充足，监管框架日趋完善；但是适配监管执法、公益维权场景的第三方技术工具供给严重短缺。现有技术资源大多服务于企业商业合规需求，面向公益维权、公益诉讼、普通消费者免费使用的第三方监测取证产品十分稀缺。监管机关、消协、检察机关开展算法歧视监督工作，缺少自动化、规模化、可持续的技术支撑手段，大量潜在侵权线索埋藏在海量互联网行为之中无法被挖掘。行业存在巨大的现实空白，市场迫切需要一套兼顾法律合规性、技术可行性、公益属性的算法监测取证解决方案，补齐算法治理链条上的技术短板。</w:t>
            </w:r>
          </w:p>
          <w:p w14:paraId="0FA0E3B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从产业发展视角看，数字经济产业转型升级要求平台企业落实算法公平主体责任，监管侧需要第三方技术力量作为有益补充，社会层面消费者公平权益意识持续觉醒，多重因素共同催生算法审计、算法公平监测赛道，行业发展外部条件已经成熟。</w:t>
            </w:r>
          </w:p>
          <w:p w14:paraId="2253DCD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（三）市场分析</w:t>
            </w:r>
          </w:p>
          <w:p w14:paraId="2B4D8EC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行业规模：</w:t>
            </w:r>
          </w:p>
          <w:p w14:paraId="2DA65D5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预计未来3—5年，算法审计与合规评估市场将保持高速增长，公益监测平台作为其中的重要角色，具备先发优势。</w:t>
            </w:r>
          </w:p>
          <w:p w14:paraId="410073F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数字经济持续发展带动算法治理、算法合规产业快速扩张，算法审计与合规评估作为数字安全、数字治理细分赛道，是数字产业转型升级背景下高速成长的新兴赛道。预计未来 3</w:t>
            </w:r>
            <w:r>
              <w:rPr>
                <w:rFonts w:hint="eastAsia" w:ascii="楷体" w:hAnsi="楷体" w:eastAsia="楷体"/>
                <w:bCs/>
                <w:sz w:val="24"/>
                <w:szCs w:val="28"/>
                <w:lang w:eastAsia="zh-CN"/>
              </w:rPr>
              <w:noBreakHyphen/>
            </w:r>
            <w:r>
              <w:rPr>
                <w:rFonts w:hint="eastAsia" w:ascii="楷体" w:hAnsi="楷体" w:eastAsia="楷体"/>
                <w:bCs/>
                <w:sz w:val="24"/>
                <w:szCs w:val="28"/>
                <w:lang w:eastAsia="zh-CN"/>
              </w:rPr>
              <w:t>5 年，算法审计与合规评估市场将保持高速增长。伴随着算法监管常态化，企业算法合规需求、监管技术支撑需求、公益维权技术需求同步释放。公益监测平台作为该赛道中具备公共属性的细分方向，区别于纯商业算法审计机构，凭借公益公信力、司法取证适配能力、面向公益主体免费服务的差异化定位，具备突出的先发优势。</w:t>
            </w:r>
          </w:p>
          <w:p w14:paraId="1C64584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一方面，政策强制要求平台企业开展算法合规自查，催生大量 B 端合规评估市场；另一方面，公益诉讼制度落地带动 G 端公益维权技术服务需求扩容；同时学术界对于算法公平实证研究的数据需求持续上涨，多重市场需求叠加，为本项目业务开展提供广阔市场空间。赛道不仅拥有商业市场空间，同时具备显著公共价值属性，商业服务收入反哺公益业务运转，可以实现商业可持续与社会公益目标双向统一。</w:t>
            </w:r>
          </w:p>
          <w:p w14:paraId="729485D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目标</w:t>
            </w:r>
            <w:r>
              <w:rPr>
                <w:rFonts w:hint="eastAsia" w:ascii="楷体" w:hAnsi="楷体" w:eastAsia="楷体"/>
                <w:bCs/>
                <w:sz w:val="24"/>
                <w:szCs w:val="28"/>
                <w:lang w:val="en-US" w:eastAsia="zh-CN"/>
              </w:rPr>
              <w:t>市场定位</w:t>
            </w:r>
            <w:r>
              <w:rPr>
                <w:rFonts w:hint="eastAsia" w:ascii="楷体" w:hAnsi="楷体" w:eastAsia="楷体"/>
                <w:bCs/>
                <w:sz w:val="24"/>
                <w:szCs w:val="28"/>
                <w:lang w:eastAsia="zh-CN"/>
              </w:rPr>
              <w:t>：</w:t>
            </w:r>
          </w:p>
          <w:p w14:paraId="4D377AC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项目拥有清晰分层的目标市场定位，针对不同主体的真实痛点，分别匹配对应的产品功能、运营策略、研发方向、商业模式，完整覆盖普通消费者、公益维权主体、企业合规主体、科研机构四大类群体，形成层次完整的目标客户体系。</w:t>
            </w:r>
          </w:p>
          <w:p w14:paraId="1317C42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C端：18—45岁高频网购人群</w:t>
            </w:r>
          </w:p>
          <w:p w14:paraId="659F616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该群体是线上消费主力，高频使用电商平台，最容易遭遇算法价格歧视、大数据杀熟等算法不公平对待。该群体有维权诉求，但普遍缺乏技术能力、取证手段，维权成本高。本项目面向该群体提供永久免费的检测、存证工具，降低普通用户使用门槛，产品研发上重点优化插件易用性，简化操作流程，做好普法提示，扩大用户覆盖面。预测该群体既是产品使用者，同时也是侵权线索的来源主体，海量用户数据是平台运行的基础底座。</w:t>
            </w:r>
          </w:p>
          <w:p w14:paraId="71D9223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G/B端：各级消费者协会、检察机关公益诉讼部门、公益律师组织</w:t>
            </w:r>
          </w:p>
          <w:p w14:paraId="1278584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作为法定公益诉讼实施主体，是本项目核心合作对象。该类机构拥有法定维权职能，但普遍缺少自动化算法监测工具，线索摸排依靠人工调查，人力成本高、覆盖范围有限。项目为其提供标准化线索包、司法级存证证据材料，助力其开展公益监督、公益诉讼办案。面向该类主体全部公益服务免费，依靠项目技术能力赋能公权力与公益组织履职。</w:t>
            </w:r>
          </w:p>
          <w:p w14:paraId="0B90C27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B端：电商平台合规部门、研究机构、媒体</w:t>
            </w:r>
          </w:p>
          <w:p w14:paraId="438C1DA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电商平台合规部门存在算法合规自查、风险排查的业务需求；高校与科研机构需要真实脱敏算法消费数据集开展学术研究；新闻媒体需要客观数据开展行业科普与舆论监督。针对商业性需求，项目提供合规体检、脱敏数据集授权等付费服务，作为项目主要收入来源；科研、媒体非商业用途可协商合作模式。</w:t>
            </w:r>
          </w:p>
          <w:p w14:paraId="18F652B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基于目标市场特征，项目对应开展研发预测：持续迭代浏览器插件客户端、后端监测引擎、法律规则库、证据存证模块；营销运营上区分公益推广、政企对接、商业商务对接；财务上区分免费公益业务板块与付费商业业务板块，以商业业务收入补贴公益板块运行成本，构建起公益导向、商业反哺的完整商业模式，充分体现团队商业思维，兼顾社会价值与自我造血能力。</w:t>
            </w:r>
          </w:p>
          <w:p w14:paraId="231C051D">
            <w:pPr>
              <w:numPr>
                <w:ilvl w:val="0"/>
                <w:numId w:val="2"/>
              </w:numPr>
              <w:spacing w:line="400" w:lineRule="exact"/>
              <w:ind w:firstLine="480" w:firstLineChars="200"/>
              <w:rPr>
                <w:rFonts w:hint="eastAsia" w:ascii="楷体" w:hAnsi="楷体" w:eastAsia="楷体"/>
                <w:bCs/>
                <w:sz w:val="24"/>
                <w:szCs w:val="28"/>
                <w:highlight w:val="none"/>
                <w:lang w:eastAsia="zh-CN"/>
              </w:rPr>
            </w:pPr>
            <w:r>
              <w:rPr>
                <w:rFonts w:hint="eastAsia" w:ascii="楷体" w:hAnsi="楷体" w:eastAsia="楷体"/>
                <w:bCs/>
                <w:sz w:val="24"/>
                <w:szCs w:val="28"/>
                <w:highlight w:val="none"/>
                <w:lang w:eastAsia="zh-CN"/>
              </w:rPr>
              <w:t>竞品分析</w:t>
            </w:r>
          </w:p>
          <w:p w14:paraId="0D2C79FC">
            <w:pPr>
              <w:numPr>
                <w:ilvl w:val="0"/>
                <w:numId w:val="0"/>
              </w:numPr>
              <w:spacing w:line="400" w:lineRule="exact"/>
              <w:ind w:firstLine="480"/>
              <w:rPr>
                <w:rFonts w:hint="eastAsia" w:ascii="楷体" w:hAnsi="楷体" w:eastAsia="楷体"/>
                <w:bCs/>
                <w:sz w:val="24"/>
                <w:szCs w:val="28"/>
                <w:highlight w:val="none"/>
                <w:lang w:val="en-US" w:eastAsia="zh-CN"/>
              </w:rPr>
            </w:pPr>
            <w:r>
              <w:rPr>
                <w:rFonts w:hint="eastAsia" w:ascii="楷体" w:hAnsi="楷体" w:eastAsia="楷体"/>
                <w:bCs/>
                <w:sz w:val="24"/>
                <w:szCs w:val="28"/>
                <w:highlight w:val="none"/>
                <w:lang w:val="en-US" w:eastAsia="zh-CN"/>
              </w:rPr>
              <w:t>当前市场中已经存在比价工具、学术算法审计实验、商业算法审计机构、消协人工调查四类相关主体，但各类产品与模式均存在明显短板，无法同时满足普通消费者、公益维权主体 “检测</w:t>
            </w:r>
            <w:r>
              <w:rPr>
                <w:rFonts w:hint="eastAsia" w:ascii="楷体" w:hAnsi="楷体" w:eastAsia="楷体"/>
                <w:bCs/>
                <w:sz w:val="24"/>
                <w:szCs w:val="28"/>
                <w:highlight w:val="none"/>
                <w:lang w:val="en-US" w:eastAsia="zh-CN"/>
              </w:rPr>
              <w:noBreakHyphen/>
            </w:r>
            <w:r>
              <w:rPr>
                <w:rFonts w:hint="eastAsia" w:ascii="楷体" w:hAnsi="楷体" w:eastAsia="楷体"/>
                <w:bCs/>
                <w:sz w:val="24"/>
                <w:szCs w:val="28"/>
                <w:highlight w:val="none"/>
                <w:lang w:val="en-US" w:eastAsia="zh-CN"/>
              </w:rPr>
              <w:t>取证</w:t>
            </w:r>
            <w:r>
              <w:rPr>
                <w:rFonts w:hint="eastAsia" w:ascii="楷体" w:hAnsi="楷体" w:eastAsia="楷体"/>
                <w:bCs/>
                <w:sz w:val="24"/>
                <w:szCs w:val="28"/>
                <w:highlight w:val="none"/>
                <w:lang w:val="en-US" w:eastAsia="zh-CN"/>
              </w:rPr>
              <w:noBreakHyphen/>
            </w:r>
            <w:r>
              <w:rPr>
                <w:rFonts w:hint="eastAsia" w:ascii="楷体" w:hAnsi="楷体" w:eastAsia="楷体"/>
                <w:bCs/>
                <w:sz w:val="24"/>
                <w:szCs w:val="28"/>
                <w:highlight w:val="none"/>
                <w:lang w:val="en-US" w:eastAsia="zh-CN"/>
              </w:rPr>
              <w:t>维权” 一体化的完整需求，具体对比如下：</w:t>
            </w:r>
          </w:p>
          <w:tbl>
            <w:tblPr>
              <w:tblStyle w:val="10"/>
              <w:tblW w:w="5000" w:type="pct"/>
              <w:tblInd w:w="-1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8"/>
              <w:gridCol w:w="1272"/>
              <w:gridCol w:w="6144"/>
            </w:tblGrid>
            <w:tr w14:paraId="07628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26EEAB5">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竞品类型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CE9B4D9">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代表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1F86EBF5">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不足</w:t>
                  </w:r>
                </w:p>
              </w:tc>
            </w:tr>
            <w:tr w14:paraId="6C811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25B56204">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比价 / 历史价查询工具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67F381E">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比价插件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28317E4">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仅展示历史价格曲线，只能完成价格对比，不具备法律维度判断能力，无法识别判定是否构成法律意义上的 “不合理差别待遇”，不提供司法存证，不能直接作为维权证据，无法对接公益诉讼流程。</w:t>
                  </w:r>
                </w:p>
              </w:tc>
            </w:tr>
            <w:tr w14:paraId="25082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4FA93EF">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学术界的算法审计实验</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5E437E62">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受控实验法、爬虫审计法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D4E4741">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大多属于实验室科研实验，样本规模有限，难以规模化落地；持续运行能力不足，项目结束后工具即停止维护；部分爬虫审计方式存在数据获取合规风险，无法直接用于实务维权办案。</w:t>
                  </w:r>
                </w:p>
              </w:tc>
            </w:tr>
            <w:tr w14:paraId="7F1EF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3CC0909">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商业数据安全 / 算法审计机构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8AABCEF">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面向 B 端收费服务商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2BF8F1F">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服务收费昂贵，主要服务大型企业客户，商业模式以商业盈利为核心，不面向普通消费者、公益组织提供免费服务，不服务公益诉讼维权场景。</w:t>
                  </w:r>
                </w:p>
              </w:tc>
            </w:tr>
            <w:tr w14:paraId="06E96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3591AF26">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消协人工调查</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72AAEFE8">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消协自建调查体系</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120" w:type="dxa"/>
                    <w:left w:w="120" w:type="dxa"/>
                    <w:bottom w:w="120" w:type="dxa"/>
                    <w:right w:w="120" w:type="dxa"/>
                  </w:tcMar>
                  <w:vAlign w:val="center"/>
                </w:tcPr>
                <w:p w14:paraId="17F1AD83">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调查结论具备法定权威，但依靠人工模拟测试开展，人力成本高昂，调查频次有限，样本数量少，难以实现全时段、大规模常态化监测。</w:t>
                  </w:r>
                </w:p>
              </w:tc>
            </w:tr>
          </w:tbl>
          <w:p w14:paraId="2E936A7D">
            <w:pPr>
              <w:spacing w:line="400" w:lineRule="exact"/>
              <w:ind w:firstLine="480" w:firstLineChars="200"/>
              <w:rPr>
                <w:rFonts w:hint="eastAsia" w:ascii="楷体" w:hAnsi="楷体" w:eastAsia="楷体"/>
                <w:bCs/>
                <w:sz w:val="24"/>
                <w:szCs w:val="28"/>
                <w:highlight w:val="none"/>
                <w:lang w:eastAsia="zh-CN"/>
              </w:rPr>
            </w:pPr>
            <w:r>
              <w:rPr>
                <w:rFonts w:hint="eastAsia" w:ascii="楷体" w:hAnsi="楷体" w:eastAsia="楷体"/>
                <w:bCs/>
                <w:sz w:val="24"/>
                <w:szCs w:val="28"/>
                <w:highlight w:val="none"/>
                <w:lang w:eastAsia="zh-CN"/>
              </w:rPr>
              <w:t>本项目差异化优势十分突出：以法学严谨性 + 司法存证效力 + 公益诉讼通道为核心构建竞争壁垒。产品底层逻辑严格对齐《个人信息保护法》等现行法律规范，内置专门法律规则库；对接可信时间戳、区块链存证实现证据固化，输出具备司法参考效力的证据包；打通与消协、检察机关的线索移交通道，实现从发现问题到维权落地的闭环。同时项目持续迭代扩充法律规则库，适配主流电商平台完成平台适配器开发，不断扩大可监测平台范围；依托完全公益免费的 C 端与公益主体服务建立广泛社会公信力，区别于纯商业机构，形成其他竞品难以复制的综合优势。</w:t>
            </w:r>
          </w:p>
          <w:p w14:paraId="28612F34">
            <w:pPr>
              <w:numPr>
                <w:ilvl w:val="0"/>
                <w:numId w:val="2"/>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上下游合作</w:t>
            </w:r>
          </w:p>
          <w:p w14:paraId="54D24F4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eastAsia="zh-CN"/>
              </w:rPr>
              <w:t>本项目构建分工清晰、协同完整的上下游产业合作生态链条，打通技术底层</w:t>
            </w:r>
            <w:r>
              <w:rPr>
                <w:rFonts w:hint="eastAsia" w:ascii="楷体" w:hAnsi="楷体" w:eastAsia="楷体"/>
                <w:bCs/>
                <w:sz w:val="24"/>
                <w:szCs w:val="28"/>
                <w:lang w:val="en-US" w:eastAsia="zh-CN"/>
              </w:rPr>
              <w:t>支</w:t>
            </w:r>
            <w:r>
              <w:rPr>
                <w:rFonts w:hint="eastAsia" w:ascii="楷体" w:hAnsi="楷体" w:eastAsia="楷体"/>
                <w:bCs/>
                <w:sz w:val="24"/>
                <w:szCs w:val="28"/>
                <w:lang w:eastAsia="zh-CN"/>
              </w:rPr>
              <w:t>撑、平台核心业务、终端多元应用场景，联动技术服务商、维权主体、科研机构多方力量，形成完整产业协同网络。</w:t>
            </w:r>
          </w:p>
          <w:p w14:paraId="4F74638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上游：云服务器提供商、区块链存证平台、可信时间戳服务商；</w:t>
            </w:r>
          </w:p>
          <w:p w14:paraId="69F0B56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上游合作方为本项目提供底层技术底座。云服务器保障平台海量观测数据存储、后端计算引擎稳定运行；区块链存证平台、可信时间戳服务商提供证据固化技术能力，保障采集数据不可篡改，夯实证据司法效力基础。项目与上游服务商开展服务采购与技术对接合作，保障系统高可用、数据安全合规。</w:t>
            </w:r>
          </w:p>
          <w:p w14:paraId="369B76F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中游：本项目平台（检测+取证+维权一体化）；</w:t>
            </w:r>
          </w:p>
          <w:p w14:paraId="277139C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本项目处于产业链中游核心位置，承接上游底层技术能力，完成插件端采集、算法歧视识别研判、法律规则匹配、证据打包、线索分类流转全流程业务，输出面向 C 端用户检测结果、面向公益机构线索证据包、面向 B 端企业合规报告、面向科研机构脱敏数据集，是整个生态的业务枢纽。</w:t>
            </w:r>
          </w:p>
          <w:p w14:paraId="51BC88B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下游：消费者、消协、检察机关、公益律师、平台合规部门、研究机构。</w:t>
            </w:r>
          </w:p>
          <w:p w14:paraId="6282921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下游覆盖全部目标用户群体。普通消费者获得免费检测维权工具；消协、检察机关、公益律师获得案件线索与证据支撑开展公益维权；电商平台获取合规体检服务用于内部风险治理；高校研究机构获取脱敏数据集开展数字治理、算法公平方向学术研究。同时下游各方的反馈也反向回流到中游平台，驱动产品迭代优化，形成正向循环。</w:t>
            </w:r>
          </w:p>
          <w:p w14:paraId="41BC4B8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完整的上下游合作体系让项目不局限于单一工具开发，而是搭建起多方参与的算法治理协同生态，撬动社会多元主体共同参与算法公平监督。</w:t>
            </w:r>
          </w:p>
          <w:p w14:paraId="65F6F2FE">
            <w:pPr>
              <w:numPr>
                <w:ilvl w:val="0"/>
                <w:numId w:val="2"/>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盈利模式</w:t>
            </w:r>
          </w:p>
          <w:p w14:paraId="0EFE057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eastAsia="zh-CN"/>
              </w:rPr>
              <w:t>项目坚持公益优先、商业反哺公益的总体原则，区分不同客户群体设计差异化盈利模式，C 端用户、公益组织永久免费，保障公共属性不偏移；通过 B 端商业服务、G 端政府购买服务获取收入，覆盖平台服务器、技术迭代、存证服务、运营推广成本，实现项目可持续运营，避免依靠公益捐赠导致发展不可持续的困境。</w:t>
            </w:r>
          </w:p>
          <w:p w14:paraId="199A4C8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C端：个人用户与公益组织永久免费；</w:t>
            </w:r>
          </w:p>
          <w:p w14:paraId="1B2C802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浏览器插件使用、算法歧视检测、基础证据导出、线索上报全部免费开放，不向普通消费者、消协、检察机关、公益律师收取任何费用，保障公共权益属性，降低社会公众参与算法监督门槛。</w:t>
            </w:r>
          </w:p>
          <w:p w14:paraId="4881F8D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B端：面向平台企业的算法合规体检报告、面向研究机构的数据集授权实行阶梯收费；</w:t>
            </w:r>
          </w:p>
          <w:p w14:paraId="76C5EDE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针对电商等平台企业，提供第三方算法合规体检服务，输出算法歧视风险评估报告，帮助企业排查算法风险、完善内部合规体系；针对高校、科研机构提供脱敏处理后的观测数据集授权服务，依据数据量级、使用用途设置阶梯化收费标准，作为项目核心收入来源。</w:t>
            </w:r>
          </w:p>
          <w:p w14:paraId="2BFE17B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G端：高校、监管部门按政府购买服务/项目委托方式合作。</w:t>
            </w:r>
          </w:p>
          <w:p w14:paraId="25A1C80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承接政府部门、高校的数字治理相关课题委托、政府购买服务项目，提供技术监测支撑、专题调研分析等服务获取项目经费。</w:t>
            </w:r>
          </w:p>
          <w:p w14:paraId="5614E18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整体商业模式做到公益属性和商业造血平衡，商业板块产生的收益全部反哺平台技术升级、系统运维、普法宣传、公益业务运转，不以攫取商业利润为首要目标，保障项目长期稳定运行。</w:t>
            </w:r>
          </w:p>
          <w:p w14:paraId="01ADCAC1">
            <w:pPr>
              <w:numPr>
                <w:ilvl w:val="0"/>
                <w:numId w:val="2"/>
              </w:numPr>
              <w:spacing w:line="400" w:lineRule="exact"/>
              <w:ind w:left="0" w:leftChars="0" w:firstLine="480" w:firstLineChars="200"/>
              <w:rPr>
                <w:rFonts w:hint="eastAsia" w:ascii="楷体" w:hAnsi="楷体" w:eastAsia="楷体"/>
                <w:bCs/>
                <w:sz w:val="24"/>
                <w:szCs w:val="28"/>
                <w:highlight w:val="none"/>
                <w:lang w:eastAsia="zh-CN"/>
              </w:rPr>
            </w:pPr>
            <w:r>
              <w:rPr>
                <w:rFonts w:hint="eastAsia" w:ascii="楷体" w:hAnsi="楷体" w:eastAsia="楷体"/>
                <w:bCs/>
                <w:sz w:val="24"/>
                <w:szCs w:val="28"/>
                <w:highlight w:val="none"/>
                <w:lang w:eastAsia="zh-CN"/>
              </w:rPr>
              <w:t>财务融资</w:t>
            </w:r>
          </w:p>
          <w:p w14:paraId="7B38A9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highlight w:val="none"/>
                <w:lang w:val="en-US" w:eastAsia="zh-CN"/>
              </w:rPr>
            </w:pPr>
            <w:r>
              <w:rPr>
                <w:rFonts w:hint="eastAsia" w:ascii="楷体" w:hAnsi="楷体" w:eastAsia="楷体"/>
                <w:bCs/>
                <w:sz w:val="24"/>
                <w:szCs w:val="28"/>
                <w:highlight w:val="none"/>
                <w:lang w:val="en-US" w:eastAsia="zh-CN"/>
              </w:rPr>
              <w:t>本项目为大学生创新创业公益类服务平台，核心定位为赋能大众普法、助力公益诉讼、为企业及科研机构提供合规数据服务，整体运营坚持公益属性优先、轻量化运营、低风险落地、稳步化盈利的核心原则。项目初期完全依托团队自有资金、高校创新创业专项扶持资金、孵化基地公益扶持资源开展建设，暂不引入外部社会资本、天使投资、债权融资等外部融资渠道，控制项目资产规模、负债风险与运营成本，适配学生团队运营能力与公益项目发展节奏。项目所有资金实行专款专用、定向支出，资金使用路径清晰、台账完整、可追溯、可核查，全部投入项目技术研发、系统搭建、产品测试、知识库建设、公益普法推广、基础服务采购等核心业务场景，无冗余支出、无非经营性消耗，保障项目前期稳定落地、中期迭代升级、后期规模化运营。</w:t>
            </w:r>
          </w:p>
          <w:p w14:paraId="531394A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highlight w:val="none"/>
                <w:lang w:eastAsia="zh-CN"/>
              </w:rPr>
            </w:pPr>
            <w:r>
              <w:rPr>
                <w:rFonts w:hint="eastAsia" w:ascii="楷体" w:hAnsi="楷体" w:eastAsia="楷体"/>
                <w:bCs/>
                <w:sz w:val="24"/>
                <w:szCs w:val="28"/>
                <w:highlight w:val="none"/>
                <w:lang w:val="en-US" w:eastAsia="zh-CN"/>
              </w:rPr>
              <w:t>1.</w:t>
            </w:r>
            <w:r>
              <w:rPr>
                <w:rFonts w:hint="eastAsia" w:ascii="楷体" w:hAnsi="楷体" w:eastAsia="楷体"/>
                <w:bCs/>
                <w:sz w:val="24"/>
                <w:szCs w:val="28"/>
                <w:highlight w:val="none"/>
                <w:lang w:eastAsia="zh-CN"/>
              </w:rPr>
              <w:t>初期固定资金来源（1-2年，初始总投入2万元）</w:t>
            </w:r>
          </w:p>
          <w:p w14:paraId="5A63E31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highlight w:val="none"/>
                <w:lang w:eastAsia="zh-CN"/>
              </w:rPr>
            </w:pPr>
            <w:r>
              <w:rPr>
                <w:rFonts w:hint="eastAsia" w:ascii="楷体" w:hAnsi="楷体" w:eastAsia="楷体"/>
                <w:bCs/>
                <w:sz w:val="24"/>
                <w:szCs w:val="28"/>
                <w:highlight w:val="none"/>
                <w:lang w:val="en-US" w:eastAsia="zh-CN"/>
              </w:rPr>
              <w:t>项目初创阶段聚焦产品落地与模式验证，资金来源均为无偿扶持资金，无借贷、无股权出让、无资金成本，零财务杠杆风险，具体来源及精细化用途如下表所示：</w:t>
            </w:r>
          </w:p>
          <w:p w14:paraId="2881F4D8">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资金来源（计划）：</w:t>
            </w:r>
          </w:p>
          <w:p w14:paraId="7564F4E6">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|来源|金额|用途|</w:t>
            </w:r>
          </w:p>
          <w:p w14:paraId="2B04A25C">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w:t>
            </w:r>
          </w:p>
          <w:p w14:paraId="0943B997">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|团队自筹|1万元|服务器租赁、插件开发基础费用|</w:t>
            </w:r>
          </w:p>
          <w:p w14:paraId="7208BCB7">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|拟申请大学生创业训练计划经费|0.5万元|统计引擎测试、法律规则库建设|</w:t>
            </w:r>
          </w:p>
          <w:p w14:paraId="2BC3D64F">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|拟申请学校创新创业孵化支持|0.5万元|存证服务费用、普法推广|</w:t>
            </w:r>
          </w:p>
          <w:p w14:paraId="6C6BE98B">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|合计|2万元||</w:t>
            </w:r>
          </w:p>
          <w:p w14:paraId="14915722">
            <w:pPr>
              <w:spacing w:line="400" w:lineRule="exact"/>
              <w:ind w:firstLine="480" w:firstLineChars="200"/>
              <w:rPr>
                <w:rFonts w:hint="eastAsia" w:ascii="楷体" w:hAnsi="楷体" w:eastAsia="楷体"/>
                <w:bCs/>
                <w:sz w:val="24"/>
                <w:szCs w:val="28"/>
                <w:highlight w:val="none"/>
                <w:lang w:eastAsia="zh-CN"/>
              </w:rPr>
            </w:pPr>
            <w:r>
              <w:rPr>
                <w:rFonts w:hint="eastAsia" w:ascii="楷体" w:hAnsi="楷体" w:eastAsia="楷体"/>
                <w:bCs/>
                <w:sz w:val="24"/>
                <w:szCs w:val="28"/>
                <w:highlight w:val="none"/>
                <w:lang w:val="en-US" w:eastAsia="zh-CN"/>
              </w:rPr>
              <w:t>2.</w:t>
            </w:r>
            <w:r>
              <w:rPr>
                <w:rFonts w:hint="eastAsia" w:ascii="楷体" w:hAnsi="楷体" w:eastAsia="楷体"/>
                <w:bCs/>
                <w:sz w:val="24"/>
                <w:szCs w:val="28"/>
                <w:highlight w:val="none"/>
                <w:lang w:eastAsia="zh-CN"/>
              </w:rPr>
              <w:t>3年财务预测：</w:t>
            </w:r>
          </w:p>
          <w:p w14:paraId="6BCA1B6A">
            <w:pPr>
              <w:spacing w:line="400" w:lineRule="exact"/>
              <w:ind w:firstLine="480" w:firstLineChars="200"/>
              <w:rPr>
                <w:rFonts w:hint="eastAsia" w:ascii="楷体" w:hAnsi="楷体" w:eastAsia="楷体"/>
                <w:bCs/>
                <w:sz w:val="24"/>
                <w:szCs w:val="28"/>
                <w:highlight w:val="none"/>
                <w:lang w:eastAsia="zh-CN"/>
              </w:rPr>
            </w:pPr>
            <w:r>
              <w:rPr>
                <w:rFonts w:hint="eastAsia" w:ascii="楷体" w:hAnsi="楷体" w:eastAsia="楷体"/>
                <w:bCs/>
                <w:sz w:val="24"/>
                <w:szCs w:val="28"/>
                <w:highlight w:val="none"/>
                <w:lang w:eastAsia="zh-CN"/>
              </w:rPr>
              <w:t>结合学生团队运营现实能力、项目公益平台定位，兼顾用户增长逻辑、业务转化逻辑，作出理性保守预测，不做脱离现实的过高预估。项目收入主要来源于面向平台企业的合规体检报告及面向研究机构的数据授权服务。C 端个人用户、公益机构持续免费开放。</w:t>
            </w:r>
          </w:p>
          <w:p w14:paraId="289C9280">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|指标|第1年|第2年|第3年|</w:t>
            </w:r>
          </w:p>
          <w:p w14:paraId="19E5563E">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w:t>
            </w:r>
          </w:p>
          <w:p w14:paraId="307B0CEF">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|插件注册用户|5000|3万|10万|</w:t>
            </w:r>
          </w:p>
          <w:p w14:paraId="226BBB57">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|有效观测数据（条）|10万|100万|500万|</w:t>
            </w:r>
          </w:p>
          <w:p w14:paraId="107350B7">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|移交公益诉讼线索（份）|10|50|200|</w:t>
            </w:r>
          </w:p>
          <w:p w14:paraId="253616CD">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|合规报告/数据服务收入（万元）|2|15|50|</w:t>
            </w:r>
          </w:p>
          <w:p w14:paraId="34FA93E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定位为公益性平台，C端和公益组织永久免费，前期以团队自筹和学校支持为主，暂不涉及外部融资。收入来源主要为面向平台企业的合规体检报告及面向研究机构的数据授权服务，收入规模依据公益平台定位和学生团队运营能力合理估算。</w:t>
            </w:r>
          </w:p>
          <w:p w14:paraId="1A29AA9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第 1 年处于产品打磨试点阶段，用户规模有限，以工具验证、与公益机构初步对接为主，收入规模较小；第 2 年产品迭代成熟，扩大合作机构范围，商业服务业务逐步拓展；第 3 年平台影响力提升，线索产出规模扩大，商业付费客户稳步增长。</w:t>
            </w:r>
          </w:p>
          <w:p w14:paraId="2A86AA1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财务层面充分考虑风险：前期收入体量有限，依靠学校扶持资金弥补缺口；随着付费业务逐步成熟，预期后期可以实现收支平衡。项目暂不涉及外部融资，坚持轻资产运行，优先完成产品落地验证，后续视项目发展情况再评估融资必要性。</w:t>
            </w:r>
          </w:p>
          <w:p w14:paraId="6359A38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3.</w:t>
            </w:r>
            <w:r>
              <w:rPr>
                <w:rFonts w:hint="eastAsia" w:ascii="楷体" w:hAnsi="楷体" w:eastAsia="楷体"/>
                <w:bCs/>
                <w:sz w:val="24"/>
                <w:szCs w:val="28"/>
                <w:lang w:eastAsia="zh-CN"/>
              </w:rPr>
              <w:t>利润表预测（单位：万元）</w:t>
            </w:r>
          </w:p>
          <w:p w14:paraId="68F7809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本项目成本主要为服务器运维费、技术升级费、数据存证费、推广服务费、办公耗材费，无高额人力成本（学生团队自主运营，无全职薪酬支出）、无场地租金成本（依托学校孵化基地免费场地），整体成本极低、盈利压力小。收入仅来源于企业合规服务与科研数据授权，公益板块无营收。</w:t>
            </w:r>
          </w:p>
          <w:tbl>
            <w:tblPr>
              <w:tblStyle w:val="10"/>
              <w:tblW w:w="7500" w:type="dxa"/>
              <w:tblInd w:w="-1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25"/>
              <w:gridCol w:w="895"/>
              <w:gridCol w:w="895"/>
              <w:gridCol w:w="895"/>
              <w:gridCol w:w="895"/>
              <w:gridCol w:w="895"/>
            </w:tblGrid>
            <w:tr w14:paraId="7E3E6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6262A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利润指标</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41504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第1年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30F956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第2年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0A9A1A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第3年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3C6278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第4年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837CC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第5年</w:t>
                  </w:r>
                </w:p>
              </w:tc>
            </w:tr>
            <w:tr w14:paraId="3ECFC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F9C3C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一、营业收入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65E2F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D13B0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15.00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F168B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69F85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90.00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CBCD9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140.00</w:t>
                  </w:r>
                </w:p>
              </w:tc>
            </w:tr>
            <w:tr w14:paraId="249B3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401EA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其中：合规体检服务收入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B97CB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9F24E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9.00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9E42D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8D26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55.00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730F0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85.00</w:t>
                  </w:r>
                </w:p>
              </w:tc>
            </w:tr>
            <w:tr w14:paraId="5BF5E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F4343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数据授权服务收入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D296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F6E91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07485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33716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35.00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71A4B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55.00</w:t>
                  </w:r>
                </w:p>
              </w:tc>
            </w:tr>
            <w:tr w14:paraId="346EE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6C3CE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二、营业总成本</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B14FE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AD643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11.20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193CD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1C84C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6A593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75.00</w:t>
                  </w:r>
                </w:p>
              </w:tc>
            </w:tr>
            <w:tr w14:paraId="11FB4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382C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其中：技术运维成本</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E4B71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97A70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0EF0D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14.00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53CAD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DACD7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30.00</w:t>
                  </w:r>
                </w:p>
              </w:tc>
            </w:tr>
            <w:tr w14:paraId="19F2F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A69D0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数据建设及存证成本</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82B19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660FC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E699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700BA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16.00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1ABD0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22.00</w:t>
                  </w:r>
                </w:p>
              </w:tc>
            </w:tr>
            <w:tr w14:paraId="4F147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3530A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普法推广及合作成本</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429E1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C9D3D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5FC6F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F4FB8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14.00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3B9B8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23.00</w:t>
                  </w:r>
                </w:p>
              </w:tc>
            </w:tr>
            <w:tr w14:paraId="2361B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34AD0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三、营业利润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FE605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A19D7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DB4EB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91A64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3EE1D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65.00</w:t>
                  </w:r>
                </w:p>
              </w:tc>
            </w:tr>
            <w:tr w14:paraId="77A2D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3141A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四、政府补助（高校扶持）</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5509B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13F6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B2486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F1165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0F17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r>
            <w:tr w14:paraId="0132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99ED1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五、利润总额</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1DC6A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65549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4.10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7DF74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5A3C5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93AAA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65.00</w:t>
                  </w:r>
                </w:p>
              </w:tc>
            </w:tr>
            <w:tr w14:paraId="3871C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9C026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六、净利润（小微企业免税）</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726BA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5B864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4.10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DD1CD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ABE38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0C848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65.00</w:t>
                  </w:r>
                </w:p>
              </w:tc>
            </w:tr>
          </w:tbl>
          <w:p w14:paraId="1B9FCF2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利润表核心说明：项目第1年处于产品试点打磨阶段，营收规模较小，前期投入集中，存在小幅亏损，亏损缺口由团队自筹资金补足，无经营风险；第2年产品迭代成熟，商业服务落地见效，实现扭亏为盈；第3-5年商业模式完全成熟，付费客户稳步增长，净利润持续稳步提升。同时项目为大学生双创公益项目，符合小微企业免税政策，无需缴纳企业所得税，净利润即为项目纯收益。</w:t>
            </w:r>
          </w:p>
          <w:p w14:paraId="323D952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4.</w:t>
            </w:r>
            <w:r>
              <w:rPr>
                <w:rFonts w:hint="eastAsia" w:ascii="楷体" w:hAnsi="楷体" w:eastAsia="楷体"/>
                <w:bCs/>
                <w:sz w:val="24"/>
                <w:szCs w:val="28"/>
                <w:lang w:eastAsia="zh-CN"/>
              </w:rPr>
              <w:t>资产负债表预测（单位：万元）</w:t>
            </w:r>
          </w:p>
          <w:p w14:paraId="5B89398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本项目全程坚持轻资产、零负债运营模式，无银行贷款、无民间借贷、无股权融资负债，资产结构优质、风险极低。资产主要为货币资金、线上无形资产（系统著作权、知识库版权、平台系统资产），无固定资产积压、无坏账风险。</w:t>
            </w:r>
          </w:p>
          <w:tbl>
            <w:tblPr>
              <w:tblStyle w:val="10"/>
              <w:tblW w:w="7500" w:type="dxa"/>
              <w:tblInd w:w="-1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24"/>
              <w:gridCol w:w="832"/>
              <w:gridCol w:w="832"/>
              <w:gridCol w:w="836"/>
              <w:gridCol w:w="836"/>
              <w:gridCol w:w="840"/>
            </w:tblGrid>
            <w:tr w14:paraId="791F1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3DE1B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资产负债指标</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5B02ED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第1年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22A31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第2年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40249D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第3年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7CD969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第4年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265E1C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第5年</w:t>
                  </w:r>
                </w:p>
              </w:tc>
            </w:tr>
            <w:tr w14:paraId="28A3D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D5550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一、总资产</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DED42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F1A4C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8DE29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24.60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E1ED7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62.60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6C755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127.60</w:t>
                  </w:r>
                </w:p>
              </w:tc>
            </w:tr>
            <w:tr w14:paraId="4584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9E4A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1.货币资金</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66A46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A19C2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EE1CB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246F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58.30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15C74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123.30</w:t>
                  </w:r>
                </w:p>
              </w:tc>
            </w:tr>
            <w:tr w14:paraId="2D34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58CC6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2.无形资产（系统、知识库、版权）</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5EB60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F6A9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911BA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EDA1C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59ABB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4.30</w:t>
                  </w:r>
                </w:p>
              </w:tc>
            </w:tr>
            <w:tr w14:paraId="109AB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3FBD2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二、总负债</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ACCA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433DF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B36A7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7302F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5BA3E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r>
            <w:tr w14:paraId="7669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01C23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三、所有者权益</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2FA19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88315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5054F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24.60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F4C6D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62.60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120C0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127.60</w:t>
                  </w:r>
                </w:p>
              </w:tc>
            </w:tr>
            <w:tr w14:paraId="78D05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63BE1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1.实收资本（团队自筹）</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E5B85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F6C5D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ACF43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CAEF6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8BB51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r>
            <w:tr w14:paraId="3C1E7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AD47F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2.未分配利润</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CA40B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F7F4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DD20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22.60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3FF11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60.60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B5FC9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125.60</w:t>
                  </w:r>
                </w:p>
              </w:tc>
            </w:tr>
          </w:tbl>
          <w:p w14:paraId="13C7E7A3">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资产负债表核心说明：项目全程零负债，无任何偿债压力，资产结构极度安全。资产增长核心来源于项目经营性利润积累，而非外部融资，资产质量高、增长稳健。无形资产为项目核心核心资产，包含平台系统、法律知识库、软件著作权等，是项目核心竞争力的核心载体，长期稳定赋能项目运营。所有者权益持续逐年增长，项目资产规模良性扩张，无财务风险。</w:t>
            </w:r>
          </w:p>
          <w:p w14:paraId="58BCD246">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5.现金流量表预测（单位：万元）</w:t>
            </w:r>
          </w:p>
          <w:p w14:paraId="0C1FAEF1">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项目现金流全部为经营性现金流，无投资、筹资现金流，现金流结构简单、清晰、稳定，资金流转可控，无资金断裂风险。</w:t>
            </w:r>
          </w:p>
          <w:tbl>
            <w:tblPr>
              <w:tblStyle w:val="10"/>
              <w:tblW w:w="7500" w:type="dxa"/>
              <w:tblInd w:w="-1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95"/>
              <w:gridCol w:w="921"/>
              <w:gridCol w:w="921"/>
              <w:gridCol w:w="921"/>
              <w:gridCol w:w="921"/>
              <w:gridCol w:w="921"/>
            </w:tblGrid>
            <w:tr w14:paraId="09394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55934E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现金流量指标</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121497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第1年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1D7AC9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第2年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4D8F6F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第3年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0879BD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第4年</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B03B8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第5年</w:t>
                  </w:r>
                </w:p>
              </w:tc>
            </w:tr>
            <w:tr w14:paraId="79D38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C32EF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一、经营活动现金流入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187D9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F1225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15.30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85450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42EB1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90.00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03054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140.00</w:t>
                  </w:r>
                </w:p>
              </w:tc>
            </w:tr>
            <w:tr w14:paraId="2FE3D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F117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其中：营业收入现金流入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B27E7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0505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15.00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97E97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5D4C2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90.00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071A7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140.00</w:t>
                  </w:r>
                </w:p>
              </w:tc>
            </w:tr>
            <w:tr w14:paraId="3081B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30D5C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扶持资金现金流入</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941CC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0.50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2596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22EFA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513E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B2F2C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r>
            <w:tr w14:paraId="51867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EF3EB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二、经营活动现金流出</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6085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2.80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BD518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11.20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9A40F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2B6CC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52.00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3A13F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75.00</w:t>
                  </w:r>
                </w:p>
              </w:tc>
            </w:tr>
            <w:tr w14:paraId="16235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BFFFC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三、经营活动现金净流量</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7A2DC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16846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4.10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61FBE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AB03D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38.00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A2471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65.00</w:t>
                  </w:r>
                </w:p>
              </w:tc>
            </w:tr>
            <w:tr w14:paraId="5A71D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A0C8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四、投资活动现金净流量</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520E2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D7800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59E30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DA31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8B85C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r>
            <w:tr w14:paraId="71328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17CF5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五、筹资活动现金净流量</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DD58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6B27A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02DF5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C6B26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18D1A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0.00</w:t>
                  </w:r>
                </w:p>
              </w:tc>
            </w:tr>
            <w:tr w14:paraId="0CB5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9A0DF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六、期末现金及等价物余额</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4BDAC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C7D1E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4.30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D91A5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20.30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D41E3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58.30</w:t>
                  </w:r>
                </w:p>
              </w:tc>
              <w:tc>
                <w:tcPr>
                  <w:tcW w:w="0" w:type="auto"/>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203CC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highlight w:val="yellow"/>
                    </w:rPr>
                  </w:pPr>
                  <w:r>
                    <w:rPr>
                      <w:rFonts w:ascii="宋体" w:hAnsi="宋体" w:eastAsia="宋体" w:cs="宋体"/>
                      <w:kern w:val="0"/>
                      <w:sz w:val="20"/>
                      <w:szCs w:val="20"/>
                      <w:highlight w:val="yellow"/>
                      <w:lang w:val="en-US" w:eastAsia="zh-CN" w:bidi="ar"/>
                    </w:rPr>
                    <w:t>123.30</w:t>
                  </w:r>
                </w:p>
              </w:tc>
            </w:tr>
          </w:tbl>
          <w:p w14:paraId="3C51DCF8">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现金流量表核心说明：项目无对外投资、无外部筹资行为，现金流完全依托日常经营产生，结构极简、风险极低。第1年现金流小幅赤字，依托初始自筹资金储备平稳覆盖；第2年起经营性现金流持续为正，资金回笼速度快、流动性充足；3-5年现金流持续大幅增长，项目资金储备充裕，可完全覆盖技术迭代、市场推广、公益运营等全部支出，具备极强的自我造血与抗风险能力。</w:t>
            </w:r>
          </w:p>
          <w:p w14:paraId="7D03AB93">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6.财务编制指标说明</w:t>
            </w:r>
          </w:p>
          <w:p w14:paraId="05322C5E">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本次3-5年财务报表及财务数据预测，严格遵循《小企业会计准则》《大学生创新创业项目财务核算规范》，结合项目公益属性、学生运营、轻资产、无负债的专属特点编制，所有指标口径统一、测算逻辑清晰、贴合行业实际，具体核心编制说明如下：</w:t>
            </w:r>
          </w:p>
          <w:p w14:paraId="11A56AEB">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（1）收入指标编制依据</w:t>
            </w:r>
          </w:p>
          <w:p w14:paraId="07B55790">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营业收入仅统计市场化商业服务收入，公益免费板块不核算营收，严格区分公益属性与商业盈利板块。收入测算依托平台用户增长、数据积累规模、合作机构数量、行业合规服务单价均值综合测算，采用保守审慎测算口径，不预估超额增长，所有收入数据均低于行业平均增速，确保数据真实可落地。</w:t>
            </w:r>
          </w:p>
          <w:p w14:paraId="0DACD372">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（2）成本指标编制依据</w:t>
            </w:r>
          </w:p>
          <w:p w14:paraId="34F7DA43">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项目成本仅核算经营性直接成本与必要运营成本，剔除所有非必要冗余支出。无人员薪酬成本（学生团队自主运营）、无场地租赁成本（依托学校孵化基地免费场地）、无营销推广溢价成本。成本增速与用户规模、数据体量、业务规模增速正向匹配，业务扩张同步小幅增加运维、存证、推广成本，贴合实际运营逻辑。</w:t>
            </w:r>
          </w:p>
          <w:p w14:paraId="013FECBB">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（3）资产负债指标编制依据</w:t>
            </w:r>
          </w:p>
          <w:p w14:paraId="5F13BE4F">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资产核算仅包含货币资金与核心无形资产，不核算虚拟资产、溢价资产，资产计价真实稳健。全程不确认任何负债项目，坚守零负债运营原则。所有者权益以初始自筹资金+历年未分配利润累计核算，精准反映项目真实净资产水平。</w:t>
            </w:r>
          </w:p>
          <w:p w14:paraId="77FFB053">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（4）现金流指标编制依据</w:t>
            </w:r>
          </w:p>
          <w:p w14:paraId="75CC8611">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仅核算经营类现金流，无投资、筹资现金流，完全匹配项目不融资、不投资、专注主营业务的运营规划。现金流入以实际到账营收、扶持资金为准，现金流出以实际支付的运维、建设、推广费用为准，精准反映项目真实资金流转状态。</w:t>
            </w:r>
          </w:p>
          <w:p w14:paraId="4D404299">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（5）税务指标编制依据</w:t>
            </w:r>
          </w:p>
          <w:p w14:paraId="75259FD7">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项目为大学生初创小微企业，符合国家双创扶持税收优惠政策，免征企业所得税、增值税，因此净利润与利润总额数据一致，无税费抵扣，贴合当下大学生创业税收政策实际情况。</w:t>
            </w:r>
          </w:p>
          <w:p w14:paraId="3E821F20">
            <w:pPr>
              <w:numPr>
                <w:ilvl w:val="0"/>
                <w:numId w:val="2"/>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社会价值</w:t>
            </w:r>
          </w:p>
          <w:p w14:paraId="48D2D31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eastAsia="zh-CN"/>
              </w:rPr>
              <w:t>本项目兼具突出的社会价值与经济价值，不只是一款技术工具，更是数字时代算法治理体系当中第三方公益监督力量，在消费者权益保障、公益司法落地、产业转型升级、区域经济、民生福祉、社会文明建设等多个维度发挥正向作用。</w:t>
            </w:r>
          </w:p>
          <w:p w14:paraId="6C4A77B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1.保障消费者公平交易权，改善民生福祉，释放内需潜力</w:t>
            </w:r>
          </w:p>
          <w:p w14:paraId="1D3059E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平台通过“检测—取证—维权”一体化服务，将消费者“感觉被杀熟”的模糊体验转化为可检验、可举证的维权依据，降低个体维权门槛，让每一位消费者在算法面前被公平对待。</w:t>
            </w:r>
          </w:p>
          <w:p w14:paraId="6E4766F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在数字消费场景下，普通消费者面对平台算法处于技术弱势地位，遭遇大数据杀熟时往往只有主观感受，缺少客观证据，维权陷入困境。平台打造 “检测 — 取证 — 维权” 一体化服务，把消费者 “感觉被杀熟” 这种模糊主观体验，转化为客观可检验、具备存证效力、可供维权使用的证据材料，极大降低普通个体维权的时间成本、技术门槛。</w:t>
            </w:r>
          </w:p>
          <w:p w14:paraId="3A59061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让算法技术不再成为侵害消费者的工具，保障不同身份、不同消费能力的消费者都能够在算法面前获得平等待遇，落实消费者公平交易权。从民生角度来看，切实守护亿万线上消费者财产利益，提升居民数字消费安全感；消费环境改善能够进一步提振居民消费信心，助力释放国内消费内需，服务民生改善。</w:t>
            </w:r>
          </w:p>
          <w:p w14:paraId="4CB91436">
            <w:pPr>
              <w:numPr>
                <w:ilvl w:val="0"/>
                <w:numId w:val="0"/>
              </w:numPr>
              <w:spacing w:line="400" w:lineRule="exact"/>
              <w:ind w:left="0" w:leftChars="0" w:firstLine="480" w:firstLineChars="200"/>
              <w:rPr>
                <w:rFonts w:hint="eastAsia" w:ascii="楷体" w:hAnsi="楷体" w:eastAsia="楷体"/>
                <w:bCs/>
                <w:sz w:val="24"/>
                <w:szCs w:val="28"/>
                <w:lang w:val="en-US" w:eastAsia="zh-CN"/>
              </w:rPr>
            </w:pPr>
            <w:r>
              <w:rPr>
                <w:rFonts w:hint="eastAsia" w:ascii="楷体" w:hAnsi="楷体" w:eastAsia="楷体" w:cs="Times New Roman"/>
                <w:bCs/>
                <w:kern w:val="2"/>
                <w:sz w:val="24"/>
                <w:szCs w:val="28"/>
                <w:lang w:val="en-US" w:eastAsia="zh-CN" w:bidi="ar-SA"/>
              </w:rPr>
              <w:t>2.</w:t>
            </w:r>
            <w:r>
              <w:rPr>
                <w:rFonts w:hint="eastAsia" w:ascii="楷体" w:hAnsi="楷体" w:eastAsia="楷体"/>
                <w:bCs/>
                <w:sz w:val="24"/>
                <w:szCs w:val="28"/>
                <w:lang w:eastAsia="zh-CN"/>
              </w:rPr>
              <w:t>赋能公益诉讼，提升维权效率，</w:t>
            </w:r>
            <w:r>
              <w:rPr>
                <w:rFonts w:hint="eastAsia" w:ascii="楷体" w:hAnsi="楷体" w:eastAsia="楷体"/>
                <w:bCs/>
                <w:sz w:val="24"/>
                <w:szCs w:val="28"/>
                <w:lang w:val="en-US" w:eastAsia="zh-CN"/>
              </w:rPr>
              <w:t>完善社会治理链条</w:t>
            </w:r>
          </w:p>
          <w:p w14:paraId="77C259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算法歧视侵权往往属于大规模分散性利益受损，单个受害者损失不大，但受害群体广泛，依靠个人民事诉讼很难实现有效救济，公益诉讼制度正是应对这类问题的重要制度设计。但现实当中，消协、检察机关开展个人信息保护公益诉讼长期面临线索发现难、证据固定难、技术鉴定难的现实堵点。</w:t>
            </w:r>
          </w:p>
          <w:p w14:paraId="00F35E4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平台为消协组织、检察机关提供规模化、标准化的算法歧视案件线索和司法级证据包，缓解公益诉讼主体在线索发现、证据固定、技术鉴定等方面面临的实际困难，推动个人信息保护公益诉讼制度在实践中更好落地。本项目可以为消协组织、检察机关公益诉讼部门提供规模化、标准化的算法歧视案件线索，输出司法级证据包，补齐公益维权主体的技术短板，减少公益机构人工摸排调查成本，提升公益诉讼办案效率。推动《个人信息保护法》公益诉讼制度从法律条文走向实务实践，完善数字社会治理链条，助力共建共治共享的社会治理格局建设。</w:t>
            </w:r>
          </w:p>
          <w:p w14:paraId="6F1048BF">
            <w:pPr>
              <w:spacing w:line="400" w:lineRule="exact"/>
              <w:ind w:firstLine="480" w:firstLineChars="200"/>
              <w:rPr>
                <w:rFonts w:hint="default" w:ascii="楷体" w:hAnsi="楷体" w:eastAsia="楷体"/>
                <w:bCs/>
                <w:sz w:val="24"/>
                <w:szCs w:val="28"/>
                <w:lang w:val="en-US" w:eastAsia="zh-CN"/>
              </w:rPr>
            </w:pPr>
            <w:r>
              <w:rPr>
                <w:rFonts w:hint="eastAsia" w:ascii="楷体" w:hAnsi="楷体" w:eastAsia="楷体"/>
                <w:bCs/>
                <w:sz w:val="24"/>
                <w:szCs w:val="28"/>
                <w:lang w:eastAsia="zh-CN"/>
              </w:rPr>
              <w:t>3.推动算法公平治理，助力平台经济规范健康发展，</w:t>
            </w:r>
            <w:r>
              <w:rPr>
                <w:rFonts w:hint="eastAsia" w:ascii="楷体" w:hAnsi="楷体" w:eastAsia="楷体"/>
                <w:bCs/>
                <w:sz w:val="24"/>
                <w:szCs w:val="28"/>
                <w:lang w:val="en-US" w:eastAsia="zh-CN"/>
              </w:rPr>
              <w:t>创造良好产业生态</w:t>
            </w:r>
          </w:p>
          <w:p w14:paraId="081D6A9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项目以第三方公益监测平台身份，践行 “用算法监督算法” 的技术治理路径，为国家算法治理提供第三方可验证、可解释的技术工具支撑。不同于监管机关直接执法，本项目作为社会第三方力量，形成监管、企业自治、社会监督多元共治的有益补充。助力构建公平竞争的市场环境，推动平台经济在正确轨道上健康发展。</w:t>
            </w:r>
          </w:p>
          <w:p w14:paraId="30636C9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方面，项目监测发现的风险线索倒逼平台企业正视算法歧视风险，推动平台主动优化算法模型，落实算法公平主体责任，促进平台企业合规能力提升，带动整个数字消费产业规范化转型升级；另一方面，项目产出的合规评估服务，也帮助企业主动排查风险，减少企业因算法违规遭受行政处罚的风险，助力平台经济规范健康持续发展，营造公平有序的数字市场竞争环境。</w:t>
            </w:r>
          </w:p>
          <w:p w14:paraId="67F9EFF6">
            <w:pPr>
              <w:numPr>
                <w:ilvl w:val="0"/>
                <w:numId w:val="3"/>
              </w:num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落地前景、经济价值、区域发展带动、就业带动、国际化潜力</w:t>
            </w:r>
          </w:p>
          <w:p w14:paraId="4A13C7A5">
            <w:pPr>
              <w:numPr>
                <w:ilvl w:val="0"/>
                <w:numId w:val="0"/>
              </w:numPr>
              <w:spacing w:line="400" w:lineRule="exact"/>
              <w:rPr>
                <w:rFonts w:hint="eastAsia" w:ascii="楷体" w:hAnsi="楷体" w:eastAsia="楷体"/>
                <w:bCs/>
                <w:sz w:val="24"/>
                <w:szCs w:val="28"/>
                <w:lang w:val="en-US" w:eastAsia="zh-CN"/>
              </w:rPr>
            </w:pPr>
            <w:r>
              <w:rPr>
                <w:rFonts w:hint="eastAsia" w:ascii="楷体" w:hAnsi="楷体" w:eastAsia="楷体"/>
                <w:bCs/>
                <w:sz w:val="24"/>
                <w:szCs w:val="28"/>
                <w:lang w:val="en-US" w:eastAsia="zh-CN"/>
              </w:rPr>
              <w:t xml:space="preserve">  （1）项目落地执行与产业转化价值</w:t>
            </w:r>
          </w:p>
          <w:p w14:paraId="256FD9B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Cs/>
                <w:sz w:val="24"/>
                <w:szCs w:val="28"/>
                <w:lang w:val="en-US" w:eastAsia="zh-CN"/>
              </w:rPr>
            </w:pPr>
            <w:r>
              <w:rPr>
                <w:rFonts w:hint="eastAsia" w:ascii="楷体" w:hAnsi="楷体" w:eastAsia="楷体"/>
                <w:bCs/>
                <w:sz w:val="24"/>
                <w:szCs w:val="28"/>
                <w:lang w:val="en-US" w:eastAsia="zh-CN"/>
              </w:rPr>
              <w:t>项目具备完整实验落地基础，依托学生团队开展原型开发、插件测试、数据模拟观测、证据存证实验、公益线索模拟移交实验，完成产品原型验证。项目落地之后，可以带动数字治理技术应用场景创新，拓展算法审计细分赛道应用边界。</w:t>
            </w:r>
          </w:p>
          <w:p w14:paraId="62E40C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Cs/>
                <w:sz w:val="24"/>
                <w:szCs w:val="28"/>
                <w:lang w:val="en-US" w:eastAsia="zh-CN"/>
              </w:rPr>
            </w:pPr>
            <w:r>
              <w:rPr>
                <w:rFonts w:hint="eastAsia" w:ascii="楷体" w:hAnsi="楷体" w:eastAsia="楷体"/>
                <w:bCs/>
                <w:sz w:val="24"/>
                <w:szCs w:val="28"/>
                <w:lang w:val="en-US" w:eastAsia="zh-CN"/>
              </w:rPr>
              <w:t>从区域经济与产业升级角度：项目扎根高校创新创业孵化载体，依托高校法学、计算机交叉学科资源开展技术研发，能够带动本地数字治理相关技术创新实践，助力数字技术与法治监督交叉产业发展。项目探索的第三方公益算法监测模式，模式成熟后可复制推广到全国各地区，为各地消费者权益保护、数字监管提供可复用技术方案，赋能多地数字治理能力提升。</w:t>
            </w:r>
          </w:p>
          <w:p w14:paraId="20E5664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楷体" w:hAnsi="楷体" w:eastAsia="楷体"/>
                <w:bCs/>
                <w:sz w:val="24"/>
                <w:szCs w:val="28"/>
                <w:lang w:val="en-US" w:eastAsia="zh-CN"/>
              </w:rPr>
            </w:pPr>
            <w:r>
              <w:rPr>
                <w:rFonts w:hint="eastAsia" w:ascii="楷体" w:hAnsi="楷体" w:eastAsia="楷体"/>
                <w:bCs/>
                <w:sz w:val="24"/>
                <w:szCs w:val="28"/>
                <w:lang w:val="en-US" w:eastAsia="zh-CN"/>
              </w:rPr>
              <w:t>盈利潜力层面，项目商业模式清晰，商业付费业务板块具备持续盈利潜力，以商业收入反哺公益业务，实现项目自我造血，不需要长期依赖外部输血；长远看模式具备一定国际化发展参考潜力，算法公平、消费者数字权益保护是全球数字治理共同议题，本项目探索的 “技术 + 法律 + 公益维权” 的解决方案，未来可为其他国家和地区数字消费者权益保护提供实践参考样本。</w:t>
            </w:r>
          </w:p>
          <w:p w14:paraId="0E3DE4E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（2）带动就业数量与质量</w:t>
            </w:r>
          </w:p>
          <w:p w14:paraId="3DF8AA2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项目直接创造创新创业实践岗位，团队内部容纳计算机开发、法律合规、运营推广、商务对接等多方向实践岗位，为在校大学生提供创新创业实战锻炼机会。随着项目规模扩大，未来可以吸纳技术开发、法律研究、数据处理、公益运营、市场商务等全职岗位，带动高质量就业。</w:t>
            </w:r>
          </w:p>
          <w:p w14:paraId="37BE6B0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间接层面，项目赋能消协、检察机关公益诉讼工作，提升现有维权工作人员工作效能；带动上下游云服务、存证技术服务商业务需求扩张，间接拉动上下游产业就业岗位；同时项目培养数字法治复合型人才，为社会输送懂技术、懂法律的交叉领域人才，优化相关行业人才供给质量。</w:t>
            </w:r>
          </w:p>
          <w:p w14:paraId="0C8AA51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（3）社会文明与生态文明建设</w:t>
            </w:r>
          </w:p>
          <w:p w14:paraId="4E99A24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在社会文明层面，项目同步承担数字普法职能，借助产品渠道面向广大网民普及算法风险、个人信息保护法律知识，提升全社会数字法治素养，培育理性数字消费文化，推动形成尊重消费者数字权益的社会共识。引导社会公众理性看待算法技术，树立算法公平价值理念，助推数字社会文明建设。</w:t>
            </w:r>
          </w:p>
          <w:p w14:paraId="63EC540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生态文明角度：项目以数字化工具替代大量人工线下调查、纸质卷宗材料，以线上监测、电子存证、电子证据包替代传统纸质调查材料，减少纸质材料消耗，践行绿色低碳运行模式；项目推动数字经济健康有序发展，引导平台产业走向高质量可持续发展道路，助力数字产业绿色健康发展。</w:t>
            </w:r>
          </w:p>
          <w:p w14:paraId="4A95C17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（4）多元社会综合效益总结</w:t>
            </w:r>
          </w:p>
          <w:p w14:paraId="38B69BB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楷体" w:hAnsi="楷体" w:eastAsia="楷体"/>
                <w:bCs/>
                <w:sz w:val="24"/>
                <w:szCs w:val="28"/>
                <w:lang w:val="en-US" w:eastAsia="zh-CN"/>
              </w:rPr>
            </w:pPr>
            <w:r>
              <w:rPr>
                <w:rFonts w:hint="default" w:ascii="楷体" w:hAnsi="楷体" w:eastAsia="楷体"/>
                <w:bCs/>
                <w:sz w:val="24"/>
                <w:szCs w:val="28"/>
                <w:lang w:val="en-US" w:eastAsia="zh-CN"/>
              </w:rPr>
              <w:t>综合来看，项目经济价值与社会价值高度耦合。经济价值体现在激活算法合规细分市场、探索商业公益平衡的新业态，带动数字治理技术产业创新；社会价值落脚于消费者民生保障、公益司法落地、社会共治体系完善、人才培养、社会数字文明提升。项目不是单纯追求商业利润的互联网产品，而是面向数字时代社会公共问题提供的技术解决方案，兼顾微观个体权益保护与宏观产业、社会治理发展目标，实现技术向善，让数字技术发展成果普惠广大消费者。</w:t>
            </w:r>
          </w:p>
        </w:tc>
      </w:tr>
    </w:tbl>
    <w:p w14:paraId="34C4A6D2">
      <w:pPr>
        <w:jc w:val="left"/>
        <w:rPr>
          <w:rFonts w:hint="default" w:eastAsia="宋体"/>
          <w:lang w:val="en-US" w:eastAsia="zh-CN"/>
        </w:rPr>
      </w:pPr>
      <w:r>
        <w:rPr>
          <w:rStyle w:val="23"/>
          <w:rFonts w:hint="eastAsia"/>
          <w:b/>
          <w:bCs/>
          <w:szCs w:val="28"/>
          <w:lang w:val="en-US" w:eastAsia="zh-CN"/>
        </w:rPr>
        <w:t>四、团队协作</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06AA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1" w:hRule="atLeast"/>
          <w:jc w:val="center"/>
        </w:trPr>
        <w:tc>
          <w:tcPr>
            <w:tcW w:w="9072" w:type="dxa"/>
          </w:tcPr>
          <w:p w14:paraId="23FA6E8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（一）项目简介</w:t>
            </w:r>
          </w:p>
          <w:p w14:paraId="779AE6E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项目名称：价衡卫士——大数据价格歧视智能监测与公益诉讼维权服务平台</w:t>
            </w:r>
          </w:p>
          <w:p w14:paraId="1F7DBCC9">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eastAsia="zh-CN"/>
              </w:rPr>
              <w:t>项目简介：</w:t>
            </w:r>
            <w:r>
              <w:rPr>
                <w:rFonts w:hint="eastAsia" w:ascii="楷体" w:hAnsi="楷体" w:eastAsia="楷体"/>
                <w:bCs/>
                <w:sz w:val="24"/>
                <w:szCs w:val="28"/>
                <w:lang w:val="en-US" w:eastAsia="zh-CN"/>
              </w:rPr>
              <w:t>价衡卫士是一款立足数字经济治理痛点、聚焦消费者权益保护，由法学、计算机科学交叉专业学生核心组建团队自主研发的大数据价格歧视“检测+取证+维权”一体化公益服务平台。当前大数据杀熟、算法价格歧视乱象频发，电商、出行、文旅等各类线上消费场景中，平台依托用户画像、消费习惯、设备信息实施差异化定价的行为屡禁不止，严重侵害消费者公平交易权，但行业长期存在用户取证难、歧视判定难、维权成本高、公益举证缺数据的四大核心痛点。传统维权模式依赖消费者手动截图、人工举证，证据碎片化、法律效力弱，且缺乏专业的技术检测与法律认定支撑，公益诉讼案件因证据不足、技术壁垒高难以落地，市场亟需专业化、智能化、标准化的维权解决方案。</w:t>
            </w:r>
          </w:p>
          <w:p w14:paraId="29D38758">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基于上述行业痛点，本项目深度融合法学理论与大数据技术，打造全链路闭环维权服务体系。平台核心运行逻辑为：在获得用户明确授权的前提下，通过轻量化浏览器插件合规采集用户个人可见的商品、服务价格数据、交易场景数据及用户基础消费标签数据，全程遵循个人信息保护相关法律法规，严格恪守数据最小化、知情同意原则，杜绝违规采集、滥用用户信息。采集后的海量合规数据自动入库存储，通过团队自主研发的多变量控制统计推断引擎，精准剔除地域、时段、套餐规格、服务权益等干扰变量，完成价格差异的显著性检验，智能甄别人工难以识别的隐性算法价格歧视行为，自动输出“疑似算法歧视”判定结果。在此基础上，依托搭建的专业法律规则库，通过法律智能匹配模块完成违规行为定性、法条适配、侵权情形核验，生成标准化、专业化的法律评估报告，最终整合检测数据、统计结论、法律研判内容，固化形成具备司法参考价值、可用于维权举证的电子证据包。平台最终对接消费者协会、检察机关、高校法律援助中心等官方维权机构，为个人消费者维权、公益诉讼案件办理提供完整数据支撑与证据支撑，打通“技术检测—法律认定—证据固化—公益维权”的全链条服务闭环。</w:t>
            </w:r>
          </w:p>
          <w:p w14:paraId="49A3DFE4">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本项目属于典型的学科交叉、科创赋能公益类项目，依托人工智能法治、大数据分析两大前沿领域，实现技术创新与法律服务的深度融合，既响应了国家规范算法治理、保护消费者权益、优化数字营商环境的政策号召，又切实解决了普通消费者数字维权的现实难题，具备极强的社会价值、公益价值与落地可行性。</w:t>
            </w:r>
          </w:p>
          <w:p w14:paraId="7BF1D02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所获资质及荣誉：</w:t>
            </w:r>
            <w:r>
              <w:rPr>
                <w:rFonts w:hint="eastAsia" w:ascii="楷体" w:hAnsi="楷体" w:eastAsia="楷体"/>
                <w:bCs/>
                <w:sz w:val="24"/>
                <w:szCs w:val="28"/>
                <w:lang w:val="en-US" w:eastAsia="zh-CN"/>
              </w:rPr>
              <w:t>项目目前处于核心技术研发与原型落地初期阶段，平台功能迭代、体系搭建仍在持续推进，暂未申报获取官方资质与赛事荣誉。但核心团队成员均为学科竞赛与科创实践骨干，具备扎实的专业能力与丰富的赛事实战经验，先后斩获“挑战杯”全国大学生课外学术科技作品竞赛、“外研社·国才杯”全国英语综合能力大赛、校级模拟法庭大赛、辩论赛事、创新创业专项赛事等多项各级各类学科竞赛荣誉，熟练掌握科创项目申报、学术研究、成果打磨、答辩展示全流程技巧，为项目后续资质申报、荣誉斩获、成果转化奠定了坚实的能力基础。</w:t>
            </w:r>
          </w:p>
          <w:p w14:paraId="20F0414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发展历程：</w:t>
            </w:r>
          </w:p>
          <w:p w14:paraId="4FAC5D6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2025年：</w:t>
            </w:r>
            <w:r>
              <w:rPr>
                <w:rFonts w:hint="eastAsia" w:ascii="楷体" w:hAnsi="楷体" w:eastAsia="楷体"/>
                <w:bCs/>
                <w:sz w:val="24"/>
                <w:szCs w:val="28"/>
                <w:lang w:val="en-US" w:eastAsia="zh-CN"/>
              </w:rPr>
              <w:t>项目正式启动筹备工作，核心团队完成初步组建。团队聚焦线上消费价格歧视乱象，开展大范围校园及社会消费维权现状调研，走访多名消费者、一线维权工作人员，梳理当前算法价格歧视维权痛点、难点，完成行业现状、市场需求、维权困境的初步研判，明确项目研发方向与核心服务定位，搭建项目整体框架。</w:t>
            </w:r>
          </w:p>
          <w:p w14:paraId="5D75905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2026年初：</w:t>
            </w:r>
            <w:r>
              <w:rPr>
                <w:rFonts w:hint="eastAsia" w:ascii="楷体" w:hAnsi="楷体" w:eastAsia="楷体"/>
                <w:bCs/>
                <w:sz w:val="24"/>
                <w:szCs w:val="28"/>
                <w:lang w:val="en-US" w:eastAsia="zh-CN"/>
              </w:rPr>
              <w:t>团队完成标准化调研问卷设计、线上线下全域调研及数据整理分析工作，系统梳理不同消费场景、不同用户群体遭遇大数据杀熟、价格歧视的具体情形，形成完整的调研报告，精准锚定平台核心功能、技术研发重点与法律服务方向，为平台功能设计、规则库搭建提供扎实的实证支撑。</w:t>
            </w:r>
          </w:p>
          <w:p w14:paraId="0A21DED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2026年9月：</w:t>
            </w:r>
            <w:r>
              <w:rPr>
                <w:rFonts w:hint="eastAsia" w:ascii="楷体" w:hAnsi="楷体" w:eastAsia="楷体"/>
                <w:bCs/>
                <w:sz w:val="24"/>
                <w:szCs w:val="28"/>
                <w:lang w:val="en-US" w:eastAsia="zh-CN"/>
              </w:rPr>
              <w:t>项目技术研发取得阶段性重大突破，成功完成轻量化浏览器插件与本地控制台完整原型开发，彻底跑通“用户数据合规采集—数据标准化入库—多维度统计检验—算法歧视智能判定”全技术流水线，核心技术逻辑落地成型。目前平台可实现基础场景的价格歧视智能检测与初步判定，项目已完整留存平台运行演示视频、全套源代码、研发日志等核心研发材料，技术成果真实可查、可复用、可迭代。</w:t>
            </w:r>
          </w:p>
          <w:p w14:paraId="02CAC9C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项目管理机制：拟实行“项目积分制”，研发贡献、规则库贡献、案件转化贡献均计入积分，与收益分成、奖学金推荐、实习推荐挂钩；设立“公益之星”月度评优。</w:t>
            </w:r>
          </w:p>
          <w:p w14:paraId="32E38A8C">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为保障项目长效稳定运营、激发团队创新活力、规范研发与服务流程，项目建立了科学化、规范化、激励化的闭环管理机制，规避团队运营松散、贡献不均、动力不足等问题。项目核心实行量化项目积分制，构建多维度、全覆盖的积分考核体系，将技术研发迭代、法律规则库更新完善、维权案件落地转化、调研成果产出、普法宣传运营、资源对接合作等所有项目相关贡献，全部量化为个人积分，实现贡献可视化、考核标准化。</w:t>
            </w:r>
          </w:p>
          <w:p w14:paraId="0799DF2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积分结果直接与团队成员权益深度挂钩，涵盖项目未来收益分成、校级创新创业奖学金推荐、优质实习资源对接、科创项目评优、赛事申报优先推荐等多项权益，充分实现“多劳多得、优绩优酬”。同时，项目设立“公益之星”月度评优机制，每月结合积分排名、工作态度、创新贡献、团队协作表现评选优秀成员，进行公开表彰，树立团队榜样，营造积极进取、深耕公益、潜心研发的良好团队氛围。此外，团队建立定期例会制度、研发复盘制度、分工报备制度、成果审核制度，每周开展进度复盘，每月开展阶段总结，及时解决研发、运营、对接中的各类问题，保障项目稳步迭代、持续落地。</w:t>
            </w:r>
          </w:p>
          <w:p w14:paraId="6967C83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（二）创始人介绍</w:t>
            </w:r>
          </w:p>
          <w:p w14:paraId="65CA968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朱玺如，法学院2024级本科生，</w:t>
            </w:r>
            <w:r>
              <w:rPr>
                <w:rFonts w:hint="eastAsia" w:ascii="楷体" w:hAnsi="楷体" w:eastAsia="楷体"/>
                <w:bCs/>
                <w:sz w:val="24"/>
                <w:szCs w:val="28"/>
                <w:lang w:val="en-US" w:eastAsia="zh-CN"/>
              </w:rPr>
              <w:t>本项目创始人兼总负责人，深耕人工智能法治、算法治理、消费者权益保护领域，具备扎实的法学专业功底、优秀的项目统筹能力、丰富的科创实践经验与突出的综合素养，是项目核心创意提出者、整体架构设计者与落地推进总负责人。</w:t>
            </w:r>
          </w:p>
          <w:p w14:paraId="3AAD5D02">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专业研究层面，该同学深度参与人工智能侵权典型案例整理汇编工作，参与人工智能示范法的更新修订与内容审阅，系统掌握当前人工智能、算法应用领域的法律规制空白、侵权认定难点与行业监管趋势，对算法歧视、大数据杀熟等新型网络侵权行为的法律定性、举证规则、维权路径有着深刻、前沿的专业认知。同时，主动牵头参与算法歧视公益诉讼方向的国家级/省级大学生创新创业训练项目，深耕细分领域学术研究与实践探索，精准把握当前普通用户取证维权的现实困境、司法实践中的裁判难点，独立构思搭建了涵盖大数据杀熟、差异化定价、算法画像歧视在内的完整算法歧视法律认定制度框架，为项目法律规则库搭建、维权体系构建提供了核心理论支撑。</w:t>
            </w:r>
          </w:p>
          <w:p w14:paraId="494D4853">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科创赛事层面，该同学积极投身创新创业与学科竞赛，先后参与全国“挑战杯”创新创业大赛、校级模拟法庭大赛、“外研社·国才杯”全国英语综合能力大赛等多项高水平学科赛事，在赛事打磨中积累了成熟的项目包装、逻辑梳理、成果展示、问题答辩能力。同时，深耕辩论、语言传播领域，加入校辩论队、播音站，在“新月杯”辩论赛、交大论坛等多项校级重磅赛事中斩获冠军，具备极强的逻辑思辨、语言表达、逻辑架构与临场应变能力，能够高效统筹项目答辩、对外对接、成果宣讲等工作。</w:t>
            </w:r>
          </w:p>
          <w:p w14:paraId="5C870304">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学生工作与综合素质层面，该同学身兼班级团支书、学院宣传部干事、学生办公室负责人等多项职务，工作认真负责、统筹协调能力突出，成功获评校级“优秀学生干部”，斩获社会工作奖学金，具备丰富的团队管理、组织协调、资源整合经验，能够高效统筹团队分工、协调成员工作、对接校内外资源。</w:t>
            </w:r>
          </w:p>
          <w:p w14:paraId="00DE27E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社会实践与公益服务层面，该同学积极投身各类社会实践与公益志愿活动，主动参与高校寒假招生宣传、“交通强国”专项实践、“三下乡”乡村振兴社会实践等重点项目，实践成果突出，斩获实践一等奖；同时积极参与跳水世界杯赛事志愿服务、中学生体质测试志愿服务、地铁站文明导引等多项公益志愿工作，累计丰富的公益服务经验，深刻践行本项目“公益优先、服务大众”的核心理念，始终以社会公益为核心导向推进项目落地。</w:t>
            </w:r>
          </w:p>
          <w:p w14:paraId="75A8A645">
            <w:pPr>
              <w:spacing w:line="400" w:lineRule="exact"/>
              <w:ind w:firstLine="480" w:firstLineChars="200"/>
              <w:rPr>
                <w:rFonts w:hint="eastAsia" w:ascii="楷体" w:hAnsi="楷体" w:eastAsia="楷体"/>
                <w:bCs/>
                <w:sz w:val="24"/>
                <w:szCs w:val="28"/>
                <w:lang w:eastAsia="zh-CN"/>
              </w:rPr>
            </w:pPr>
          </w:p>
          <w:p w14:paraId="23FF6CF0">
            <w:pPr>
              <w:numPr>
                <w:ilvl w:val="0"/>
                <w:numId w:val="4"/>
              </w:num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团队介绍</w:t>
            </w:r>
          </w:p>
          <w:p w14:paraId="7BE5CF5A">
            <w:pPr>
              <w:numPr>
                <w:ilvl w:val="0"/>
                <w:numId w:val="0"/>
              </w:numPr>
              <w:spacing w:line="400" w:lineRule="exact"/>
              <w:rPr>
                <w:rFonts w:hint="eastAsia" w:ascii="楷体" w:hAnsi="楷体" w:eastAsia="楷体"/>
                <w:bCs/>
                <w:sz w:val="24"/>
                <w:szCs w:val="28"/>
                <w:highlight w:val="none"/>
                <w:lang w:val="en-US" w:eastAsia="zh-CN"/>
              </w:rPr>
            </w:pPr>
            <w:r>
              <w:rPr>
                <w:rFonts w:hint="eastAsia" w:ascii="楷体" w:hAnsi="楷体" w:eastAsia="楷体"/>
                <w:bCs/>
                <w:sz w:val="24"/>
                <w:szCs w:val="28"/>
                <w:highlight w:val="none"/>
                <w:lang w:val="en-US" w:eastAsia="zh-CN"/>
              </w:rPr>
              <w:t xml:space="preserve">   本项目团队为法学+计算机科学交叉复合型科创团队，成员专业配比科学、分工清晰明确、能力互补性极强，涵盖技术研发、法律合规、调研运营、成果转化全岗位，同时具备国际化拓展潜力，助力项目中外合作交流与国际化发展。团队成员均为在校优秀本科生，学习能力强、创新意识足、执行力突出，深耕对应细分领域，能够全方位支撑项目研发、运营、维权、推广全流程工作，无岗位空缺、无能力短板，团队整体适配度、专业性、稳定性极高。</w:t>
            </w:r>
          </w:p>
          <w:tbl>
            <w:tblPr>
              <w:tblStyle w:val="10"/>
              <w:tblW w:w="8200" w:type="dxa"/>
              <w:tblInd w:w="-12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50"/>
              <w:gridCol w:w="2050"/>
              <w:gridCol w:w="2050"/>
              <w:gridCol w:w="2050"/>
            </w:tblGrid>
            <w:tr w14:paraId="6041C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62" w:hRule="atLeast"/>
                <w:tblHeader/>
              </w:trPr>
              <w:tc>
                <w:tcPr>
                  <w:tcW w:w="2050" w:type="dxa"/>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2EC135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成员</w:t>
                  </w:r>
                </w:p>
              </w:tc>
              <w:tc>
                <w:tcPr>
                  <w:tcW w:w="2050" w:type="dxa"/>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6B39A6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学院/专业</w:t>
                  </w:r>
                </w:p>
              </w:tc>
              <w:tc>
                <w:tcPr>
                  <w:tcW w:w="2050" w:type="dxa"/>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24EE6E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团队分工</w:t>
                  </w:r>
                </w:p>
              </w:tc>
              <w:tc>
                <w:tcPr>
                  <w:tcW w:w="2050" w:type="dxa"/>
                  <w:tcBorders>
                    <w:top w:val="single" w:color="DEE0E3" w:sz="4" w:space="0"/>
                    <w:left w:val="single" w:color="DEE0E3" w:sz="4" w:space="0"/>
                    <w:bottom w:val="single" w:color="DEE0E3" w:sz="4" w:space="0"/>
                    <w:right w:val="single" w:color="DEE0E3" w:sz="4" w:space="0"/>
                  </w:tcBorders>
                  <w:shd w:val="clear" w:color="auto" w:fill="F2F3F5"/>
                  <w:tcMar>
                    <w:top w:w="120" w:type="dxa"/>
                    <w:left w:w="120" w:type="dxa"/>
                    <w:bottom w:w="120" w:type="dxa"/>
                    <w:right w:w="120" w:type="dxa"/>
                  </w:tcMar>
                  <w:vAlign w:val="top"/>
                </w:tcPr>
                <w:p w14:paraId="019868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核心能力</w:t>
                  </w:r>
                </w:p>
              </w:tc>
            </w:tr>
            <w:tr w14:paraId="3111B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9" w:hRule="atLeast"/>
              </w:trPr>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48B0BB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朱玺如</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DEA1B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法学院</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B4C73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项目创始人、总负责人，全面统筹项目整体规划、研发进度管控、团队管理、法律规则库核心构建、公益诉讼机构对接、项目赛事申报与成果转化，统筹校内外资源整合、项目风险把控与长远发展规划</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E674F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具备前沿的人工智能法治、算法治理专业知识，擅长法律研究、典型案例深度分析、法律制度框架搭建；拥有成熟的项目全流程管理、团队统筹、资源整合能力，科创赛事经验丰富，逻辑缜密、执行力强，兼具公益思维与商业落地思维</w:t>
                  </w:r>
                </w:p>
              </w:tc>
            </w:tr>
            <w:tr w14:paraId="08802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82" w:hRule="atLeast"/>
              </w:trPr>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541F8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郭家锴</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C4549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计算机科学与技术学院</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CB107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项目首席技术负责人，全权负责平台整体系统架构设计、后端程序开发、前端界面搭建、浏览器插件开发与迭代优化，主导统计推断引擎研发、多变量检验算法落地、海量数据清洗分析、数据库搭建与运维，负责核心技术迭代、漏洞修复、技术成果固化</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28C520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精通全栈开发技术，熟练掌握前后端开发、插件开发、大数据处理、统计建模、算法优化等核心技能，具备独立搭建完整技术系统的工程能力，擅长通过技术手段解决行业痛点，技术研发效率高、落地能力强，精准匹配项目技术创新需求</w:t>
                  </w:r>
                </w:p>
              </w:tc>
            </w:tr>
            <w:tr w14:paraId="2FBC7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94" w:hRule="atLeast"/>
              </w:trPr>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5394E0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刘嘉瑜</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3418C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法学院</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05A723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核心法律成员，负责标准化法律评估报告撰写、平台全流程合规审查、维权证据法律核验、公益诉讼案件材料整理、法学实证研究、法条适配与法理分析，保障平台运营、取证、维权全流程合法合规</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68E2B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具备扎实的民商法、消费者权益保护法、个人信息保护法专业功底，擅长精准法律检索、专业法律文书撰写、法学实证研究、合规风险排查，熟悉司法举证与公益诉讼流程，法律研判严谨专业</w:t>
                  </w:r>
                </w:p>
              </w:tc>
            </w:tr>
            <w:tr w14:paraId="3042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3" w:hRule="atLeast"/>
              </w:trPr>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07134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张鑫熳</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30A2A7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法学院</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171687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法律调研与运营负责人，专注全方位法律检索、行业政策梳理、消费者维权问卷调研设计与数据复盘、用户需求分析、项目普法内容撰写与新媒体运营、项目宣传推广、大众科普工作</w:t>
                  </w:r>
                </w:p>
              </w:tc>
              <w:tc>
                <w:tcPr>
                  <w:tcW w:w="2050" w:type="dxa"/>
                  <w:tcBorders>
                    <w:top w:val="single" w:color="DEE0E3" w:sz="4" w:space="0"/>
                    <w:left w:val="single" w:color="DEE0E3" w:sz="4" w:space="0"/>
                    <w:bottom w:val="single" w:color="DEE0E3" w:sz="4" w:space="0"/>
                    <w:right w:val="single" w:color="DEE0E3" w:sz="4" w:space="0"/>
                  </w:tcBorders>
                  <w:shd w:val="clear" w:color="auto" w:fill="auto"/>
                  <w:tcMar>
                    <w:top w:w="120" w:type="dxa"/>
                    <w:left w:w="120" w:type="dxa"/>
                    <w:bottom w:w="120" w:type="dxa"/>
                    <w:right w:w="120" w:type="dxa"/>
                  </w:tcMar>
                  <w:vAlign w:val="top"/>
                </w:tcPr>
                <w:p w14:paraId="75F8C0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擅长精细化法律检索、实证调研设计、大数据问卷分析，具备优秀的文案撰写、新媒体运营、科普宣传能力，熟悉大众消费维权认知痛点，能够精准输出通俗化、专业化的普法内容，助力项目公益传播</w:t>
                  </w:r>
                </w:p>
              </w:tc>
            </w:tr>
          </w:tbl>
          <w:p w14:paraId="4211DBF8">
            <w:pPr>
              <w:numPr>
                <w:ilvl w:val="0"/>
                <w:numId w:val="0"/>
              </w:numPr>
              <w:spacing w:line="400" w:lineRule="exact"/>
              <w:rPr>
                <w:rFonts w:hint="default" w:ascii="楷体" w:hAnsi="楷体" w:eastAsia="楷体"/>
                <w:bCs/>
                <w:sz w:val="24"/>
                <w:szCs w:val="28"/>
                <w:highlight w:val="none"/>
                <w:lang w:val="en-US" w:eastAsia="zh-CN"/>
              </w:rPr>
            </w:pPr>
          </w:p>
          <w:p w14:paraId="7EA034A8">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|成员|学院/专业|团队分工|核心能力|</w:t>
            </w:r>
          </w:p>
          <w:p w14:paraId="20C2EBEF">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w:t>
            </w:r>
          </w:p>
          <w:p w14:paraId="41B95EEB">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|朱玺如|法学院|项目负责人、法律规则库构建|法律研究、案例分析、项目管理|</w:t>
            </w:r>
          </w:p>
          <w:p w14:paraId="0A72447E">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|郭家锴|计算机科学与技术学院|系统架构设计、后端开发、前端与插件开发、数据分析|全流程开发、系统架构、统计推断引擎实现、数据分析|</w:t>
            </w:r>
          </w:p>
          <w:p w14:paraId="4BE88810">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|刘嘉瑜|法学院|法律评估报告、合规审查|法律检索、论文撰写、实证研究|</w:t>
            </w:r>
          </w:p>
          <w:p w14:paraId="15C92F84">
            <w:pPr>
              <w:spacing w:line="400" w:lineRule="exact"/>
              <w:ind w:firstLine="480" w:firstLineChars="200"/>
              <w:rPr>
                <w:rFonts w:hint="eastAsia" w:ascii="楷体" w:hAnsi="楷体" w:eastAsia="楷体"/>
                <w:bCs/>
                <w:sz w:val="24"/>
                <w:szCs w:val="28"/>
                <w:highlight w:val="yellow"/>
                <w:lang w:eastAsia="zh-CN"/>
              </w:rPr>
            </w:pPr>
            <w:r>
              <w:rPr>
                <w:rFonts w:hint="eastAsia" w:ascii="楷体" w:hAnsi="楷体" w:eastAsia="楷体"/>
                <w:bCs/>
                <w:sz w:val="24"/>
                <w:szCs w:val="28"/>
                <w:highlight w:val="yellow"/>
                <w:lang w:eastAsia="zh-CN"/>
              </w:rPr>
              <w:t>|张鑫熳|法学院|法律检索、调研问卷设计、普法宣传|法律检索、问卷设计、实证调研、文案撰写|</w:t>
            </w:r>
          </w:p>
          <w:p w14:paraId="087B18CE">
            <w:pPr>
              <w:numPr>
                <w:ilvl w:val="0"/>
                <w:numId w:val="4"/>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专家顾问</w:t>
            </w:r>
          </w:p>
          <w:p w14:paraId="0E7DD4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val="en-US" w:eastAsia="zh-CN"/>
              </w:rPr>
              <w:t>本项目构建了多领域、跨学科、产学研结合的多元化专家顾问团队，打破单一指导局限，汇聚高校学术专家、行业实务专家、一线执业律师、监管机构专家四类优质资源，全方位为项目研发、合规、落地、转化提供专业指导，规避技术、法律、运营风险，保障项目专业性、权威性、落地性。</w:t>
            </w:r>
          </w:p>
          <w:p w14:paraId="2985C9D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法学院指导教师：深耕人工智能法、个人信息保护法、数字法治领域多年，为高校重点学科骨干，长期研究算法治理、网络消费者权益保护、人工智能侵权规制等前沿课题，主持多项省部级相关科研项目，发表多篇核心学术论文，精准把握数字法治行业政策与司法趋势，主要负责指导项目法律框架搭建、合规体系完善、法律规则库优化、学术成果打磨。</w:t>
            </w:r>
          </w:p>
          <w:p w14:paraId="1938FCEF">
            <w:pPr>
              <w:spacing w:line="400" w:lineRule="exact"/>
              <w:ind w:firstLine="480" w:firstLineChars="200"/>
            </w:pPr>
            <w:r>
              <w:rPr>
                <w:rFonts w:hint="eastAsia" w:ascii="楷体" w:hAnsi="楷体" w:eastAsia="楷体"/>
                <w:bCs/>
                <w:sz w:val="24"/>
                <w:szCs w:val="28"/>
                <w:lang w:val="en-US" w:eastAsia="zh-CN"/>
              </w:rPr>
              <w:t>计算机学院指导教师：专注大数据分析、数理统计推断、智能算法研发、数据安全治理研究，具备丰富的大数据系统研发与算法优化经验，长期深耕人工智能与大数据应用落地领域，主要负责指导项目统计推断引擎迭代、多变量检验算法优化、数据合规处理、系统架构升级、技术难题攻坚。</w:t>
            </w:r>
          </w:p>
          <w:p w14:paraId="5B8786E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拟邀请合作执业律师：专注公益诉讼、消费者权益保护、网络侵权纠纷实务工作多年，任职专业律所，办理数百起消费维权、算法侵权、网络公益诉讼案件，实务经验极其丰富，主要负责指导项目电子证据包司法效力优化、公益诉讼对接流程、维权案件落地实操、实务风险规避。</w:t>
            </w:r>
          </w:p>
          <w:p w14:paraId="3EAE2D2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拟邀请消协行业专家：深耕消费维权、市场监管、算法行业治理一线工作，熟悉线上消费乱象整治、消费者权益保护实操流程、行业监管标准，主要负责指导项目适配市场监管需求、优化用户维权服务、对接官方维权渠道、贴合行业治理标准落地。</w:t>
            </w:r>
          </w:p>
          <w:p w14:paraId="4E9BE6C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同时，项目持续拓展专家资源池，后续将陆续对接大数据行业工程师、数字经济研究学者、新媒体运营专家等多元顾问，构建全方位、立体化的专家支撑体系，为项目长效发展保驾护航。</w:t>
            </w:r>
          </w:p>
          <w:p w14:paraId="3EE381D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（五）团队精神</w:t>
            </w:r>
          </w:p>
          <w:p w14:paraId="7CC19C6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本团队拥有清晰坚定的使命愿景、高度统一的核心价值观、团结协作的创新精神与深耕公益的责任担当，凝聚力、向心力、创新力、执行力突出，是项目持续迭代、稳步落地的核心精神支撑。团队核心使命愿景为“让每一次点击，都被公平定价”，立足数字经济发展大势，聚焦消费者公平交易权保护，致力于用学科交叉创新破解算法治理难题。</w:t>
            </w:r>
          </w:p>
          <w:p w14:paraId="560DF4D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全体成员始终秉持“技术向善、证据为王、公益优先、务实创新、协作共赢”的核心发展理念，坚守科创服务社会的初心，拒绝纯商业化逐利导向，以公益维权为核心目标，将课堂所学的前沿法学理论、扎实计算机代码技术转化为守护亿万普通消费者合法权益的真实力量。在项目研发与运营过程中，团队始终坚持团结协作、互补共进，法学团队聚焦法律逻辑与维权体系搭建，技术团队专注技术创新与功能落地，打破学科壁垒、高效协同攻坚。面对技术研发难题、法律规则适配难点、调研推广瓶颈，全体成员主动担当、分工协作、积极创新，敢于突破传统维权模式局限，持续优化技术体系与服务模式。</w:t>
            </w:r>
          </w:p>
          <w:p w14:paraId="10903D2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同时，团队具备极强的社会责任感与公益情怀，深刻认知数字时代消费者维权的弱势处境，始终以解决社会痛点、维护公共利益、规范算法市场秩序为己任，坚守诚信务实、精益求精的科创态度，严格恪守学术诚信、研发诚信、申报诚信，以严谨专业的态度打磨每一项功能、每一份成果，致力于打造专业、合规、公益、可靠的智能维权服务平台，助力数字市场公平公正发展。</w:t>
            </w:r>
          </w:p>
          <w:p w14:paraId="597F1F3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（六）团队效能</w:t>
            </w:r>
          </w:p>
          <w:p w14:paraId="04487E8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团队与项目关系真实、紧密：法学成员带着对算法歧视认定框架的理论思考寻找技术实现路径，计算机成员带着对智能检测系统的工程经验寻找有社会价值的应用方向，双方一拍即合。团队投入充分，具备将项目持续推进的潜力。</w:t>
            </w:r>
          </w:p>
          <w:p w14:paraId="79B41F5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本团队与项目具备极高的真实性、适配度、紧密性，团队所有成员均为项目核心原创参与者，无挂靠、无虚挂、无凑数人员，全员深度扎根项目全流程，项目创意、研发、运营、推广均由团队自主完成，真实度、原创性、自主性极强。团队组建与项目研发并非盲目跟风，而是基于成员专业积累与长期思考的双向契合：法学院成员长期深耕算法歧视法律规制领域，积累了大量案例研究与理论成果，亟需通过技术落地实现理论赋能实务；计算机学院成员具备成熟的大数据开发与智能算法研发能力，始终寻求具备社会价值的落地场景，双方理念契合、优势互补，精准促成本项目落地，团队与项目高度绑定、深度共生。</w:t>
            </w:r>
          </w:p>
          <w:p w14:paraId="7791F09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在项目投入层面，全体成员投入时间、精力、智力成本充足且持续稳定，自项目启动以来，全员牺牲课余、假期时间，持续深耕项目研发、调研、规则搭建、素材打磨等各项工作，全程全身心投入，无敷衍应付、中途离岗等情况。团队已完整完成市场调研、问卷分析、框架搭建、原型开发、技术流水线跑通等核心工作，阶段性成果扎实落地。同时，团队具备极强的持续迭代能力与创业落地潜力，已搭建完善的项目管理、激励、运营机制，明确后续功能迭代、资源对接、成果转化、市场化公益运营的完整规划，具备独立孵化创业企业、常态化开展公益维权服务、实现可持续运营的核心能力，项目长效发展效能突出。</w:t>
            </w:r>
          </w:p>
          <w:p w14:paraId="34B6CE72">
            <w:pPr>
              <w:numPr>
                <w:ilvl w:val="0"/>
                <w:numId w:val="1"/>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团队资源</w:t>
            </w:r>
          </w:p>
          <w:p w14:paraId="0AF82FC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val="en-US" w:eastAsia="zh-CN"/>
              </w:rPr>
              <w:t>本项目依托校内优质平台资源、开源技术资源、官方合作资源、公益服务资源四大维度，构建全方位、多层次、可持续的资源支撑体系，为项目研发、迭代、落地、推广提供坚实保障，资源适配度高、实用性强、对接渠道成熟。</w:t>
            </w:r>
          </w:p>
          <w:p w14:paraId="2F3FA72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校内平台资源方面，项目深度依托学校法学院模拟法庭、大学生法律援助中心两大核心平台，可免费使用校内法学研究数据库、案例库、合规审查工具、法律援助办公场地与服务体系，依托高校法学专业平台开展法律实证研究、文书打磨、合规校验，同时借助学校计算机学院实验室资源、大数据研发实训平台，为技术迭代、算法优化提供硬件与环境支撑。</w:t>
            </w:r>
          </w:p>
          <w:p w14:paraId="40AEED8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技术成本资源方面，团队合理合规使用开源技术框架、开源大数据处理工具，在保障技术创新性、安全性的前提下，极大降低项目前期研发成本、缩短研发周期，提升技术落地效率。同时，团队已规划申请高校云服务器教育公益额度、区块链存证服务教育优惠资源，为后续海量数据安全存储、电子证据固化、证据效力背书提供权威技术支撑，保障平台长期稳定运行。</w:t>
            </w:r>
          </w:p>
          <w:p w14:paraId="3711F0C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外部合作资源方面，项目已初步搭建官方对接渠道，拟常态化对接地方消费者协会、检察机关、市场监管部门、高校法律援助联盟等权威机构，搭建公益维权合作体系，为平台证据落地、公益诉讼对接、维权案件转化提供官方支撑。同时，依托专家顾问团队的行业资源、实务资源，链接律所、大数据企业、算法治理研究机构等优质外部资源，持续为项目赋能。此外，团队持续拓展国际化资源，依托留学生合作渠道，对接海外算法治理研究机构，借鉴国际先进治理经验，助力项目国际化升级。</w:t>
            </w:r>
          </w:p>
          <w:p w14:paraId="70557DB9">
            <w:pPr>
              <w:numPr>
                <w:ilvl w:val="0"/>
                <w:numId w:val="1"/>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团队贡献</w:t>
            </w:r>
          </w:p>
          <w:p w14:paraId="755C03F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eastAsia" w:ascii="楷体" w:hAnsi="楷体" w:eastAsia="楷体"/>
                <w:bCs/>
                <w:sz w:val="24"/>
                <w:szCs w:val="28"/>
                <w:lang w:eastAsia="zh-CN"/>
              </w:rPr>
            </w:pPr>
            <w:r>
              <w:rPr>
                <w:rFonts w:hint="eastAsia" w:ascii="楷体" w:hAnsi="楷体" w:eastAsia="楷体"/>
                <w:bCs/>
                <w:sz w:val="24"/>
                <w:szCs w:val="28"/>
                <w:lang w:val="en-US" w:eastAsia="zh-CN"/>
              </w:rPr>
              <w:t>本项目所有核心成果均由团队成员独立原创完成，各岗位成员分工明确、权责清晰、各司其职、深度履职，在项目创意构思、框架搭建、研发落地、调研推广、资源对接、成果打磨等全流程做出实质性、不可替代的核心贡献，指导教师全程提供专业指导、资源支撑与风险把控，全方位助力项目高质量发展。</w:t>
            </w:r>
          </w:p>
          <w:p w14:paraId="21B290D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创始人朱玺如：作为项目核心发起人与总负责人，独立构思项目整体创意与核心定位，搭建项目“技术检测+法律认定+公益维权”全链路体系框架。全面统筹团队组建、人员分工、项目规划、进度管控、风险把控，主导法律规则库整体框架搭建、核心法条适配、算法歧视法律认定体系构建。同时全权负责对外资源对接，统筹消费者协会、检察机关、法律援助中心等机构的公益诉讼合作对接工作，主导项目赛事申报、成果梳理、材料打磨，是项目落地推进的核心中枢。</w:t>
            </w:r>
          </w:p>
          <w:p w14:paraId="42F2559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郭家锴：承担项目全部核心技术研发工作，从零搭建平台整体系统架构，独立完成后端程序开发、前端界面设计、轻量化浏览器插件开发与调试，自主研发多变量控制统计推断引擎，实现价格数据清洗、入库、统计检验、歧视智能判定全自动化流程。全程负责数据分析建模、算法优化、系统漏洞修复、技术成果固化，完成平台原型搭建与运行测试，为项目技术落地提供唯一核心技术支撑，是项目技术创新的核心载体。</w:t>
            </w:r>
          </w:p>
          <w:p w14:paraId="2CEFB3B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刘嘉瑜：专注项目法律合规与成果落地，全程负责标准化法律评估报告框架设计、内容撰写、迭代优化，对平台数据采集、检测、取证、维权全流程开展合规审查，规避个人信息侵权、数据违规采集等法律风险。同时深耕法学实证研究，梳理各类价格歧视侵权案例与司法裁判规则，为法律规则库优化、维权证据有效性提升、公益诉讼案件办理提供专业法律支撑。</w:t>
            </w:r>
          </w:p>
          <w:p w14:paraId="6B36E47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张鑫熳：主导项目前期市场调研、用户需求挖掘，独立完成调研问卷设计、发放、数据整理与复盘分析，为项目功能优化、服务升级提供实证依据。持续开展全方位法律检索、行业政策梳理、前沿案例更新，动态完善法律规则体系。同时负责项目公益普法内容撰写、新媒体宣传、大众科普工作，打造项目公益品牌影响力，助力项目社会价值传播与用户规模拓展。</w:t>
            </w:r>
          </w:p>
          <w:p w14:paraId="15F3BCB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val="en-US" w:eastAsia="zh-CN"/>
              </w:rPr>
              <w:t>指导教师团队：全程全程跟进项目研发与运营，针对技术算法优化、法律合规体系搭建、公益落地模式、项目风险防控、赛事成果打磨等关键环节提供专业指导，依托自身学术资源、行业资源为项目赋能，修正项目发展方向、提升项目专业性与权威性，为项目长效发展提供重要支撑。</w:t>
            </w:r>
          </w:p>
          <w:p w14:paraId="29068A25">
            <w:pPr>
              <w:spacing w:line="400" w:lineRule="exact"/>
              <w:ind w:firstLine="480" w:firstLineChars="200"/>
              <w:rPr>
                <w:rFonts w:eastAsia="华文中宋"/>
                <w:sz w:val="24"/>
                <w:szCs w:val="28"/>
              </w:rPr>
            </w:pPr>
            <w:r>
              <w:rPr>
                <w:rFonts w:hint="eastAsia" w:ascii="楷体" w:hAnsi="楷体" w:eastAsia="楷体"/>
                <w:bCs/>
                <w:sz w:val="24"/>
                <w:szCs w:val="28"/>
                <w:lang w:val="en-US" w:eastAsia="zh-CN"/>
              </w:rPr>
              <w:t>特此承诺：本项目所有科技成果、知识产权、调研材料、运营数据、荣誉奖项、实践证明等全部申报材料均真实、准确、完整、有效，严格遵守各类创新创业大赛申报规则与学术诚信规范，完全符合申报条件。若项目材料存在弄虚作假、抄袭剽窃、虚报成果、挂靠凑数等任何违规违纪情况，自愿接受赛事一票否决处理，承担一切相关责任。</w:t>
            </w:r>
          </w:p>
        </w:tc>
      </w:tr>
    </w:tbl>
    <w:p w14:paraId="58F81A72">
      <w:pPr>
        <w:jc w:val="left"/>
        <w:rPr>
          <w:rFonts w:hint="default" w:eastAsia="宋体"/>
          <w:lang w:val="en-US" w:eastAsia="zh-CN"/>
        </w:rPr>
      </w:pPr>
      <w:r>
        <w:rPr>
          <w:rStyle w:val="23"/>
          <w:rFonts w:hint="eastAsia"/>
          <w:b/>
          <w:bCs/>
          <w:szCs w:val="28"/>
          <w:lang w:val="en-US" w:eastAsia="zh-CN"/>
        </w:rPr>
        <w:t>五、个人成长</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5894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72" w:type="dxa"/>
          </w:tcPr>
          <w:p w14:paraId="5548EAB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项目落实立德树人根本任务，紧扣习近平总书记关于青年创新创业、数字法治建设的重要指示精神，对接十五五规划中人工智能治理、新工科与新文科建设要求中国政府网，立足数字社会消费者权益保护现实需求，厚植家国情怀，恪守科技伦理，将人文法治素养与人工智能技术创新相结合，培育青年创新报国精神，践行新文科重家国情怀、新工科强化 AI 智能体技术落地的建设导向，坚持扎根中国大地开展国情民情调研，实现专业知识向社会价值、商业价值转化，充分展现专创融合、科教融汇、产教融合的人才培养成效。</w:t>
            </w:r>
          </w:p>
          <w:p w14:paraId="6F791EC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（一）成长历程/轨迹</w:t>
            </w:r>
          </w:p>
          <w:p w14:paraId="60FECB1B">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eastAsia="zh-CN"/>
              </w:rPr>
              <w:t>朱玺如：从法学院课堂到创新创业赛场，从案例分析到产品设计，从理论构思到系统落地。在民事诉讼法、人工智能法、个人信息保护法等专业课学习过程中，持续关注数字时代算法治理现实难题。在参与人工智能侵权案例编写过程中，</w:t>
            </w:r>
            <w:r>
              <w:rPr>
                <w:rFonts w:hint="eastAsia" w:ascii="楷体" w:hAnsi="楷体" w:eastAsia="楷体"/>
                <w:bCs/>
                <w:sz w:val="24"/>
                <w:szCs w:val="28"/>
                <w:lang w:val="en-US" w:eastAsia="zh-CN"/>
              </w:rPr>
              <w:t>结合书本法条，真切观察到算法决策对普通用户的高度隐秘性 —— 大数据杀熟、算法差别定价发生在毫秒之间，隐藏于“千人千面”的个性化界面背后，普通消费者很难察觉、更难以固定证据维权。</w:t>
            </w:r>
          </w:p>
          <w:p w14:paraId="15ABEAE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在参与算法歧视公益诉讼方向的大创项目中，团队</w:t>
            </w:r>
            <w:r>
              <w:rPr>
                <w:rFonts w:hint="eastAsia" w:ascii="楷体" w:hAnsi="楷体" w:eastAsia="楷体"/>
                <w:bCs/>
                <w:sz w:val="24"/>
                <w:szCs w:val="28"/>
                <w:lang w:val="en-US" w:eastAsia="zh-CN"/>
              </w:rPr>
              <w:t>并不只</w:t>
            </w:r>
            <w:r>
              <w:rPr>
                <w:rFonts w:hint="eastAsia" w:ascii="楷体" w:hAnsi="楷体" w:eastAsia="楷体"/>
                <w:bCs/>
                <w:sz w:val="24"/>
                <w:szCs w:val="28"/>
                <w:lang w:eastAsia="zh-CN"/>
              </w:rPr>
              <w:t>局限于</w:t>
            </w:r>
            <w:r>
              <w:rPr>
                <w:rFonts w:hint="eastAsia" w:ascii="楷体" w:hAnsi="楷体" w:eastAsia="楷体"/>
                <w:bCs/>
                <w:sz w:val="24"/>
                <w:szCs w:val="28"/>
                <w:lang w:val="en-US" w:eastAsia="zh-CN"/>
              </w:rPr>
              <w:t>于</w:t>
            </w:r>
            <w:r>
              <w:rPr>
                <w:rFonts w:hint="eastAsia" w:ascii="楷体" w:hAnsi="楷体" w:eastAsia="楷体"/>
                <w:bCs/>
                <w:sz w:val="24"/>
                <w:szCs w:val="28"/>
                <w:lang w:eastAsia="zh-CN"/>
              </w:rPr>
              <w:t>纸面文献</w:t>
            </w:r>
            <w:r>
              <w:rPr>
                <w:rFonts w:hint="eastAsia" w:ascii="楷体" w:hAnsi="楷体" w:eastAsia="楷体"/>
                <w:bCs/>
                <w:sz w:val="24"/>
                <w:szCs w:val="28"/>
                <w:lang w:val="en-US" w:eastAsia="zh-CN"/>
              </w:rPr>
              <w:t>和书本理论</w:t>
            </w:r>
            <w:r>
              <w:rPr>
                <w:rFonts w:hint="eastAsia" w:ascii="楷体" w:hAnsi="楷体" w:eastAsia="楷体"/>
                <w:bCs/>
                <w:sz w:val="24"/>
                <w:szCs w:val="28"/>
                <w:lang w:eastAsia="zh-CN"/>
              </w:rPr>
              <w:t>，扎实开展扎根社会一线的实证调研工作，通过实证调研系统掌握了当前用户在取证维权中面临的现实困境，系统梳理出普通用户遭遇算法歧视时取证难、认定难、维权难的真实困境。基于一线调研获得的现实痛点，构思涵盖大数据杀熟在内的算法歧视法律认定制度框架，基于这些一线发现，构思了涵盖大数据杀熟在内的算法歧视法律认定制度框架，并带领团队将理论框架转化为可运行的系统。</w:t>
            </w:r>
          </w:p>
          <w:p w14:paraId="159466B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郭家锴：深耕计算机专业课程，系统学习高维数据分析、模式识别、软件工程、项目管理等专业内容</w:t>
            </w:r>
            <w:r>
              <w:rPr>
                <w:rFonts w:ascii="宋体" w:hAnsi="宋体" w:eastAsia="宋体" w:cs="宋体"/>
                <w:sz w:val="24"/>
                <w:szCs w:val="24"/>
              </w:rPr>
              <w:t>，</w:t>
            </w:r>
            <w:r>
              <w:rPr>
                <w:rFonts w:hint="eastAsia" w:ascii="楷体" w:hAnsi="楷体" w:eastAsia="楷体"/>
                <w:bCs/>
                <w:sz w:val="24"/>
                <w:szCs w:val="28"/>
                <w:lang w:eastAsia="zh-CN"/>
              </w:rPr>
              <w:t>曾参加ADODAS心理模式识别挑战赛，在高维数据分析与模式识别任务中积累了扎实的算法工程能力；作为核心成员参与鄂尔多斯市青少年心理智能检测体系建设项目攻关，独立承担从需求分析、系统设计、编码实现到部署上线的完整开发流程，具备全流程工程化经验与项目管理经验。</w:t>
            </w:r>
          </w:p>
          <w:p w14:paraId="2B72153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（二）专创融合</w:t>
            </w:r>
          </w:p>
          <w:p w14:paraId="0BB7635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团队成员来自北京交通大学法学院和计算机科学与技术学院，清晰体现跨专业协同优势：法学院同学为法学专业在读，系统修读民事诉讼法、人工智能法、个人信息保护法等课程，对《反垄断法》《消费者权益保障法》《电子商务法》相关法律法规已有了解，具备法学实证研究、案例研判、规则梳理的专业能力。计算机专业同学为计算机科学与技术学院在读，掌握算法开发、系统架构、数据处理、项目部署全流程工程开发与项目管理能力。</w:t>
            </w:r>
          </w:p>
          <w:p w14:paraId="3EF8F1F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直接源于大学生创新创业训练项目，是专创融合的典型成果实现专业教育与创新创业教育深度耦合。项目选题来源于课堂教学案例、大创科研训练与社会现实问题，完全契合专业课程、科研训练、社会实践的内在逻辑。法学成员把课堂习得的法学理论、法条规范、案例研究能力转化为项目内部法律规则库；计算机成员将实验室训练掌握的算法、统计分析、工程开发能力转化为项目的统计推断引擎。</w:t>
            </w:r>
          </w:p>
          <w:p w14:paraId="70D082A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两专业成员不再局限于各自课程作业，在真实创新创业场景下开展深度协作，主动学习市场分析、风险评估、产品落地等商业知识，把法学专业知识、计算机技术知识与商业知识有机结合，面向社会算法维权痛点输出解决方案，同步产出社会价值与潜在商业价值。整个过程充分展现创新创业教育对大学生专业认知、问题意识、综合素养的塑造作用，真正做到学以致用。</w:t>
            </w:r>
          </w:p>
          <w:p w14:paraId="7E3A924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（三）资源/平台支持/实习实训</w:t>
            </w:r>
          </w:p>
          <w:p w14:paraId="1FACFB9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学校资源支持，学校深度落实新工科、新文科建设部署，为本项目提供全方位培育孵化支撑，充分体现产教融合、科教融汇、多学科交叉、专创融合育人模式：</w:t>
            </w:r>
          </w:p>
          <w:p w14:paraId="1FD30C1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北京交通大学法学院提供法学模拟法庭与法律援助中心；</w:t>
            </w:r>
          </w:p>
          <w:p w14:paraId="3F8905F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计算机科学与技术学院提供计算资源与实验室支持；</w:t>
            </w:r>
          </w:p>
          <w:p w14:paraId="444BCC1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校创新创业训练计划提供导师指导；</w:t>
            </w:r>
          </w:p>
          <w:p w14:paraId="1D25FCE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学校产业孵化园提供场地与创业辅导。</w:t>
            </w:r>
          </w:p>
          <w:p w14:paraId="1F9ACDB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实习实训，团队成员依托校内平台与校外实践渠道，积累大量前置实践经历，为本项目打下扎实基础：</w:t>
            </w:r>
          </w:p>
          <w:p w14:paraId="377E3E0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团队成员参与人工智能侵权案例编写；</w:t>
            </w:r>
          </w:p>
          <w:p w14:paraId="71855A4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参与人工智能示范法更新与审阅；</w:t>
            </w:r>
          </w:p>
          <w:p w14:paraId="7356EA4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参与算法歧视公益诉讼方向大创项目；</w:t>
            </w:r>
          </w:p>
          <w:p w14:paraId="4A77DDB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参与鄂尔多斯市青少年心理智能检测体系建设项目。</w:t>
            </w:r>
          </w:p>
          <w:p w14:paraId="2B9949F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项目反哺学校，项目成果反向赋能学校人才培养工作，构建闭环育人链条：</w:t>
            </w:r>
          </w:p>
          <w:p w14:paraId="7155661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为学校法律援助中心提供算法歧视检测工具；</w:t>
            </w:r>
          </w:p>
          <w:p w14:paraId="7AA8B83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为法学院提供算法歧视实证研究数据；</w:t>
            </w:r>
          </w:p>
          <w:p w14:paraId="49DD1C8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为计算机学院提供真实项目案例；</w:t>
            </w:r>
          </w:p>
          <w:p w14:paraId="7DEDA5C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形成“产学研”良性循环。</w:t>
            </w:r>
          </w:p>
          <w:p w14:paraId="7FE9F55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（四）创新精神/商业能力培养</w:t>
            </w:r>
          </w:p>
          <w:p w14:paraId="5A31FBA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创新精神：项目推进过程充分锻炼团队创新意识、</w:t>
            </w:r>
            <w:r>
              <w:rPr>
                <w:rFonts w:hint="eastAsia" w:ascii="楷体" w:hAnsi="楷体" w:eastAsia="楷体"/>
                <w:bCs/>
                <w:sz w:val="24"/>
                <w:szCs w:val="28"/>
                <w:lang w:val="en-US" w:eastAsia="zh-CN"/>
              </w:rPr>
              <w:t>创新</w:t>
            </w:r>
            <w:r>
              <w:rPr>
                <w:rFonts w:hint="eastAsia" w:ascii="楷体" w:hAnsi="楷体" w:eastAsia="楷体"/>
                <w:bCs/>
                <w:sz w:val="24"/>
                <w:szCs w:val="28"/>
                <w:lang w:eastAsia="zh-CN"/>
              </w:rPr>
              <w:t>思维与抗压实践能力。团队在项目构思初期曾面临“数据采集合法性存疑”的重大质疑——若采用传统爬虫方案，将面临平台封禁与法律风险的双重打击。项目方案一度几乎停滞。团队没有简单放弃创意，也没有盲目推进风险方案，充分发挥跨学科优势：基于法学院成员的合规判断与计算机成员的技术重构，果断推翻原有方案，</w:t>
            </w:r>
            <w:r>
              <w:rPr>
                <w:rFonts w:hint="eastAsia" w:ascii="楷体" w:hAnsi="楷体" w:eastAsia="楷体"/>
                <w:bCs/>
                <w:sz w:val="24"/>
                <w:szCs w:val="28"/>
                <w:lang w:val="en-US" w:eastAsia="zh-CN"/>
              </w:rPr>
              <w:t>创造性</w:t>
            </w:r>
            <w:r>
              <w:rPr>
                <w:rFonts w:hint="eastAsia" w:ascii="楷体" w:hAnsi="楷体" w:eastAsia="楷体"/>
                <w:bCs/>
                <w:sz w:val="24"/>
                <w:szCs w:val="28"/>
                <w:lang w:eastAsia="zh-CN"/>
              </w:rPr>
              <w:t>转向“用户主动采集本人可见数据+本地脱敏”的全新技术路线。</w:t>
            </w:r>
          </w:p>
          <w:p w14:paraId="35E6B42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次方案推倒重来，不仅构筑项目核心合规护城河，更锤炼团队在法律约束、现实条件约束下开展创新的韧性、批判性思维与抗挫能力。团队成员实现知识向能力转化：法学同学提升实务研判、跨学科沟通、项目统筹能力；计算机同学强化法律合规意识、需求拆解、风险评估能力。项目成长全过程，切实体现高校创新教育对大学生创新精神、创新意识、创新能力的实质性提升。</w:t>
            </w:r>
          </w:p>
          <w:p w14:paraId="69F8354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商业能力：团队立足科创项目现实落地需求，自主系统学习商业模式设计、市场分析、用户定位、财务预测、风险管控、推广运营等商业知识，将法学专业知识、计算机技术知识与商业知识深度融合。一方面面向公益维权场景输出社会价值，帮助普通消费者识别算法歧视风险；另一方面探索面向消协、法律服务机构的工具服务模式，挖掘可持续商业价值，完整走完从问题发现、技术研发到价值落地的创新创业基本逻辑链条。</w:t>
            </w:r>
          </w:p>
          <w:p w14:paraId="78B78B6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（五）产教融合、科教融汇、多学科交叉、专创融合、产学研协同创新</w:t>
            </w:r>
          </w:p>
          <w:p w14:paraId="1DDE93C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产教融合：项目拟与消费者协会、检察机关、平台企业建立常态化合作机制，把产业一线维权需求、监管实践需求反向输入高校人才培养环节，把行业真实问题转化为学生科创选题、课程案例，打通产业需求与人才培养通道。</w:t>
            </w:r>
          </w:p>
          <w:p w14:paraId="61314E18">
            <w:pPr>
              <w:spacing w:line="400" w:lineRule="exact"/>
              <w:ind w:firstLine="480" w:firstLineChars="200"/>
              <w:rPr>
                <w:rFonts w:hint="default" w:ascii="楷体" w:hAnsi="楷体" w:eastAsia="楷体"/>
                <w:bCs/>
                <w:sz w:val="24"/>
                <w:szCs w:val="28"/>
                <w:lang w:val="en-US" w:eastAsia="zh-CN"/>
              </w:rPr>
            </w:pPr>
            <w:r>
              <w:rPr>
                <w:rFonts w:hint="eastAsia" w:ascii="楷体" w:hAnsi="楷体" w:eastAsia="楷体"/>
                <w:bCs/>
                <w:sz w:val="24"/>
                <w:szCs w:val="28"/>
                <w:lang w:val="en-US" w:eastAsia="zh-CN"/>
              </w:rPr>
              <w:t>科教融汇：将大创科研课题、实证调研科研成果转化为课堂教学案例、创新创业实践项目，实现科研成果服务育人，科研训练反哺创新创业实践。</w:t>
            </w:r>
          </w:p>
          <w:p w14:paraId="2CB879B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多学科交叉：实现法学 + 计算机科学 + 统计学 + 经济学多学科交叉融合，法律负责规则边界、合规逻辑；计算机负责系统开发、数据处理；统计学负责算法歧视推断建模；经济学辅助市场与用户需求研判，多学科协同破解数字治理复杂现实问题。</w:t>
            </w:r>
          </w:p>
          <w:p w14:paraId="25FBE28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专创融合：专业课程学习、实验室科研训练与创新创业教育深度融合，项目源自专业，成果服务专业育人，做到专业知识支撑创新实践，创新实践反过来巩固专业认知。</w:t>
            </w:r>
          </w:p>
          <w:p w14:paraId="4CD31335">
            <w:pPr>
              <w:spacing w:line="400" w:lineRule="exact"/>
              <w:ind w:firstLine="480" w:firstLineChars="200"/>
              <w:rPr>
                <w:rFonts w:eastAsia="华文中宋"/>
                <w:sz w:val="24"/>
                <w:szCs w:val="28"/>
              </w:rPr>
            </w:pPr>
            <w:r>
              <w:rPr>
                <w:rFonts w:hint="eastAsia" w:ascii="楷体" w:hAnsi="楷体" w:eastAsia="楷体"/>
                <w:bCs/>
                <w:sz w:val="24"/>
                <w:szCs w:val="28"/>
                <w:lang w:eastAsia="zh-CN"/>
              </w:rPr>
              <w:t>产学研协同创新：构建高校 + 研究机构 + 产业界 + 公益组织协同创新模式，高校输出人才、理论、技术原型；研究机构提供理论指导；产业界提供场景反馈；公益组织对接用户维权需求，多方联动推进算法歧视检测工具迭代优化与落地应用。</w:t>
            </w:r>
          </w:p>
        </w:tc>
      </w:tr>
    </w:tbl>
    <w:p w14:paraId="5C334C5F">
      <w:pPr>
        <w:spacing w:line="400" w:lineRule="exact"/>
        <w:ind w:firstLine="480" w:firstLineChars="200"/>
        <w:rPr>
          <w:rFonts w:hint="eastAsia" w:ascii="楷体" w:hAnsi="楷体" w:eastAsia="楷体"/>
          <w:bCs/>
          <w:sz w:val="24"/>
          <w:szCs w:val="28"/>
        </w:rPr>
      </w:pPr>
    </w:p>
    <w:p w14:paraId="3705BEF1">
      <w:pPr>
        <w:jc w:val="left"/>
        <w:rPr>
          <w:rFonts w:hint="default" w:eastAsia="宋体"/>
          <w:lang w:val="en-US" w:eastAsia="zh-CN"/>
        </w:rPr>
      </w:pPr>
      <w:r>
        <w:rPr>
          <w:rStyle w:val="23"/>
          <w:rFonts w:hint="eastAsia"/>
          <w:b/>
          <w:bCs/>
          <w:szCs w:val="28"/>
          <w:lang w:val="en-US" w:eastAsia="zh-CN"/>
        </w:rPr>
        <w:t>六、未来发展</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0A63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67BB99B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（一）短期目标（0—6 个月）：</w:t>
            </w:r>
            <w:bookmarkStart w:id="0" w:name="_GoBack"/>
            <w:bookmarkEnd w:id="0"/>
            <w:r>
              <w:rPr>
                <w:rFonts w:hint="eastAsia" w:ascii="楷体" w:hAnsi="楷体" w:eastAsia="楷体"/>
                <w:bCs/>
                <w:sz w:val="24"/>
                <w:szCs w:val="28"/>
                <w:lang w:eastAsia="zh-CN"/>
              </w:rPr>
              <w:t>夯实技术底座、完善产品功能、搭建初步合作体系。</w:t>
            </w:r>
          </w:p>
          <w:p w14:paraId="493E667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本阶段核心任务为完成项目基础技术打磨、核心产品迭代、数据能力升级与初步行业联动，重点解决项目初期技术适配不足、数据样本有限、证据效力薄弱、合作渠道空白等难题，搭建 “技术采集 - 数据分析 - 证据固化 - 初步联动” 的初级闭环，为中后期规模化运营、司法线索输出、行业合作落地筑牢底层基础。</w:t>
            </w:r>
          </w:p>
          <w:p w14:paraId="0981572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迭代优化 “算法歧视众包观测” 插件，完成 TOP20 主流电商平台全维度适配 针对插件适配平台偏少、数据采集不全、兼容性差、电商算法歧视识别维度单一等问题开展迭代。筛选国内流量与交易规模靠前的 20 家主流电商，覆盖综合、生鲜、奢侈品、二手、直播、社交电商等多赛道，囊括大众主要消费场景。针对性攻克不同平台页面架构、动态渲染、接口加密、反爬虫机制差异，优化插件兼容性、防封禁策略与采集逻辑，补齐商品展示、定价、优惠、搜索排序、推荐推送等模块的数据采集盲区。</w:t>
            </w:r>
          </w:p>
          <w:p w14:paraId="549F7A8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丰富算法歧视识别维度，聚焦大数据杀熟、地域 / 价格 / 会员歧视、新老用户差别对待、搜索与推荐偏见等典型违规行为，优化识别模型，细化抓取指标，采集设备信息、账号等级、地域 IP、浏览轨迹、定价与优惠差异等对比数据。同时轻量化插件，降低资源占用，修复卡顿、闪退、漏采、重复采集等问题，提升用户使用体验，支撑后续众包采集与推广。</w:t>
            </w:r>
          </w:p>
          <w:p w14:paraId="67356F6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完善本地控制台统计分析引擎，扩容数据样本、提升统计检验置信度与数据分析专业性 针对现有后台分析功能单薄、样本量不足、统计精度低、可视化效果差等短板升级数据分析体系。重构引擎底层架构，优化数据清洗、去重、降噪与异常值剔除算法，统一数据录入、存储与分类标准，搭建标准化本地数据库。开放多模式采集能力，支持 7×24 小时自动采集、用户手动采集、批量同步采集，持续积累真实消费场景数据，缓解样本不足带来的分析偏差。</w:t>
            </w:r>
          </w:p>
          <w:p w14:paraId="03F87BB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新增差异化定价统计、群体歧视比例、地域价格系数、算法时段波动、违规频次统计、歧视特征聚类等分析模块，搭建多维度分析模型。引入专业统计检验方法，优化显著性、相关性与差异性校验，降低随机误差干扰，将识别判定结果置信度提升至专业标准，保障分析报告、违规结论客观可靠，为线索研判、证据固化与合作对接提供数据支撑；优化控制台可视化界面，增加趋势图、违规热力图、平台排行榜，直观呈现监测结果。</w:t>
            </w:r>
          </w:p>
          <w:p w14:paraId="07B88F1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新增电子证据打包功能，落地哈希校验与可信时间戳机制，实现司法级证据固化 补齐项目仅可观测分析、缺乏合规取证能力、无法对接司法维权场景的短板，开发电子证据打包固化系统。设计标准化取证流程，对页面截图、日志、接口数据、浏览轨迹、价格对比、操作录屏等原始材料一键归档加密打包，避免证据碎片化、遗漏与篡改。</w:t>
            </w:r>
          </w:p>
          <w:p w14:paraId="0AF3D60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引入哈希校验，对原始数据与证据包生成唯一哈希值，保障采集、存储、调取全流程不可篡改；对接权威第三方可信时间戳服务，为每条数据与证据文件加盖时间戳，解决电子证据时间溯源难、真实性存疑问题。通过多重技术手段实现司法级证据固化，满足民事诉讼、公益诉讼、市场监管初步取证要求，打通 “数据采集 — 证据固化 — 维权使用” 链路，为向监管、司法机关移交线索提供支撑。</w:t>
            </w:r>
          </w:p>
          <w:p w14:paraId="03907A3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对接搭建试点合作渠道，与 1—2 家消协或高校法律援助中心建立常态化试点合作 解决技术落地与法律应用脱节、缺少权威背书、维权渠道不畅等问题，对接地方消协、高校法学院法律援助中心等公益机构。筛选具备消费纠纷处理经验、公益维权能力强的合作方，通过线上沟通、线下走访、方案汇报展示项目技术与取证能力，签订试点合作协议，明确权责与协作机制。建立常态化沟通，定期推送观测数据、典型案例与研判报告，由法律团队审核证据合规性、评估维权可行性。依托合作机构完善项目算法歧视判定法律规则，弥补技术团队法律短板，探索 “技术采集 + 法律研判” 合作模式，为后续规模化线索移交、公益诉讼积累试点经验。</w:t>
            </w:r>
          </w:p>
          <w:p w14:paraId="405BE410">
            <w:pPr>
              <w:numPr>
                <w:ilvl w:val="0"/>
                <w:numId w:val="5"/>
              </w:num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中期目标（6—24 个月）：降低使用门槛、扩大合作规模、实现用户与数据规模化增长、探索可持续运营模式</w:t>
            </w:r>
          </w:p>
          <w:p w14:paraId="408C6F5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阶段在短期技术落地与试点合作基础上，推进产品轻量化升级、合作网络扩容、用户与数据体量突破、司法线索实战落地，探索市场化反哺公益的运营路径，推动项目从技术试点转向规模化运营与实战维权，搭建 “全民众包采集、专业机构研判、司法机关落地、合规服务反哺” 完整运营体系，提升项目社会价值与可持续能力。</w:t>
            </w:r>
          </w:p>
          <w:p w14:paraId="65AB611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上线移动端采集工具，全方位降低普通用户使用门槛，拓宽众包采集渠道 针对项目仅支持电脑端插件、场景受限、操作门槛高、众包覆盖面不足等痛点，开发适配安卓、iOS 的移动端采集工具及小程序、轻应用等轻量化形态。简化操作流程，打造 “一键采集、自动识别歧视、打包证据、上传数据” 极简模式，普通消费者无需专业技术即可上手。适配手机电商 APP、小程序、H5 页面，实现移动端全场景算法歧视数据采集，打破电脑端场景限制。配套图文教程、短视频与新手指引降低学习成本，依托移动端产品拓宽用户群体，激活全民监督优势，构建实时全域的众包监测网络，带动数据量快速增长。</w:t>
            </w:r>
          </w:p>
          <w:p w14:paraId="200A362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规模化拓展权威合作渠道，移交首批具备司法效力的公益诉讼线索 在试点基础上扩大合作至 3—5 家机构，重点对接地方消协、检察机关、公益诉讼法律服务中心，升级合作层级、丰富协作内容。搭建标准化线索研判、审核、移交、跟进闭环，依托取证能力与法律机构专业研判，筛选证据完整、事实清晰、具有群体性侵害特征的典型案例。针对大数据杀熟、群体价格歧视等违规行为，整理线索报告、证据包与案情材料，移交首批具备司法效力的公益诉讼线索；配合机构开展核查、研判、取证补充、立案跟进，推动典型案件落地。同时根据司法实战经验反向优化证据标准、判定规则与线索筛选体系，打造技术赋能公益诉讼标杆案例。</w:t>
            </w:r>
          </w:p>
          <w:p w14:paraId="4593D43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实现用户与数据规模化增长，达成 3 万注册用户、100 万条有效观测数据目标 依托移动端产品上线、维权案例宣传开展多元用户运营，面向消费者、高校师生、公益与法律从业者推广产品，目标积累 3 万注册用户。搭建分层用户运营体系，通过积分激励、公益认证、案例公示提升用户活跃度与留存，减少僵尸用户。数据层面严把质量关，优化筛选机制，区分有效数据与无效残缺数据，保证入库数据具备完整场景、对比及证据信息，可用于歧视分析与举证。通过多渠道采集累计获取 100 万条有效观测数据，建成电商算法歧视专项数据库，依托高质量数据持续优化分析引擎，挖掘平台算法歧视规律，为标准研究、合规服务与学术研究提供支撑。</w:t>
            </w:r>
          </w:p>
          <w:p w14:paraId="2ED5ED5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探索平台企业合规报告服务，实现小额营收反哺公益长效运营 破解纯公益项目资金不稳定难题，依托项目技术、数据与分析能力，面向电商平台推出算法合规咨询、风险排查、整改诊断、年度合规报告等市场化服务。结合算法治理、消费者保护相关法规政策搭建标准化算法合规评估体系，帮助平台识别算法歧视风险、提前整改，降低监管与舆情压力。合规服务产生的营收全部投入项目技术迭代、产品运营、公益维权与团队建设，摆脱对外部捐赠的依赖，形成 “公益监测赋能企业合规、市场营收支撑公益发展” 的良性循环。</w:t>
            </w:r>
          </w:p>
          <w:p w14:paraId="73EA186A">
            <w:pPr>
              <w:numPr>
                <w:ilvl w:val="0"/>
                <w:numId w:val="5"/>
              </w:numPr>
              <w:spacing w:line="400" w:lineRule="exact"/>
              <w:ind w:left="0" w:leftChars="0"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长期目标（24—36 个月）：打造行业标杆、构建团体标准、实现长效公益、深化学术科研赋能</w:t>
            </w:r>
          </w:p>
          <w:p w14:paraId="54506C4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本阶段聚焦项目提质升级、行业影响力塑造、标准化体系搭建、公益模式固化与产学研融合，推动项目由单一监测工具、区域试点升级为集标准输出、全域赋能于一体的算法公平治理平台，沉淀技术、数据、案例、标准等成果，助力国内电商算法公平治理体系建设。</w:t>
            </w:r>
          </w:p>
          <w:p w14:paraId="3C607E1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持续迭代技术体系，优化统计引擎与法律规则库，全面提升算法歧视检测精准度 基于海量监测数据、司法判例与监管政策迭代技术与规则体系。技术层面，引入机器学习、聚类分析等技术，提升对隐蔽、动态、新型算法歧视的识别预判能力，攻克隐性歧视识别难题；持续优化数据校验、证据固化与误差修正机制，提升检测覆盖率与准确率，打造国内领先的算法歧视智能检测体系。规则层面，完善法律规则库，实时更新算法、电商、消费者权益相关法规、司法解释与监管案例；结合项目数据、诉讼案例细化算法歧视判定边界、责任认定规则，实现技术检测与法律实务深度匹配。</w:t>
            </w:r>
          </w:p>
          <w:p w14:paraId="54C77E48">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全域拓展平台覆盖范围，积累海量公益线索，推动行业团体标准落地成型 在 TOP20 电商平台基础上，拓展监测范围至中小电商、跨境电商、社区团购、本地生活平台，建成覆盖国内主流消费互联网平台的算法公平监测网络。持续积累群体性侵权线索，批量向司法、监管机关移交高质量案件，发挥案例震慑作用，倒逼平台规范算法运营。联合消协、高校、行业协会、司法机构牵头或参与制定电商算法公平监测与歧视判定团体标准，明确合规边界、监测规范与维权流程，填补行业标准空白，树立国内算法公益治理标杆。</w:t>
            </w:r>
          </w:p>
          <w:p w14:paraId="3DC40B3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固化可持续公益运营模式，规模化服务广大消费者，释放公共社会价值 固化 “技术赋能 + 司法联动 + 市场反哺 + 全民参与” 可复制的公益运营模式，稳定市场化合规服务收入，保障项目自主长效运转。持续免费开放算法监测、证据留存、维权辅助等公益能力给全国消费者，降低全民监督门槛。依托监测网络与维权协作机制，持续化解大数据杀熟、价格不公等消费纠纷，保障消费者公平交易权、知情权；通过案例公示与科普宣传提升全社会算法公平意识，引导平台恪守算法伦理，净化网络消费环境，打造国内算法公平公益品牌。</w:t>
            </w:r>
          </w:p>
          <w:p w14:paraId="028C84E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深化产学研合作，赋能算法公平治理学术研究与行业发展 与多所高校法学院、人工智能研究院、社科智库建立深度产学研合作，搭建算法公平治理研究平台。脱敏开放项目数据库与案例库，支撑高校课题研究、论文产出与人才培养；联合申报省部级、国家级算法治理与数字消费权益保护课题，开展算法歧视成因、监管路径、合规体系等专项研究。定期举办学术论坛与行业沙龙，汇聚学界、司法、监管、企业方交流成果；依托科研成果反哺项目技术迭代、标准研制与模式优化，形成实践与学术双向赋能，助力我国 AI 算法治理与数字消费者权益保护领域发展。</w:t>
            </w:r>
          </w:p>
        </w:tc>
      </w:tr>
    </w:tbl>
    <w:p w14:paraId="2E99EB09">
      <w:pPr>
        <w:jc w:val="left"/>
        <w:rPr>
          <w:rFonts w:hint="default" w:eastAsia="宋体"/>
          <w:lang w:val="en-US" w:eastAsia="zh-CN"/>
        </w:rPr>
      </w:pPr>
      <w:r>
        <w:rPr>
          <w:rStyle w:val="23"/>
          <w:rFonts w:hint="eastAsia"/>
          <w:b/>
          <w:bCs/>
          <w:szCs w:val="28"/>
          <w:lang w:val="en-US" w:eastAsia="zh-CN"/>
        </w:rPr>
        <w:t>七、附件</w:t>
      </w:r>
    </w:p>
    <w:tbl>
      <w:tblPr>
        <w:tblStyle w:val="1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2AEE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tcPr>
          <w:p w14:paraId="2D6DA06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1.调查问卷</w:t>
            </w:r>
          </w:p>
          <w:p w14:paraId="0F9713D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2.调研报告</w:t>
            </w:r>
          </w:p>
          <w:p w14:paraId="3A89748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3.平台运行视频</w:t>
            </w:r>
          </w:p>
          <w:p w14:paraId="1ACFC3E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4.平台源代码</w:t>
            </w:r>
          </w:p>
          <w:p w14:paraId="4C94F6D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5.系统运行截图（JSON数据、控制台总览、观测数据、歧视分析、插件前端）</w:t>
            </w:r>
          </w:p>
          <w:p w14:paraId="76A121A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【附件图片支撑清单（供团队自行补充排版）】</w:t>
            </w:r>
          </w:p>
          <w:p w14:paraId="3AF1C577">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为证明项目的真实性与过程性，请在附件部分补充以下图片：</w:t>
            </w:r>
          </w:p>
          <w:p w14:paraId="33D4553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一、调研实证类</w:t>
            </w:r>
          </w:p>
          <w:p w14:paraId="0EC7DE3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1.调研现场照片（消协、互联网平台、法律援助中心等）</w:t>
            </w:r>
          </w:p>
          <w:p w14:paraId="5394F34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2.问卷截图与数据图表（如饼图：78.6%消费者认为存在杀熟）</w:t>
            </w:r>
          </w:p>
          <w:p w14:paraId="24C9F11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3.调研报告封面/目录/核心结论页</w:t>
            </w:r>
          </w:p>
          <w:p w14:paraId="0D7148F2">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4.访谈记录截图（消协工作人员、公益律师）</w:t>
            </w:r>
          </w:p>
          <w:p w14:paraId="22FEF4D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二、法理创新类</w:t>
            </w:r>
          </w:p>
          <w:p w14:paraId="14981BE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5.算法歧视法律认定框架图（四要件流程图）</w:t>
            </w:r>
          </w:p>
          <w:p w14:paraId="498CDCCC">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6.“合理抗辩标签库”对比表（涉嫌歧视标签vs合理抗辩事由）</w:t>
            </w:r>
          </w:p>
          <w:p w14:paraId="033C00C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7.举证责任倒置逻辑推演图</w:t>
            </w:r>
          </w:p>
          <w:p w14:paraId="6A8853F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8.法条映射对照表（法条vs平台功能模块）</w:t>
            </w:r>
          </w:p>
          <w:p w14:paraId="5A519ED6">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三、系统实证类</w:t>
            </w:r>
          </w:p>
          <w:p w14:paraId="746473E5">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9.浏览器插件前端截图（授权状态、采集按钮、观测ID）</w:t>
            </w:r>
          </w:p>
          <w:p w14:paraId="50EE6C03">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10.本地控制台总览截图（采集→入库→统计检验→判定流水线）</w:t>
            </w:r>
          </w:p>
          <w:p w14:paraId="1C607A4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11.观测数据列表截图（平台、商品、标价、到手价明细）</w:t>
            </w:r>
          </w:p>
          <w:p w14:paraId="6DEF005A">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12.歧视分析界面截图（用户A vs用户B对比、Mann Whitney U检验、低置信预警）</w:t>
            </w:r>
          </w:p>
          <w:p w14:paraId="014EB5FD">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13.后台原始数据JSON截图（观测ID、价格等字段）</w:t>
            </w:r>
          </w:p>
          <w:p w14:paraId="710FC544">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14.系统架构图（前端插件→后端API→数据库→统计引擎→法律规则库）</w:t>
            </w:r>
          </w:p>
          <w:p w14:paraId="7504492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15.运行视频二维码</w:t>
            </w:r>
          </w:p>
          <w:p w14:paraId="1CB8B1CE">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四、团队与成长类</w:t>
            </w:r>
          </w:p>
          <w:p w14:paraId="53AC6CE9">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16.团队成员工作照（法学生查法条/写规则库，计算机学生写代码/调参）</w:t>
            </w:r>
          </w:p>
          <w:p w14:paraId="414C48BF">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17.学校资源实景图（模拟法庭、法律援助中心、大数据实验室）</w:t>
            </w:r>
          </w:p>
          <w:p w14:paraId="64F46DEB">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18.创始人成长轨迹图（2025年调研→2026年规则库→2026年原型开发）</w:t>
            </w:r>
          </w:p>
          <w:p w14:paraId="134C8871">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19.真实获奖证明（如有，如模拟法庭、挑战杯、外研社比赛证书）</w:t>
            </w:r>
          </w:p>
          <w:p w14:paraId="22BF17A0">
            <w:pPr>
              <w:spacing w:line="400" w:lineRule="exact"/>
              <w:ind w:firstLine="480" w:firstLineChars="200"/>
              <w:rPr>
                <w:rFonts w:hint="eastAsia" w:ascii="楷体" w:hAnsi="楷体" w:eastAsia="楷体"/>
                <w:bCs/>
                <w:sz w:val="24"/>
                <w:szCs w:val="28"/>
                <w:lang w:eastAsia="zh-CN"/>
              </w:rPr>
            </w:pPr>
            <w:r>
              <w:rPr>
                <w:rFonts w:hint="eastAsia" w:ascii="楷体" w:hAnsi="楷体" w:eastAsia="楷体"/>
                <w:bCs/>
                <w:sz w:val="24"/>
                <w:szCs w:val="28"/>
                <w:lang w:eastAsia="zh-CN"/>
              </w:rPr>
              <w:t>20.大创项目立项截图（如有）</w:t>
            </w:r>
          </w:p>
        </w:tc>
      </w:tr>
    </w:tbl>
    <w:p w14:paraId="3EF66D70">
      <w:pPr>
        <w:tabs>
          <w:tab w:val="left" w:pos="1286"/>
        </w:tabs>
        <w:bidi w:val="0"/>
        <w:jc w:val="left"/>
        <w:rPr>
          <w:rFonts w:hint="eastAsia"/>
          <w:lang w:val="en-US" w:eastAsia="zh-CN"/>
        </w:rPr>
      </w:pPr>
    </w:p>
    <w:sectPr>
      <w:headerReference r:id="rId3" w:type="default"/>
      <w:footerReference r:id="rId4" w:type="default"/>
      <w:pgSz w:w="11907" w:h="16839"/>
      <w:pgMar w:top="1701"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小标宋简体">
    <w:altName w:val="方正舒体"/>
    <w:panose1 w:val="00000000000000000000"/>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5344">
    <w:pPr>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p w14:paraId="25B54E6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15AAB">
    <w:pPr>
      <w:jc w:val="both"/>
      <w:rPr>
        <w:rFonts w:hint="default" w:eastAsia="华文中宋"/>
        <w:lang w:val="en-US" w:eastAsia="zh-CN"/>
      </w:rPr>
    </w:pPr>
    <w:r>
      <w:rPr>
        <w:rFonts w:hint="eastAsia" w:ascii="华文中宋" w:hAnsi="华文中宋" w:eastAsia="华文中宋"/>
        <w:sz w:val="28"/>
        <w:szCs w:val="28"/>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llHVNUA&#10;AAAGAQAADwAAAAAAAAABACAAAAAiAAAAZHJzL2Rvd25yZXYueG1sUEsBAhQAFAAAAAgAh07iQGDI&#10;ig/pAQAA4QMAAA4AAAAAAAAAAQAgAAAAJAEAAGRycy9lMm9Eb2MueG1sUEsFBgAAAAAGAAYAWQEA&#10;AH8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lang w:val="en-US" w:eastAsia="zh-CN"/>
      </w:rPr>
      <w:t>价衡卫士</w:t>
    </w:r>
    <w:r>
      <w:rPr>
        <w:rFonts w:hint="eastAsia" w:ascii="华文中宋" w:hAnsi="华文中宋" w:eastAsia="华文中宋"/>
        <w:sz w:val="28"/>
        <w:szCs w:val="28"/>
      </w:rPr>
      <w:t xml:space="preserve">                         </w:t>
    </w:r>
    <w:r>
      <w:rPr>
        <w:rFonts w:hint="eastAsia" w:ascii="华文中宋" w:hAnsi="华文中宋" w:eastAsia="华文中宋"/>
        <w:sz w:val="28"/>
        <w:szCs w:val="28"/>
        <w:lang w:val="en-US" w:eastAsia="zh-CN"/>
      </w:rPr>
      <w:t xml:space="preserve">                     商业计划书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30E54D"/>
    <w:multiLevelType w:val="singleLevel"/>
    <w:tmpl w:val="D430E54D"/>
    <w:lvl w:ilvl="0" w:tentative="0">
      <w:start w:val="4"/>
      <w:numFmt w:val="chineseCounting"/>
      <w:suff w:val="nothing"/>
      <w:lvlText w:val="（%1）"/>
      <w:lvlJc w:val="left"/>
      <w:rPr>
        <w:rFonts w:hint="eastAsia"/>
      </w:rPr>
    </w:lvl>
  </w:abstractNum>
  <w:abstractNum w:abstractNumId="1">
    <w:nsid w:val="E08326CF"/>
    <w:multiLevelType w:val="singleLevel"/>
    <w:tmpl w:val="E08326CF"/>
    <w:lvl w:ilvl="0" w:tentative="0">
      <w:start w:val="6"/>
      <w:numFmt w:val="chineseCounting"/>
      <w:suff w:val="nothing"/>
      <w:lvlText w:val="（%1）"/>
      <w:lvlJc w:val="left"/>
      <w:rPr>
        <w:rFonts w:hint="eastAsia"/>
      </w:rPr>
    </w:lvl>
  </w:abstractNum>
  <w:abstractNum w:abstractNumId="2">
    <w:nsid w:val="5C18F23B"/>
    <w:multiLevelType w:val="singleLevel"/>
    <w:tmpl w:val="5C18F23B"/>
    <w:lvl w:ilvl="0" w:tentative="0">
      <w:start w:val="2"/>
      <w:numFmt w:val="chineseCounting"/>
      <w:suff w:val="nothing"/>
      <w:lvlText w:val="（%1）"/>
      <w:lvlJc w:val="left"/>
      <w:rPr>
        <w:rFonts w:hint="eastAsia"/>
      </w:rPr>
    </w:lvl>
  </w:abstractNum>
  <w:abstractNum w:abstractNumId="3">
    <w:nsid w:val="6E32AF4A"/>
    <w:multiLevelType w:val="singleLevel"/>
    <w:tmpl w:val="6E32AF4A"/>
    <w:lvl w:ilvl="0" w:tentative="0">
      <w:start w:val="3"/>
      <w:numFmt w:val="chineseCounting"/>
      <w:suff w:val="nothing"/>
      <w:lvlText w:val="（%1）"/>
      <w:lvlJc w:val="left"/>
      <w:rPr>
        <w:rFonts w:hint="eastAsia"/>
      </w:rPr>
    </w:lvl>
  </w:abstractNum>
  <w:abstractNum w:abstractNumId="4">
    <w:nsid w:val="7F1E0174"/>
    <w:multiLevelType w:val="singleLevel"/>
    <w:tmpl w:val="7F1E0174"/>
    <w:lvl w:ilvl="0" w:tentative="0">
      <w:start w:val="4"/>
      <w:numFmt w:val="decimal"/>
      <w:suff w:val="space"/>
      <w:lvlText w:val="%1."/>
      <w:lvlJc w:val="left"/>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AEA"/>
    <w:rsid w:val="000061BB"/>
    <w:rsid w:val="00024C8B"/>
    <w:rsid w:val="00026FE8"/>
    <w:rsid w:val="0006084F"/>
    <w:rsid w:val="00067C27"/>
    <w:rsid w:val="00092F30"/>
    <w:rsid w:val="000A3A05"/>
    <w:rsid w:val="000C1C72"/>
    <w:rsid w:val="000D5141"/>
    <w:rsid w:val="000D6F3A"/>
    <w:rsid w:val="000F013B"/>
    <w:rsid w:val="000F17A0"/>
    <w:rsid w:val="000F44B6"/>
    <w:rsid w:val="00101431"/>
    <w:rsid w:val="001327B8"/>
    <w:rsid w:val="00133C9A"/>
    <w:rsid w:val="0015120B"/>
    <w:rsid w:val="00162884"/>
    <w:rsid w:val="00170028"/>
    <w:rsid w:val="0017640A"/>
    <w:rsid w:val="00186044"/>
    <w:rsid w:val="001963C4"/>
    <w:rsid w:val="001B1202"/>
    <w:rsid w:val="001D0B14"/>
    <w:rsid w:val="002009A9"/>
    <w:rsid w:val="00201901"/>
    <w:rsid w:val="002053B3"/>
    <w:rsid w:val="002072B2"/>
    <w:rsid w:val="002077F9"/>
    <w:rsid w:val="002130E5"/>
    <w:rsid w:val="00215DFF"/>
    <w:rsid w:val="002167D1"/>
    <w:rsid w:val="00232C86"/>
    <w:rsid w:val="002372D4"/>
    <w:rsid w:val="002515A3"/>
    <w:rsid w:val="00257F7D"/>
    <w:rsid w:val="00274750"/>
    <w:rsid w:val="00285F72"/>
    <w:rsid w:val="00296BA2"/>
    <w:rsid w:val="002A1104"/>
    <w:rsid w:val="002B3B62"/>
    <w:rsid w:val="002B77E5"/>
    <w:rsid w:val="002C01B3"/>
    <w:rsid w:val="002F031F"/>
    <w:rsid w:val="002F56C8"/>
    <w:rsid w:val="002F7DE9"/>
    <w:rsid w:val="003414E7"/>
    <w:rsid w:val="003719C3"/>
    <w:rsid w:val="003A30B7"/>
    <w:rsid w:val="003A5B32"/>
    <w:rsid w:val="003B1C12"/>
    <w:rsid w:val="003B6CF1"/>
    <w:rsid w:val="003C2498"/>
    <w:rsid w:val="003E0825"/>
    <w:rsid w:val="003E450D"/>
    <w:rsid w:val="003E501F"/>
    <w:rsid w:val="004145BE"/>
    <w:rsid w:val="00431135"/>
    <w:rsid w:val="00437C01"/>
    <w:rsid w:val="00441120"/>
    <w:rsid w:val="00443806"/>
    <w:rsid w:val="00444E67"/>
    <w:rsid w:val="004511B9"/>
    <w:rsid w:val="004644CE"/>
    <w:rsid w:val="00491A69"/>
    <w:rsid w:val="00495929"/>
    <w:rsid w:val="00495EEA"/>
    <w:rsid w:val="004A33E9"/>
    <w:rsid w:val="004A609B"/>
    <w:rsid w:val="004D10E8"/>
    <w:rsid w:val="004D3D90"/>
    <w:rsid w:val="0052430C"/>
    <w:rsid w:val="00526CF8"/>
    <w:rsid w:val="0054176C"/>
    <w:rsid w:val="00542669"/>
    <w:rsid w:val="00561FB6"/>
    <w:rsid w:val="00570A18"/>
    <w:rsid w:val="00583DEC"/>
    <w:rsid w:val="00584234"/>
    <w:rsid w:val="005867BB"/>
    <w:rsid w:val="00597F13"/>
    <w:rsid w:val="005A6176"/>
    <w:rsid w:val="005A79B5"/>
    <w:rsid w:val="005C509C"/>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A7562"/>
    <w:rsid w:val="006B3B03"/>
    <w:rsid w:val="006C301F"/>
    <w:rsid w:val="006E434A"/>
    <w:rsid w:val="006E5FF1"/>
    <w:rsid w:val="006F29E7"/>
    <w:rsid w:val="007147C9"/>
    <w:rsid w:val="00714D3A"/>
    <w:rsid w:val="0072228B"/>
    <w:rsid w:val="00723966"/>
    <w:rsid w:val="00726ADD"/>
    <w:rsid w:val="00734FE8"/>
    <w:rsid w:val="007358D4"/>
    <w:rsid w:val="00740ACF"/>
    <w:rsid w:val="00752951"/>
    <w:rsid w:val="007552EC"/>
    <w:rsid w:val="00771F5F"/>
    <w:rsid w:val="00776C21"/>
    <w:rsid w:val="00781B0B"/>
    <w:rsid w:val="00784C02"/>
    <w:rsid w:val="007A172A"/>
    <w:rsid w:val="007A69DA"/>
    <w:rsid w:val="007B0E9A"/>
    <w:rsid w:val="007B2650"/>
    <w:rsid w:val="007B31E6"/>
    <w:rsid w:val="007F5DF7"/>
    <w:rsid w:val="0080349D"/>
    <w:rsid w:val="0084022B"/>
    <w:rsid w:val="008524F0"/>
    <w:rsid w:val="00866470"/>
    <w:rsid w:val="0087563E"/>
    <w:rsid w:val="0089739F"/>
    <w:rsid w:val="008A3D51"/>
    <w:rsid w:val="008B2D79"/>
    <w:rsid w:val="008B6592"/>
    <w:rsid w:val="008C1895"/>
    <w:rsid w:val="008F25FC"/>
    <w:rsid w:val="008F25FD"/>
    <w:rsid w:val="008F4174"/>
    <w:rsid w:val="008F7DB9"/>
    <w:rsid w:val="00902844"/>
    <w:rsid w:val="00925D83"/>
    <w:rsid w:val="00926BFF"/>
    <w:rsid w:val="0093001A"/>
    <w:rsid w:val="0093280A"/>
    <w:rsid w:val="0095438E"/>
    <w:rsid w:val="0095444F"/>
    <w:rsid w:val="00962D59"/>
    <w:rsid w:val="00965465"/>
    <w:rsid w:val="00977DB3"/>
    <w:rsid w:val="009804A9"/>
    <w:rsid w:val="00986014"/>
    <w:rsid w:val="009A341D"/>
    <w:rsid w:val="009C514F"/>
    <w:rsid w:val="009D56D0"/>
    <w:rsid w:val="009E58B3"/>
    <w:rsid w:val="009F21C0"/>
    <w:rsid w:val="00A143E6"/>
    <w:rsid w:val="00A37C10"/>
    <w:rsid w:val="00A602CB"/>
    <w:rsid w:val="00A748FC"/>
    <w:rsid w:val="00A74CCD"/>
    <w:rsid w:val="00A96559"/>
    <w:rsid w:val="00AA4C29"/>
    <w:rsid w:val="00AB55A4"/>
    <w:rsid w:val="00AC0161"/>
    <w:rsid w:val="00AE4FC0"/>
    <w:rsid w:val="00AF6B83"/>
    <w:rsid w:val="00B03C98"/>
    <w:rsid w:val="00B070C7"/>
    <w:rsid w:val="00B0729C"/>
    <w:rsid w:val="00B11CB4"/>
    <w:rsid w:val="00B20F8F"/>
    <w:rsid w:val="00B22602"/>
    <w:rsid w:val="00B2581B"/>
    <w:rsid w:val="00B31599"/>
    <w:rsid w:val="00B54F71"/>
    <w:rsid w:val="00B64562"/>
    <w:rsid w:val="00B657BD"/>
    <w:rsid w:val="00B65C39"/>
    <w:rsid w:val="00B92759"/>
    <w:rsid w:val="00BA7D87"/>
    <w:rsid w:val="00BC35B7"/>
    <w:rsid w:val="00BC3CB3"/>
    <w:rsid w:val="00BE2417"/>
    <w:rsid w:val="00BE749A"/>
    <w:rsid w:val="00C049B7"/>
    <w:rsid w:val="00C10A3A"/>
    <w:rsid w:val="00C10ECC"/>
    <w:rsid w:val="00C21D9D"/>
    <w:rsid w:val="00C341BD"/>
    <w:rsid w:val="00C379F8"/>
    <w:rsid w:val="00C419CE"/>
    <w:rsid w:val="00C75B61"/>
    <w:rsid w:val="00C90C5B"/>
    <w:rsid w:val="00C96D12"/>
    <w:rsid w:val="00CB14FC"/>
    <w:rsid w:val="00CC35E7"/>
    <w:rsid w:val="00CC71AE"/>
    <w:rsid w:val="00CD1F3C"/>
    <w:rsid w:val="00CD38D7"/>
    <w:rsid w:val="00CF0C47"/>
    <w:rsid w:val="00CF7B99"/>
    <w:rsid w:val="00D02C5E"/>
    <w:rsid w:val="00D1205E"/>
    <w:rsid w:val="00D1368C"/>
    <w:rsid w:val="00D138E6"/>
    <w:rsid w:val="00D15CD2"/>
    <w:rsid w:val="00D2616D"/>
    <w:rsid w:val="00D32A25"/>
    <w:rsid w:val="00D4362D"/>
    <w:rsid w:val="00D5222F"/>
    <w:rsid w:val="00D665F7"/>
    <w:rsid w:val="00D66E00"/>
    <w:rsid w:val="00D7054F"/>
    <w:rsid w:val="00D76FFD"/>
    <w:rsid w:val="00DA2803"/>
    <w:rsid w:val="00DB7742"/>
    <w:rsid w:val="00DE40C9"/>
    <w:rsid w:val="00DF0D7B"/>
    <w:rsid w:val="00E02266"/>
    <w:rsid w:val="00E02E1F"/>
    <w:rsid w:val="00E408BC"/>
    <w:rsid w:val="00E50C0D"/>
    <w:rsid w:val="00E52373"/>
    <w:rsid w:val="00E53017"/>
    <w:rsid w:val="00E56C2E"/>
    <w:rsid w:val="00E63AEA"/>
    <w:rsid w:val="00E916A4"/>
    <w:rsid w:val="00E97B59"/>
    <w:rsid w:val="00EA390C"/>
    <w:rsid w:val="00EB4CDF"/>
    <w:rsid w:val="00EB79BD"/>
    <w:rsid w:val="00EC3B91"/>
    <w:rsid w:val="00ED1CC8"/>
    <w:rsid w:val="00EE7D84"/>
    <w:rsid w:val="00F00D42"/>
    <w:rsid w:val="00F02430"/>
    <w:rsid w:val="00F1174F"/>
    <w:rsid w:val="00F43DB4"/>
    <w:rsid w:val="00F505B6"/>
    <w:rsid w:val="00F5356E"/>
    <w:rsid w:val="00F55A97"/>
    <w:rsid w:val="00F56504"/>
    <w:rsid w:val="00F7578E"/>
    <w:rsid w:val="00F843A2"/>
    <w:rsid w:val="00FA17C8"/>
    <w:rsid w:val="00FA600E"/>
    <w:rsid w:val="00FC61C9"/>
    <w:rsid w:val="00FC7491"/>
    <w:rsid w:val="00FD6F5E"/>
    <w:rsid w:val="00FF081E"/>
    <w:rsid w:val="00FF0E8D"/>
    <w:rsid w:val="00FF3697"/>
    <w:rsid w:val="024135F9"/>
    <w:rsid w:val="02441F1E"/>
    <w:rsid w:val="07CD206E"/>
    <w:rsid w:val="091F4B4B"/>
    <w:rsid w:val="0A795AFD"/>
    <w:rsid w:val="0AAC4E16"/>
    <w:rsid w:val="134F0EDE"/>
    <w:rsid w:val="138D4E55"/>
    <w:rsid w:val="161F43DC"/>
    <w:rsid w:val="1B187F23"/>
    <w:rsid w:val="21EF55AB"/>
    <w:rsid w:val="237613B4"/>
    <w:rsid w:val="25D92790"/>
    <w:rsid w:val="26F43175"/>
    <w:rsid w:val="30500649"/>
    <w:rsid w:val="36DA4F21"/>
    <w:rsid w:val="3995038E"/>
    <w:rsid w:val="429C278D"/>
    <w:rsid w:val="47D11609"/>
    <w:rsid w:val="49282B54"/>
    <w:rsid w:val="492A4797"/>
    <w:rsid w:val="493C6A78"/>
    <w:rsid w:val="4BBC1BF8"/>
    <w:rsid w:val="520774F7"/>
    <w:rsid w:val="5221680B"/>
    <w:rsid w:val="53DB64F1"/>
    <w:rsid w:val="54E3249D"/>
    <w:rsid w:val="5B1C3014"/>
    <w:rsid w:val="5B5419FF"/>
    <w:rsid w:val="603E05ED"/>
    <w:rsid w:val="65B37C6A"/>
    <w:rsid w:val="65CD0D2C"/>
    <w:rsid w:val="673F7A07"/>
    <w:rsid w:val="68C36416"/>
    <w:rsid w:val="6B560E7C"/>
    <w:rsid w:val="72764E0F"/>
    <w:rsid w:val="776808B4"/>
    <w:rsid w:val="77A91F61"/>
    <w:rsid w:val="79110AD8"/>
    <w:rsid w:val="7BC0478B"/>
    <w:rsid w:val="7F79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semiHidden/>
    <w:qFormat/>
    <w:uiPriority w:val="0"/>
    <w:rPr>
      <w:sz w:val="18"/>
      <w:szCs w:val="18"/>
    </w:rPr>
  </w:style>
  <w:style w:type="paragraph" w:styleId="7">
    <w:name w:val="footer"/>
    <w:basedOn w:val="1"/>
    <w:link w:val="16"/>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styleId="15">
    <w:name w:val="Hyperlink"/>
    <w:basedOn w:val="11"/>
    <w:qFormat/>
    <w:uiPriority w:val="0"/>
    <w:rPr>
      <w:color w:val="0000FF"/>
      <w:u w:val="single"/>
    </w:rPr>
  </w:style>
  <w:style w:type="character" w:customStyle="1" w:styleId="16">
    <w:name w:val="页脚 字符"/>
    <w:link w:val="7"/>
    <w:qFormat/>
    <w:uiPriority w:val="99"/>
    <w:rPr>
      <w:kern w:val="2"/>
      <w:sz w:val="18"/>
      <w:szCs w:val="18"/>
    </w:rPr>
  </w:style>
  <w:style w:type="character" w:customStyle="1" w:styleId="17">
    <w:name w:val="封面1"/>
    <w:qFormat/>
    <w:uiPriority w:val="0"/>
    <w:rPr>
      <w:rFonts w:ascii="Times New Roman" w:hAnsi="Times New Roman" w:eastAsia="楷体_GB2312"/>
      <w:spacing w:val="60"/>
      <w:kern w:val="84"/>
      <w:sz w:val="84"/>
    </w:rPr>
  </w:style>
  <w:style w:type="character" w:customStyle="1" w:styleId="18">
    <w:name w:val="封面2"/>
    <w:qFormat/>
    <w:uiPriority w:val="0"/>
    <w:rPr>
      <w:b/>
      <w:spacing w:val="60"/>
      <w:sz w:val="44"/>
    </w:rPr>
  </w:style>
  <w:style w:type="character" w:customStyle="1" w:styleId="19">
    <w:name w:val="封面-论文题目"/>
    <w:qFormat/>
    <w:uiPriority w:val="0"/>
    <w:rPr>
      <w:rFonts w:ascii="Times New Roman" w:hAnsi="Times New Roman" w:eastAsia="宋体"/>
      <w:sz w:val="36"/>
    </w:rPr>
  </w:style>
  <w:style w:type="character" w:customStyle="1" w:styleId="20">
    <w:name w:val="封面-论文英文题目"/>
    <w:qFormat/>
    <w:uiPriority w:val="0"/>
    <w:rPr>
      <w:rFonts w:ascii="Times New Roman" w:hAnsi="Times New Roman" w:eastAsia="宋体"/>
      <w:sz w:val="36"/>
    </w:rPr>
  </w:style>
  <w:style w:type="character" w:customStyle="1" w:styleId="21">
    <w:name w:val="封面-导师"/>
    <w:qFormat/>
    <w:uiPriority w:val="0"/>
    <w:rPr>
      <w:rFonts w:ascii="Times New Roman" w:hAnsi="Times New Roman" w:eastAsia="宋体"/>
      <w:sz w:val="28"/>
    </w:rPr>
  </w:style>
  <w:style w:type="character" w:customStyle="1" w:styleId="22">
    <w:name w:val="封面-培养单位"/>
    <w:qFormat/>
    <w:uiPriority w:val="0"/>
    <w:rPr>
      <w:rFonts w:ascii="Times New Roman" w:hAnsi="Times New Roman" w:eastAsia="宋体"/>
      <w:sz w:val="28"/>
    </w:rPr>
  </w:style>
  <w:style w:type="character" w:customStyle="1" w:styleId="23">
    <w:name w:val="封面-日期"/>
    <w:qFormat/>
    <w:uiPriority w:val="0"/>
    <w:rPr>
      <w:rFonts w:ascii="Times New Roman" w:hAnsi="Times New Roman" w:eastAsia="宋体"/>
      <w:sz w:val="28"/>
    </w:rPr>
  </w:style>
  <w:style w:type="paragraph" w:customStyle="1" w:styleId="24">
    <w:name w:val="标题名（不入目录）"/>
    <w:basedOn w:val="1"/>
    <w:qFormat/>
    <w:uiPriority w:val="0"/>
    <w:pPr>
      <w:adjustRightInd w:val="0"/>
      <w:snapToGrid w:val="0"/>
      <w:spacing w:before="480" w:after="360"/>
      <w:jc w:val="center"/>
    </w:pPr>
    <w:rPr>
      <w:rFonts w:eastAsia="黑体"/>
      <w:kern w:val="0"/>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sjtu</Company>
  <Pages>40</Pages>
  <Words>23321</Words>
  <Characters>23962</Characters>
  <Lines>387</Lines>
  <Paragraphs>329</Paragraphs>
  <TotalTime>42</TotalTime>
  <ScaleCrop>false</ScaleCrop>
  <LinksUpToDate>false</LinksUpToDate>
  <CharactersWithSpaces>24076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2006-01-05T04:00:00Z</dcterms:created>
  <dc:creator>User</dc:creator>
  <cp:lastModifiedBy>橙子</cp:lastModifiedBy>
  <cp:lastPrinted>2015-01-16T06:49:00Z</cp:lastPrinted>
  <dcterms:modified xsi:type="dcterms:W3CDTF">2026-09-18T08:52:59Z</dcterms:modified>
  <dc:title>毕业设计(论文)评语</dc:title>
  <cp:revision>323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eyJoZGlkIjoiMWFhMjEwY2I2NDMxYmI0MzY3Zjc2M2UyMGY0ZTJlYjUiLCJ1c2VySWQiOiIxNjE4NzExOTE2In0=</vt:lpwstr>
  </property>
  <property fmtid="{D5CDD505-2E9C-101B-9397-08002B2CF9AE}" pid="3" name="KSOProductBuildVer">
    <vt:lpwstr>2052-12.1.0.28505</vt:lpwstr>
  </property>
  <property fmtid="{D5CDD505-2E9C-101B-9397-08002B2CF9AE}" pid="4" name="ICV">
    <vt:lpwstr>A9CA7D555F554300A009EFDF72EE8A68_13</vt:lpwstr>
  </property>
</Properties>
</file>