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368"/>
            <w:shd w:fill="365F91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44"/>
              </w:rPr>
              <w:t>Biblioteca Inteligente com IA</w:t>
            </w:r>
          </w:p>
          <w:p>
            <w:pPr>
              <w:jc w:val="center"/>
            </w:pPr>
            <w:r>
              <w:rPr>
                <w:color w:val="E7EEF7"/>
                <w:sz w:val="20"/>
              </w:rPr>
              <w:t>Relatório Executivo Final - Etapa 8 | Agosto de 2026</w:t>
            </w:r>
          </w:p>
        </w:tc>
      </w:tr>
    </w:tbl>
    <w:p/>
    <w:p>
      <w:pPr>
        <w:pStyle w:val="Heading1"/>
        <w:spacing w:before="160" w:after="80"/>
      </w:pPr>
      <w:r>
        <w:t>1. Resumo executivo</w:t>
      </w:r>
    </w:p>
    <w:p>
      <w:r>
        <w:t>A Etapa 8 consolida a análise da coleção atual e do histórico de leituras em um dashboard interativo, mantendo os dois conjuntos como universos distintos. A versão final incorpora as correções de lógica, filtros, correspondências validadas e regras de confiabilidade de datas definidas durante a revisão do dashboard.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fill="FFFFFF"/>
            <w:tcBorders>
              <w:top w:val="single" w:sz="6" w:color="DFE5EE"/>
              <w:left w:val="single" w:sz="6" w:color="DFE5EE"/>
              <w:bottom w:val="single" w:sz="6" w:color="DFE5EE"/>
              <w:right w:val="single" w:sz="6" w:color="DFE5EE"/>
            </w:tcBorders>
          </w:tcPr>
          <w:p>
            <w:r>
              <w:rPr>
                <w:b/>
                <w:color w:val="657086"/>
                <w:sz w:val="15"/>
              </w:rPr>
              <w:t>LIVROS NA ESTANTE</w:t>
            </w:r>
          </w:p>
          <w:p>
            <w:r>
              <w:rPr>
                <w:b/>
                <w:color w:val="152033"/>
                <w:sz w:val="38"/>
              </w:rPr>
              <w:t>325</w:t>
            </w:r>
          </w:p>
          <w:p>
            <w:r>
              <w:rPr>
                <w:color w:val="657086"/>
                <w:sz w:val="15"/>
              </w:rPr>
              <w:t>cadastros/edições</w:t>
            </w:r>
          </w:p>
        </w:tc>
        <w:tc>
          <w:tcPr>
            <w:tcW w:type="dxa" w:w="2074"/>
            <w:shd w:fill="FFFFFF"/>
            <w:tcBorders>
              <w:top w:val="single" w:sz="6" w:color="DFE5EE"/>
              <w:left w:val="single" w:sz="6" w:color="DFE5EE"/>
              <w:bottom w:val="single" w:sz="6" w:color="DFE5EE"/>
              <w:right w:val="single" w:sz="6" w:color="DFE5EE"/>
            </w:tcBorders>
          </w:tcPr>
          <w:p>
            <w:r>
              <w:rPr>
                <w:b/>
                <w:color w:val="657086"/>
                <w:sz w:val="15"/>
              </w:rPr>
              <w:t>LIDOS</w:t>
            </w:r>
          </w:p>
          <w:p>
            <w:r>
              <w:rPr>
                <w:b/>
                <w:color w:val="152033"/>
                <w:sz w:val="38"/>
              </w:rPr>
              <w:t>119</w:t>
            </w:r>
          </w:p>
          <w:p>
            <w:r>
              <w:rPr>
                <w:color w:val="657086"/>
                <w:sz w:val="15"/>
              </w:rPr>
              <w:t>36,62% da coleção</w:t>
            </w:r>
          </w:p>
        </w:tc>
        <w:tc>
          <w:tcPr>
            <w:tcW w:type="dxa" w:w="2074"/>
            <w:shd w:fill="FFFFFF"/>
            <w:tcBorders>
              <w:top w:val="single" w:sz="6" w:color="DFE5EE"/>
              <w:left w:val="single" w:sz="6" w:color="DFE5EE"/>
              <w:bottom w:val="single" w:sz="6" w:color="DFE5EE"/>
              <w:right w:val="single" w:sz="6" w:color="DFE5EE"/>
            </w:tcBorders>
          </w:tcPr>
          <w:p>
            <w:r>
              <w:rPr>
                <w:b/>
                <w:color w:val="657086"/>
                <w:sz w:val="15"/>
              </w:rPr>
              <w:t>NÃO LIDOS</w:t>
            </w:r>
          </w:p>
          <w:p>
            <w:r>
              <w:rPr>
                <w:b/>
                <w:color w:val="152033"/>
                <w:sz w:val="38"/>
              </w:rPr>
              <w:t>190</w:t>
            </w:r>
          </w:p>
          <w:p>
            <w:r>
              <w:rPr>
                <w:color w:val="657086"/>
                <w:sz w:val="15"/>
              </w:rPr>
              <w:t>58,46% da coleção</w:t>
            </w:r>
          </w:p>
        </w:tc>
        <w:tc>
          <w:tcPr>
            <w:tcW w:type="dxa" w:w="2074"/>
            <w:shd w:fill="FFFFFF"/>
            <w:tcBorders>
              <w:top w:val="single" w:sz="6" w:color="DFE5EE"/>
              <w:left w:val="single" w:sz="6" w:color="DFE5EE"/>
              <w:bottom w:val="single" w:sz="6" w:color="DFE5EE"/>
              <w:right w:val="single" w:sz="6" w:color="DFE5EE"/>
            </w:tcBorders>
          </w:tcPr>
          <w:p>
            <w:r>
              <w:rPr>
                <w:b/>
                <w:color w:val="657086"/>
                <w:sz w:val="15"/>
              </w:rPr>
              <w:t>HISTÓRICO</w:t>
            </w:r>
          </w:p>
          <w:p>
            <w:r>
              <w:rPr>
                <w:b/>
                <w:color w:val="152033"/>
                <w:sz w:val="38"/>
              </w:rPr>
              <w:t>275</w:t>
            </w:r>
          </w:p>
          <w:p>
            <w:r>
              <w:rPr>
                <w:color w:val="657086"/>
                <w:sz w:val="15"/>
              </w:rPr>
              <w:t>registros de leitura</w:t>
            </w:r>
          </w:p>
        </w:tc>
        <w:tc>
          <w:tcPr>
            <w:tcW w:type="dxa" w:w="2074"/>
            <w:shd w:fill="FFFFFF"/>
            <w:tcBorders>
              <w:top w:val="single" w:sz="6" w:color="DFE5EE"/>
              <w:left w:val="single" w:sz="6" w:color="DFE5EE"/>
              <w:bottom w:val="single" w:sz="6" w:color="DFE5EE"/>
              <w:right w:val="single" w:sz="6" w:color="DFE5EE"/>
            </w:tcBorders>
          </w:tcPr>
          <w:p>
            <w:r>
              <w:rPr>
                <w:b/>
                <w:color w:val="657086"/>
                <w:sz w:val="15"/>
              </w:rPr>
              <w:t>LEITURAS 2026</w:t>
            </w:r>
          </w:p>
          <w:p>
            <w:r>
              <w:rPr>
                <w:b/>
                <w:color w:val="152033"/>
                <w:sz w:val="38"/>
              </w:rPr>
              <w:t>28</w:t>
            </w:r>
          </w:p>
          <w:p>
            <w:r>
              <w:rPr>
                <w:color w:val="657086"/>
                <w:sz w:val="15"/>
              </w:rPr>
              <w:t>ano parcial</w:t>
            </w:r>
          </w:p>
        </w:tc>
      </w:tr>
    </w:tbl>
    <w:p/>
    <w:p>
      <w:pPr>
        <w:pStyle w:val="Heading1"/>
        <w:spacing w:before="160" w:after="80"/>
      </w:pPr>
      <w:r>
        <w:t>2. Recordes e padrões de leitura</w:t>
      </w:r>
    </w:p>
    <w:p>
      <w:pPr>
        <w:pStyle w:val="ListBullet"/>
        <w:spacing w:after="40"/>
      </w:pPr>
      <w:r>
        <w:t>2021 e 2025 são os anos com maior número de leituras registradas: 35 em cada ano.</w:t>
      </w:r>
    </w:p>
    <w:p>
      <w:pPr>
        <w:pStyle w:val="ListBullet"/>
        <w:spacing w:after="40"/>
      </w:pPr>
      <w:r>
        <w:t>Entre as 176 leituras com data mensal/diária considerada confiável, janeiro concentra o maior volume total: 29 leituras.</w:t>
      </w:r>
    </w:p>
    <w:p>
      <w:pPr>
        <w:pStyle w:val="ListBullet"/>
        <w:spacing w:after="40"/>
      </w:pPr>
      <w:r>
        <w:t>Abril é o mês que mais vezes aparece como pico anual: foi o mês de maior leitura em 3 dos 9 anos comparáveis; janeiro e dezembro aparecem em 2 anos cada.</w:t>
      </w:r>
    </w:p>
    <w:p>
      <w:pPr>
        <w:pStyle w:val="ListBullet"/>
        <w:spacing w:after="40"/>
      </w:pPr>
      <w:r>
        <w:t>Segunda-feira é o dia da semana com maior número de finalizações entre as datas confiáveis: 35 registros.</w:t>
      </w:r>
    </w:p>
    <w:p>
      <w:pPr>
        <w:pStyle w:val="ListBullet"/>
        <w:spacing w:after="40"/>
      </w:pPr>
      <w:r>
        <w:t>Datas registradas como 01/01/AAAA contam para o total anual, mas são excluídas das análises de mês e dia da semana. Janeiro só é usado quando a data está entre 02/01 e 31/01.</w:t>
      </w:r>
    </w:p>
    <w:p>
      <w:pPr>
        <w:pStyle w:val="Heading1"/>
        <w:spacing w:before="160" w:after="80"/>
      </w:pPr>
      <w:r>
        <w:t>3. Coleção e aquisições</w:t>
      </w:r>
    </w:p>
    <w:p>
      <w:pPr>
        <w:pStyle w:val="ListBullet"/>
        <w:spacing w:after="40"/>
      </w:pPr>
      <w:r>
        <w:t>A coleção final contém 325 cadastros/edições: 119 Sim, 190 Não, 13 Abandonado, 2 Lendo e 1 Relendo.</w:t>
      </w:r>
    </w:p>
    <w:p>
      <w:pPr>
        <w:pStyle w:val="ListBullet"/>
        <w:spacing w:after="40"/>
      </w:pPr>
      <w:r>
        <w:t>J. K. Rowling é a autora com maior presença na estante, com 18 cadastros.</w:t>
      </w:r>
    </w:p>
    <w:p>
      <w:pPr>
        <w:pStyle w:val="ListBullet"/>
        <w:spacing w:after="40"/>
      </w:pPr>
      <w:r>
        <w:t>Clube de Literatura Clássica lidera entre as editoras informadas, com 37 registros.</w:t>
      </w:r>
    </w:p>
    <w:p>
      <w:pPr>
        <w:pStyle w:val="ListBullet"/>
        <w:spacing w:after="40"/>
      </w:pPr>
      <w:r>
        <w:t>A base final possui 148 livros sem ano de compra e 93 sem editora informada.</w:t>
      </w:r>
    </w:p>
    <w:p>
      <w:pPr>
        <w:pStyle w:val="ListBullet"/>
        <w:spacing w:after="40"/>
      </w:pPr>
      <w:r>
        <w:t>Em 2026 há 76 aquisições com ano informado e 28 leituras registradas; as duas séries são independentes e não significam que os livros lidos no ano foram comprados no mesmo ano.</w:t>
      </w:r>
    </w:p>
    <w:p>
      <w:pPr>
        <w:pStyle w:val="Heading1"/>
        <w:spacing w:before="160" w:after="80"/>
      </w:pPr>
      <w:r>
        <w:t>4. Histórico de leituras e acesso</w:t>
      </w:r>
    </w:p>
    <w:p>
      <w:pPr>
        <w:pStyle w:val="ListBullet"/>
        <w:spacing w:after="40"/>
      </w:pPr>
      <w:r>
        <w:t>O histórico possui 275 registros, dos quais 274 têm uma data registrada e 176 atendem à regra de confiabilidade para análises mensais/diárias.</w:t>
      </w:r>
    </w:p>
    <w:p>
      <w:pPr>
        <w:pStyle w:val="ListBullet"/>
        <w:spacing w:after="40"/>
      </w:pPr>
      <w:r>
        <w:t>Registros sem formato/plataforma preenchido são classificados no dashboard como livro físico, conforme regra final definida para o projeto.</w:t>
      </w:r>
    </w:p>
    <w:p>
      <w:pPr>
        <w:pStyle w:val="ListBullet"/>
        <w:spacing w:after="40"/>
      </w:pPr>
      <w:r>
        <w:t>O dashboard separa tipo de leitura, pessoa que emprestou, origem/instituição e status histórico, com filtros independentes dos filtros da estante.</w:t>
      </w:r>
    </w:p>
    <w:p>
      <w:pPr>
        <w:pStyle w:val="ListBullet"/>
        <w:spacing w:after="40"/>
      </w:pPr>
      <w:r>
        <w:t>A tabela de resultados filtrados mostra também quem emprestou o livro quando essa informação está disponível.</w:t>
      </w:r>
    </w:p>
    <w:p>
      <w:pPr>
        <w:pStyle w:val="Heading1"/>
        <w:spacing w:before="160" w:after="80"/>
      </w:pPr>
      <w:r>
        <w:t>5. Ano de compra x ano de leitura</w:t>
      </w:r>
    </w:p>
    <w:p>
      <w:r>
        <w:t>A versão final não usa mais “percentual lido por ano de compra” como medida de comportamento temporal. O dashboard distingue: (a) aquisições por ano; (b) leituras realizadas por ano; e (c) diferença aproximada entre ano de compra e ano de leitura somente para correspondências seguras. O cruzamento utiliza correspondências exatas e as 33 correspondências validadas manualmente na conciliação. Como a compra registra apenas o ano, essa diferença não representa o tempo exato até a leitura.</w:t>
      </w:r>
    </w:p>
    <w:p>
      <w:pPr>
        <w:pStyle w:val="Heading1"/>
        <w:spacing w:before="160" w:after="80"/>
      </w:pPr>
      <w:r>
        <w:t>6. Filtros e comportamento dinâmico</w:t>
      </w:r>
    </w:p>
    <w:p>
      <w:pPr>
        <w:pStyle w:val="ListBullet"/>
        <w:spacing w:after="40"/>
      </w:pPr>
      <w:r>
        <w:t>Filtros da estante: status de leitura, autor, editora e ano de compra. Indicadores da estante ficam abaixo desses filtros e respondem ao recorte.</w:t>
      </w:r>
    </w:p>
    <w:p>
      <w:pPr>
        <w:pStyle w:val="ListBullet"/>
        <w:spacing w:after="40"/>
      </w:pPr>
      <w:r>
        <w:t>Filtros do histórico: ano de leitura, tipo de leitura, pessoa que emprestou, origem/instituição e status histórico.</w:t>
      </w:r>
    </w:p>
    <w:p>
      <w:pPr>
        <w:pStyle w:val="ListBullet"/>
        <w:spacing w:after="40"/>
      </w:pPr>
      <w:r>
        <w:t>Quando um ano é selecionado no histórico, o indicador anual passa a mostrar a posição daquele ano no ranking de leituras.</w:t>
      </w:r>
    </w:p>
    <w:p>
      <w:pPr>
        <w:pStyle w:val="ListBullet"/>
        <w:spacing w:after="40"/>
      </w:pPr>
      <w:r>
        <w:t>As métricas de mês mais lido e dia da semana são refinadas pelos filtros específicos. A tendência histórica dos meses de pico permanece como referência fixa do histórico completo.</w:t>
      </w:r>
    </w:p>
    <w:p>
      <w:pPr>
        <w:pStyle w:val="Heading1"/>
        <w:spacing w:before="160" w:after="80"/>
      </w:pPr>
      <w:r>
        <w:t>7. Qualidade, limitações e rastreabilidade</w:t>
      </w:r>
    </w:p>
    <w:p>
      <w:pPr>
        <w:pStyle w:val="ListBullet"/>
        <w:spacing w:after="40"/>
      </w:pPr>
      <w:r>
        <w:t>148 livros sem ano de compra; 93 sem editora; 1 registro histórico sem data.</w:t>
      </w:r>
    </w:p>
    <w:p>
      <w:pPr>
        <w:pStyle w:val="ListBullet"/>
        <w:spacing w:after="40"/>
      </w:pPr>
      <w:r>
        <w:t>Títulos semelhantes não são tratados automaticamente como duplicidade; uma mesma obra pode coexistir em diferentes edições.</w:t>
      </w:r>
    </w:p>
    <w:p>
      <w:pPr>
        <w:pStyle w:val="ListBullet"/>
        <w:spacing w:after="40"/>
      </w:pPr>
      <w:r>
        <w:t>41 pares foram revisados manualmente na conciliação: 33 tratados como mesma obra/edição a conferir e 8 descartados como correspondência.</w:t>
      </w:r>
    </w:p>
    <w:p>
      <w:pPr>
        <w:pStyle w:val="ListBullet"/>
        <w:spacing w:after="40"/>
      </w:pPr>
      <w:r>
        <w:t>Coleção e histórico são universos distintos. Comparações entre compras e leituras indicam tendências, não correspondência direta entre as séries.</w:t>
      </w:r>
    </w:p>
    <w:p>
      <w:pPr>
        <w:pStyle w:val="ListBullet"/>
        <w:spacing w:after="40"/>
      </w:pPr>
      <w:r>
        <w:t>Valores ausentes não são completados por inferência, exceto regras explicitamente validadas no projeto, como a classificação de formato vazio como físico.</w:t>
      </w:r>
    </w:p>
    <w:p>
      <w:pPr>
        <w:pStyle w:val="Heading1"/>
        <w:spacing w:before="160" w:after="80"/>
      </w:pPr>
      <w:r>
        <w:t>8. Entregas e encerramento da Etapa 8</w:t>
      </w:r>
    </w:p>
    <w:p>
      <w:pPr>
        <w:pStyle w:val="ListBullet"/>
        <w:spacing w:after="40"/>
      </w:pPr>
      <w:r>
        <w:t>Dashboard interativo final em HTML, com filtros, indicadores fixos e dinâmicos, tabelas de resultados e análises detalhadas.</w:t>
      </w:r>
    </w:p>
    <w:p>
      <w:pPr>
        <w:pStyle w:val="ListBullet"/>
        <w:spacing w:after="40"/>
      </w:pPr>
      <w:r>
        <w:t>Relatório Executivo Final - este documento.</w:t>
      </w:r>
    </w:p>
    <w:p>
      <w:pPr>
        <w:pStyle w:val="ListBullet"/>
        <w:spacing w:after="40"/>
      </w:pPr>
      <w:r>
        <w:t>One-page Executivo Final da Etapa 8.</w:t>
      </w:r>
    </w:p>
    <w:p>
      <w:pPr>
        <w:pStyle w:val="ListBullet"/>
        <w:spacing w:after="40"/>
      </w:pPr>
      <w:r>
        <w:t>Validação Final dos indicadores, rótulos, limitações e regras metodológicas.</w:t>
      </w:r>
    </w:p>
    <w:p>
      <w:pPr>
        <w:pStyle w:val="ListBullet"/>
        <w:spacing w:after="40"/>
      </w:pPr>
      <w:r>
        <w:t>Status: Etapa 8 concluída.</w:t>
      </w:r>
    </w:p>
    <w:p>
      <w:r>
        <w:t>Próxima etapa prevista no plano metodológico: utilizar o dashboard e a documentação consolidada como base para o assistente especializado da biblioteca e, posteriormente, para o MVP oficial.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1520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52033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FFFFFF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