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Кпаранов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59D2" w:rsidRDefault="00745BBC" w:rsidP="00936547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E659D2">
        <w:br/>
        <w:t>1.1.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Pr="006B7B80">
        <w:br/>
        <w:t xml:space="preserve">                  1.1.1. Предварительные исследования</w:t>
      </w:r>
      <w:r w:rsidRPr="006B7B80">
        <w:rPr>
          <w:noProof/>
          <w:webHidden/>
        </w:rPr>
        <w:tab/>
        <w:t>8</w:t>
      </w:r>
      <w:r w:rsidRPr="006B7B80">
        <w:br/>
        <w:t xml:space="preserve">                  1.1.2.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Pr="006B7B80">
        <w:br/>
        <w:t xml:space="preserve">                  1.1.3.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936547">
      <w:pPr>
        <w:pStyle w:val="21"/>
      </w:pPr>
      <w:r>
        <w:t>1.2.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1.2.1.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745BBC" w:rsidRPr="006B7B80">
        <w:br/>
        <w:t xml:space="preserve">                  1.2.2.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745BBC" w:rsidRPr="006B7B80">
        <w:br/>
        <w:t xml:space="preserve">                  1.2.3.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745BBC" w:rsidP="00936547">
      <w:pPr>
        <w:pStyle w:val="21"/>
        <w:rPr>
          <w:noProof/>
        </w:rPr>
      </w:pPr>
      <w:r w:rsidRPr="006B7B80">
        <w:t xml:space="preserve">                  1.2.4. </w:t>
      </w:r>
      <w:r w:rsidR="000E4ABE">
        <w:t>Программная архитектура и алгоритм работы ПМ ФО</w:t>
      </w:r>
      <w:r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Pr="00A55C4C" w:rsidRDefault="00745BBC" w:rsidP="00936547">
      <w:pPr>
        <w:pStyle w:val="21"/>
      </w:pPr>
      <w:r w:rsidRPr="006B7B80">
        <w:t xml:space="preserve">                  1.2.5. </w:t>
      </w:r>
      <w:r w:rsidR="000E4ABE">
        <w:t>Программная реализация ПМ ФО</w:t>
      </w:r>
      <w:r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Pr="006B7B80">
        <w:br/>
      </w:r>
      <w:r w:rsidR="00E64B67">
        <w:t xml:space="preserve">                          </w:t>
      </w:r>
      <w:r w:rsidR="00A55C4C">
        <w:t xml:space="preserve">1.2.5.1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E659D2" w:rsidRPr="006B7B80" w:rsidRDefault="00745BBC" w:rsidP="00936547">
      <w:pPr>
        <w:pStyle w:val="21"/>
      </w:pPr>
      <w:r w:rsidRPr="006B7B80">
        <w:t xml:space="preserve">         </w:t>
      </w:r>
    </w:p>
    <w:p w:rsidR="00745BBC" w:rsidRPr="006B7B80" w:rsidRDefault="00745BBC" w:rsidP="00936547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936547">
      <w:pPr>
        <w:pStyle w:val="21"/>
      </w:pPr>
      <w:r w:rsidRPr="006B7B80"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Europay,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>XML – Extensible Markup Language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936547" w:rsidRDefault="002F18A3" w:rsidP="0093654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  <w:r w:rsidR="002F4846" w:rsidRPr="00936547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Linux</w:t>
      </w:r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2]</w:t>
      </w:r>
      <w:r w:rsidRPr="00936547">
        <w:rPr>
          <w:rFonts w:ascii="Times New Roman" w:hAnsi="Times New Roman" w:cs="Times New Roman"/>
          <w:sz w:val="26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936547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936547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936547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936547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936547" w:rsidRDefault="00232B81" w:rsidP="0093654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936547">
        <w:rPr>
          <w:rFonts w:ascii="Times New Roman" w:hAnsi="Times New Roman" w:cs="Times New Roman"/>
          <w:sz w:val="26"/>
          <w:szCs w:val="26"/>
        </w:rPr>
        <w:t>, обеспечивающий</w:t>
      </w:r>
      <w:r w:rsidR="00936547">
        <w:rPr>
          <w:rFonts w:ascii="Times New Roman" w:hAnsi="Times New Roman" w:cs="Times New Roman"/>
          <w:sz w:val="26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936547" w:rsidRPr="00936547" w:rsidRDefault="00936547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D4471" w:rsidRPr="00936547" w:rsidRDefault="00E8499A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936547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936547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936547">
        <w:rPr>
          <w:rFonts w:ascii="Times New Roman" w:hAnsi="Times New Roman" w:cs="Times New Roman"/>
          <w:sz w:val="26"/>
          <w:szCs w:val="26"/>
        </w:rPr>
        <w:t xml:space="preserve">будет </w:t>
      </w:r>
      <w:r w:rsidR="006C2322" w:rsidRPr="00936547">
        <w:rPr>
          <w:rFonts w:ascii="Times New Roman" w:hAnsi="Times New Roman" w:cs="Times New Roman"/>
          <w:sz w:val="26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Программный модуль для проведения финансовой операции должен обес</w:t>
      </w:r>
      <w:r w:rsidR="00E2063A" w:rsidRPr="00936547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936547" w:rsidRDefault="00E2063A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936547" w:rsidRDefault="0034726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Пояснительная записка состоит из введения, </w:t>
      </w:r>
      <w:r w:rsidR="00936547">
        <w:rPr>
          <w:rFonts w:ascii="Times New Roman" w:hAnsi="Times New Roman" w:cs="Times New Roman"/>
          <w:sz w:val="26"/>
          <w:szCs w:val="26"/>
        </w:rPr>
        <w:t>трех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D46374" w:rsidP="0093654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ascii="Times New Roman" w:hAnsi="Times New Roman" w:cs="Times New Roman"/>
          <w:sz w:val="26"/>
          <w:szCs w:val="26"/>
        </w:rPr>
        <w:t>задач, описание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936547">
        <w:rPr>
          <w:rFonts w:ascii="Times New Roman" w:hAnsi="Times New Roman" w:cs="Times New Roman"/>
          <w:sz w:val="26"/>
          <w:szCs w:val="26"/>
        </w:rPr>
        <w:t>М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936547">
        <w:rPr>
          <w:rFonts w:ascii="Times New Roman" w:hAnsi="Times New Roman" w:cs="Times New Roman"/>
          <w:sz w:val="26"/>
          <w:szCs w:val="26"/>
        </w:rPr>
        <w:t>ФО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936547" w:rsidRDefault="00DA51D4" w:rsidP="00632FC3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Раздел 2 - </w:t>
      </w:r>
      <w:r w:rsidR="00936547" w:rsidRPr="00936547">
        <w:rPr>
          <w:rFonts w:ascii="Times New Roman" w:hAnsi="Times New Roman" w:cs="Times New Roman"/>
          <w:sz w:val="26"/>
          <w:szCs w:val="26"/>
        </w:rPr>
        <w:t>конструкторский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936547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ascii="Times New Roman" w:hAnsi="Times New Roman" w:cs="Times New Roman"/>
          <w:sz w:val="26"/>
          <w:szCs w:val="26"/>
        </w:rPr>
        <w:t>.</w:t>
      </w:r>
    </w:p>
    <w:p w:rsidR="00936547" w:rsidRDefault="00936547" w:rsidP="00936547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 3 –описание технологий программирования</w:t>
      </w:r>
      <w:r w:rsidRPr="00936547">
        <w:rPr>
          <w:rFonts w:ascii="Times New Roman" w:hAnsi="Times New Roman" w:cs="Times New Roman"/>
          <w:sz w:val="26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936547">
      <w:pPr>
        <w:spacing w:before="120" w:after="240" w:line="360" w:lineRule="auto"/>
        <w:ind w:left="178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936547" w:rsidRDefault="00336D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936547" w:rsidRDefault="00D242A5" w:rsidP="009365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936547" w:rsidRDefault="0053397A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936547" w:rsidRDefault="00D242A5" w:rsidP="0093654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936547" w:rsidRDefault="0053397A" w:rsidP="00936547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936547" w:rsidRDefault="00364632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B6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D460CD" w:rsidRPr="00112286" w:rsidRDefault="00D460CD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64B6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936547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ascii="Times New Roman" w:hAnsi="Times New Roman" w:cs="Times New Roman"/>
          <w:sz w:val="26"/>
          <w:szCs w:val="26"/>
        </w:rPr>
        <w:t>шесть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 w:rsidRPr="00936547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936547">
        <w:rPr>
          <w:rFonts w:ascii="Times New Roman" w:hAnsi="Times New Roman" w:cs="Times New Roman"/>
          <w:sz w:val="26"/>
          <w:szCs w:val="26"/>
        </w:rPr>
        <w:t>2</w:t>
      </w:r>
      <w:r w:rsidR="007D3A96" w:rsidRPr="00936547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D460CD" w:rsidRPr="00112286" w:rsidRDefault="00D460CD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936547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936547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936547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C607DE" w:rsidRPr="00936547" w:rsidRDefault="00C607D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936547" w:rsidRDefault="006B039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1.1.2</w:t>
      </w:r>
      <w:r w:rsidR="00C607D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936547" w:rsidRDefault="007C03C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</w:p>
    <w:p w:rsidR="006B0397" w:rsidRPr="00936547" w:rsidRDefault="006B039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Банковская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карта</w:t>
      </w:r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пластиковая карта, привязанная к </w:t>
      </w:r>
      <w:r w:rsidR="00772DDD" w:rsidRPr="00936547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магнитной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полосой</w:t>
      </w:r>
      <w:r w:rsidR="003E326F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3E326F">
        <w:rPr>
          <w:rFonts w:ascii="Times New Roman" w:hAnsi="Times New Roman" w:cs="Times New Roman"/>
          <w:sz w:val="26"/>
          <w:szCs w:val="26"/>
          <w:lang w:val="en-US"/>
        </w:rPr>
        <w:t>5]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чипом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бесконтактные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="00EB3562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EB3562">
        <w:rPr>
          <w:rFonts w:ascii="Times New Roman" w:hAnsi="Times New Roman" w:cs="Times New Roman"/>
          <w:sz w:val="26"/>
          <w:szCs w:val="26"/>
          <w:lang w:val="en-US"/>
        </w:rPr>
        <w:t>7]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Тиснение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936547">
        <w:rPr>
          <w:rFonts w:ascii="Times New Roman" w:hAnsi="Times New Roman" w:cs="Times New Roman"/>
          <w:sz w:val="26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Индент-печать — нанесение на поверхность пластиковой карты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У платежных систем Visa и MasterCard номер состоит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У платёжной системы American Express номер карты состоит из 15 цифр, разбитых на 3 блока по 4,6,5 цифр в каждом (4-6-5).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MasterCard – 5,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American Express — 3.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EMV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85122">
        <w:rPr>
          <w:rFonts w:ascii="Times New Roman" w:hAnsi="Times New Roman" w:cs="Times New Roman"/>
          <w:sz w:val="26"/>
          <w:szCs w:val="26"/>
        </w:rPr>
        <w:t>6</w:t>
      </w:r>
      <w:r w:rsidR="00EB3562" w:rsidRPr="00EB3562">
        <w:rPr>
          <w:rFonts w:ascii="Times New Roman" w:hAnsi="Times New Roman" w:cs="Times New Roman"/>
          <w:sz w:val="26"/>
          <w:szCs w:val="26"/>
        </w:rPr>
        <w:t>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 w:rsidRPr="00936547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 w:rsidRPr="00936547">
        <w:rPr>
          <w:rFonts w:ascii="Times New Roman" w:hAnsi="Times New Roman" w:cs="Times New Roman"/>
          <w:sz w:val="26"/>
          <w:szCs w:val="26"/>
        </w:rPr>
        <w:t>иональности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E54CAB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936547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имеет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936547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936547" w:rsidRDefault="00A8512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Visa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ayWave</w:t>
      </w:r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9]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F0D6D" w:rsidRPr="00936547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="00AF0D6D" w:rsidRPr="00936547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MasterCard </w:t>
      </w:r>
      <w:proofErr w:type="gramStart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PayPass</w:t>
      </w:r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10]</w:t>
      </w:r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— 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045C96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114D1F" w:rsidRPr="00936547" w:rsidRDefault="00114D1F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1F8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Apple </w:t>
      </w:r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11]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(Face ID для iPhone X 2017 года). 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Позже почти одновременно, были запущены Samsung Pay и Google Pay:</w:t>
      </w:r>
    </w:p>
    <w:p w:rsidR="00EB1F8C" w:rsidRPr="007218D2" w:rsidRDefault="00EB1F8C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Google </w:t>
      </w:r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12]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Samsung </w:t>
      </w:r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13]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NFC</w:t>
      </w:r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14]</w:t>
      </w:r>
      <w:r w:rsidRPr="00936547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1409" w:rsidRPr="00936547" w:rsidRDefault="005B1409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1.1.3 Анализ существующих решений</w:t>
      </w:r>
    </w:p>
    <w:p w:rsidR="00D460CD" w:rsidRPr="00936547" w:rsidRDefault="00D460CD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AF014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Был проведен анализ 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конечных </w:t>
      </w:r>
      <w:r w:rsidRPr="00936547">
        <w:rPr>
          <w:rFonts w:ascii="Times New Roman" w:hAnsi="Times New Roman" w:cs="Times New Roman"/>
          <w:sz w:val="26"/>
          <w:szCs w:val="26"/>
        </w:rPr>
        <w:t>решений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F77F07">
        <w:rPr>
          <w:rFonts w:ascii="Times New Roman" w:hAnsi="Times New Roman" w:cs="Times New Roman"/>
          <w:sz w:val="26"/>
          <w:szCs w:val="26"/>
        </w:rPr>
        <w:t xml:space="preserve"> рис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. Будем рассматривать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E51AE6" w:rsidRPr="00936547">
        <w:rPr>
          <w:rFonts w:ascii="Times New Roman" w:hAnsi="Times New Roman" w:cs="Times New Roman"/>
          <w:sz w:val="26"/>
          <w:szCs w:val="26"/>
        </w:rPr>
        <w:t>-терминалы различных компаний.</w:t>
      </w:r>
    </w:p>
    <w:p w:rsidR="00776B74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Можно, с некоторыми упрощениями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 назвать </w:t>
      </w:r>
      <w:r w:rsidRPr="00936547">
        <w:rPr>
          <w:rFonts w:ascii="Times New Roman" w:hAnsi="Times New Roman" w:cs="Times New Roman"/>
          <w:sz w:val="26"/>
          <w:szCs w:val="26"/>
        </w:rPr>
        <w:t>аналогами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существующие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Ingenico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Verifone VX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Эвотор 5</w:t>
            </w:r>
          </w:p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Azur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</w:p>
          <w:p w:rsidR="00244B94" w:rsidRPr="00936547" w:rsidRDefault="00244B94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Java/Kotlin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С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Бес</w:t>
            </w:r>
            <w:r w:rsidR="00D460CD" w:rsidRPr="00936547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Касса и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карт Mifare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65A0A" w:rsidRPr="00936547" w:rsidRDefault="00E65A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4F38EB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Telium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TETRA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OS</w:t>
      </w:r>
      <w:r w:rsidR="00F77F07" w:rsidRPr="00F77F0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15]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036D4E" w:rsidRPr="00936547" w:rsidRDefault="004F38E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Verifone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контактные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American Express, UnionPay,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, обычно используется браузер </w:t>
      </w:r>
      <w:r w:rsidR="00BF671A" w:rsidRPr="00936547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FST </w:t>
      </w:r>
      <w:proofErr w:type="gramStart"/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FancyPants</w:t>
      </w:r>
      <w:r w:rsidR="00BF671A" w:rsidRPr="0093654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16</w:t>
      </w:r>
      <w:r w:rsidR="00BF671A" w:rsidRPr="00936547">
        <w:rPr>
          <w:rFonts w:ascii="Times New Roman" w:hAnsi="Times New Roman" w:cs="Times New Roman"/>
          <w:sz w:val="26"/>
          <w:szCs w:val="26"/>
        </w:rPr>
        <w:t>]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E065B9" w:rsidRPr="00FF600D" w:rsidRDefault="00A3302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S920 PAX </w:t>
      </w:r>
      <w:r w:rsidR="00E065B9" w:rsidRPr="00936547">
        <w:rPr>
          <w:rFonts w:ascii="Times New Roman" w:hAnsi="Times New Roman" w:cs="Times New Roman"/>
          <w:sz w:val="26"/>
          <w:szCs w:val="26"/>
        </w:rPr>
        <w:t>–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и Verifone VX 680 ~ 20 000р. Контактные карты,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Linux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Embedded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A1A7E" w:rsidRPr="00936547" w:rsidRDefault="00BF671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Эвотор 5</w:t>
      </w:r>
      <w:r w:rsidR="00FF600D" w:rsidRPr="00FF600D">
        <w:rPr>
          <w:rFonts w:ascii="Times New Roman" w:hAnsi="Times New Roman" w:cs="Times New Roman"/>
          <w:sz w:val="26"/>
          <w:szCs w:val="26"/>
        </w:rPr>
        <w:t>[17]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исключительно кассовое решение, рассматривается исключительно из-за того, что является устройством на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936547"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порта.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r w:rsidR="00FF600D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01-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Ф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18]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решение компании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а также есть возможность принимать карты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MiFare</w:t>
      </w:r>
      <w:r w:rsidRPr="00936547">
        <w:rPr>
          <w:rFonts w:ascii="Times New Roman" w:hAnsi="Times New Roman" w:cs="Times New Roman"/>
          <w:sz w:val="26"/>
          <w:szCs w:val="26"/>
        </w:rPr>
        <w:t>. Поддержка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Visa, MasterCard, Maestro, American Express, UnionPay,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Средняя стоимость 22 000р. 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F0146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9280A" w:rsidRPr="00936547" w:rsidRDefault="00E9280A" w:rsidP="0093654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F0146" w:rsidRPr="00936547" w:rsidRDefault="00E928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Pr="00936547" w:rsidRDefault="00E9280A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 w:rsidRPr="00936547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Платформа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поддерживает множество языков. </w:t>
      </w:r>
      <w:r w:rsidR="00EE3347" w:rsidRPr="009365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D876A3"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++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C#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Java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19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Kotlin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3A98" w:rsidRPr="00936547" w:rsidRDefault="000D1BE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ascii="Times New Roman" w:hAnsi="Times New Roman" w:cs="Times New Roman"/>
          <w:sz w:val="26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936547">
        <w:rPr>
          <w:rFonts w:ascii="Times New Roman" w:hAnsi="Times New Roman" w:cs="Times New Roman"/>
          <w:sz w:val="26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Pr="00936547" w:rsidRDefault="004F3A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 w:rsidRPr="00936547">
        <w:rPr>
          <w:rFonts w:ascii="Times New Roman" w:hAnsi="Times New Roman" w:cs="Times New Roman"/>
          <w:sz w:val="26"/>
          <w:szCs w:val="26"/>
        </w:rPr>
        <w:t>скорость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 w:rsidRPr="00936547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С# 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proofErr w:type="gramStart"/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23]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, это фреймворк для кроссплатформенной разработки мобильных приложений. </w:t>
      </w:r>
      <w:r w:rsidR="0042729D" w:rsidRPr="00936547">
        <w:rPr>
          <w:rFonts w:ascii="Times New Roman" w:hAnsi="Times New Roman" w:cs="Times New Roman"/>
          <w:sz w:val="26"/>
          <w:szCs w:val="26"/>
        </w:rPr>
        <w:t>Пока что С# слишком не удобен,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 w:rsidRPr="00936547">
        <w:rPr>
          <w:rFonts w:ascii="Times New Roman" w:hAnsi="Times New Roman" w:cs="Times New Roman"/>
          <w:sz w:val="26"/>
          <w:szCs w:val="26"/>
        </w:rPr>
        <w:t>его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как основной язык для написания приложений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самым большим плюсом является то, что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(в случае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это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 xml:space="preserve">) и это официальный язык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Collector</w:t>
      </w:r>
      <w:r w:rsidRPr="00936547">
        <w:rPr>
          <w:rFonts w:ascii="Times New Roman" w:hAnsi="Times New Roman" w:cs="Times New Roman"/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сравнительно новый язык</w:t>
      </w:r>
      <w:r w:rsidR="00753B68" w:rsidRPr="00936547">
        <w:rPr>
          <w:rFonts w:ascii="Times New Roman" w:hAnsi="Times New Roman" w:cs="Times New Roman"/>
          <w:sz w:val="26"/>
          <w:szCs w:val="26"/>
        </w:rPr>
        <w:t>,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 w:rsidRPr="00936547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936547">
        <w:rPr>
          <w:rFonts w:ascii="Times New Roman" w:hAnsi="Times New Roman" w:cs="Times New Roman"/>
          <w:sz w:val="26"/>
          <w:szCs w:val="26"/>
        </w:rPr>
        <w:t>.</w:t>
      </w:r>
      <w:r w:rsidR="00E257F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36547">
        <w:rPr>
          <w:rFonts w:ascii="Times New Roman" w:hAnsi="Times New Roman" w:cs="Times New Roman"/>
          <w:sz w:val="26"/>
          <w:szCs w:val="26"/>
        </w:rPr>
        <w:t>-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36547">
        <w:rPr>
          <w:rFonts w:ascii="Times New Roman" w:hAnsi="Times New Roman" w:cs="Times New Roman"/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Pr="00936547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4CC8" w:rsidRPr="00936547" w:rsidRDefault="00024CC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1.2.2 </w:t>
      </w:r>
      <w:r w:rsidR="00530C47" w:rsidRPr="009365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5FA4" w:rsidRPr="00936547" w:rsidRDefault="00AF0F12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sz w:val="26"/>
          <w:szCs w:val="26"/>
        </w:rPr>
        <w:t xml:space="preserve"> Visual Studio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в том числе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только для Windows.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IntelliJ IDEA - IDE, разработанная компанией JetBrains, позволяющая создавать программы на множестве популярных языков, среди которых Java, JavaScript, Python, Ruby, Groovy, Scala, PHP, C, C++.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 помощью дополнений. По функционалу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 Данная среда разработки доступна для Windows, OS X и Linux.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Eclipse -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Android Studio - относительно молодая и стремительно развивающаяся IDE, ориентированная на разработчиков приложений для Android. Основанная на программном обеспечении нашей любимой IntelliJ IDEA от компании JetBrains, официальное средство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Android приложений. В данный момент является основной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Так же плюсом является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что означает, что в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Windows, OS X и Linux.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мы и воспользуемся для разработки ПМ ФО.</w:t>
      </w:r>
    </w:p>
    <w:p w:rsidR="00266457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 w:rsidRPr="0093654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\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++.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936547" w:rsidRDefault="009C562F" w:rsidP="0093654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5676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4B4EF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NetBeans — </w:t>
      </w:r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E424E6" w:rsidRPr="00936547" w:rsidRDefault="006807D1" w:rsidP="0093654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систему при помощи сборки исходников.</w:t>
      </w: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1.2.3 Структура входных и выходных данных</w:t>
      </w:r>
    </w:p>
    <w:p w:rsidR="007F5DE3" w:rsidRPr="00045C96" w:rsidRDefault="007F5DE3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424E6" w:rsidRPr="00045C96" w:rsidRDefault="00E424E6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Общая схема входных и выходных данных приведена на рис. 1.</w:t>
      </w:r>
      <w:r w:rsidR="00045C96"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4.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936547">
        <w:rPr>
          <w:rFonts w:ascii="Times New Roman" w:hAnsi="Times New Roman" w:cs="Times New Roman"/>
          <w:sz w:val="26"/>
          <w:szCs w:val="26"/>
        </w:rPr>
        <w:t xml:space="preserve">в формате </w:t>
      </w:r>
      <w:proofErr w:type="gramStart"/>
      <w:r w:rsidR="00B9245F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="00B9245F" w:rsidRPr="00B9245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B9245F" w:rsidRPr="00B9245F">
        <w:rPr>
          <w:rFonts w:ascii="Times New Roman" w:hAnsi="Times New Roman" w:cs="Times New Roman"/>
          <w:sz w:val="26"/>
          <w:szCs w:val="26"/>
        </w:rPr>
        <w:t>31]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содержащие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 w:rsidRPr="00936547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 w:rsidRPr="00936547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721CA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категории мерчанта</w:t>
      </w:r>
      <w:r w:rsid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типа термина</w:t>
      </w:r>
      <w:r w:rsidR="00B9245F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ла</w:t>
      </w:r>
      <w:r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а также специальные настройки для работы с картами Pay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2721CA" w:rsidRPr="00936547">
        <w:rPr>
          <w:rFonts w:ascii="Times New Roman" w:hAnsi="Times New Roman" w:cs="Times New Roman"/>
          <w:sz w:val="26"/>
          <w:szCs w:val="26"/>
        </w:rPr>
        <w:t>ass, PayW</w:t>
      </w:r>
      <w:r w:rsidRPr="00936547">
        <w:rPr>
          <w:rFonts w:ascii="Times New Roman" w:hAnsi="Times New Roman" w:cs="Times New Roman"/>
          <w:sz w:val="26"/>
          <w:szCs w:val="26"/>
        </w:rPr>
        <w:t>ave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МИР,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936547">
        <w:rPr>
          <w:rFonts w:ascii="Times New Roman" w:hAnsi="Times New Roman" w:cs="Times New Roman"/>
          <w:sz w:val="26"/>
          <w:szCs w:val="26"/>
        </w:rPr>
        <w:t>8583</w:t>
      </w:r>
      <w:r w:rsidR="00AB6B56" w:rsidRPr="00AB6B56">
        <w:rPr>
          <w:rFonts w:ascii="Times New Roman" w:hAnsi="Times New Roman" w:cs="Times New Roman"/>
          <w:sz w:val="26"/>
          <w:szCs w:val="26"/>
        </w:rPr>
        <w:t>[32]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936547">
        <w:rPr>
          <w:rFonts w:ascii="Times New Roman" w:hAnsi="Times New Roman" w:cs="Times New Roman"/>
          <w:sz w:val="26"/>
          <w:szCs w:val="26"/>
        </w:rPr>
        <w:t xml:space="preserve"> протокола </w:t>
      </w:r>
      <w:proofErr w:type="gramStart"/>
      <w:r w:rsidR="00E424E6" w:rsidRPr="00936547">
        <w:rPr>
          <w:rFonts w:ascii="Times New Roman" w:hAnsi="Times New Roman" w:cs="Times New Roman"/>
          <w:sz w:val="26"/>
          <w:szCs w:val="26"/>
        </w:rPr>
        <w:t>ТТК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33]</w:t>
      </w:r>
      <w:r w:rsidR="00E424E6"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47A85" w:rsidRPr="00936547" w:rsidRDefault="00547A85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команды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от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TMS (Terminal Management System)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547A8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 w:rsidRPr="00936547">
        <w:rPr>
          <w:rFonts w:ascii="Times New Roman" w:hAnsi="Times New Roman" w:cs="Times New Roman"/>
          <w:sz w:val="26"/>
          <w:szCs w:val="26"/>
        </w:rPr>
        <w:t>кассе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EC516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936547">
        <w:rPr>
          <w:rFonts w:ascii="Times New Roman" w:hAnsi="Times New Roman" w:cs="Times New Roman"/>
          <w:sz w:val="26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1E5A43" w:rsidP="00045C96">
      <w:pPr>
        <w:keepNext/>
        <w:spacing w:line="360" w:lineRule="auto"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C17BF0A" wp14:editId="6608CD7B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045C9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 w:rsidRPr="00936547">
        <w:rPr>
          <w:rFonts w:ascii="Times New Roman" w:hAnsi="Times New Roman" w:cs="Times New Roman"/>
          <w:sz w:val="26"/>
          <w:szCs w:val="26"/>
        </w:rPr>
        <w:t>другие файлы,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&lt;Package&gt;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target="ca_ke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ys" origin="../ca_keys.xml"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target="contact_config" origi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n="../train/contact_config.xml"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&lt;DroidConfig target="ctless_config" origin="../train/ctless_config.xml"/&gt;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&lt;DroidConfig target="terminal_config" origin="../train/terminal_config.xml"/&gt;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конфигурация терминала: 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config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&lt;terminal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add_app_caps="C0D0A0F0FCF8"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additional_caps="FF80F0A001"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application_caps="040FC8000"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country_code="643"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currency_code="643"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currency_exponent="02"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currency_name="RUR"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emv_type="22"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final_screen_timeout="4"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input_caps="E0"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merchant_id="XXXXXXX"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merchant_name = 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remove_timeout="10"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merchant_category="5499"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wait_timeout="25"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allow_expired_cards="0"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allow_zero_amount="0"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ttk_enabled="0"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allow_refund_no_card="0"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allow_refund_no_pin="0"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magstripe_pin_mode="off"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magstripe_amount_limit="1000000"/&gt;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&lt;host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name="TRAINING"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address="127.0.0.1"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main_timeout="60"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port="443"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ssl="0"/&gt;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&lt;kld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address="192.168.0.1"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port="55555"/&gt;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&lt;/terminal_config&gt;</w:t>
      </w:r>
    </w:p>
    <w:p w:rsidR="00E424E6" w:rsidRPr="00AB6B56" w:rsidRDefault="007340F4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данном файле находятся основные параметры для терминала: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битовые маски для</w:t>
      </w:r>
      <w:r w:rsid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конфигурации работы терминала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KeyLoadingDevice</w:t>
      </w:r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устройства для безопасной загрузки ключей)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другие параметры.</w:t>
      </w:r>
    </w:p>
    <w:p w:rsidR="007340F4" w:rsidRPr="00936547" w:rsidRDefault="007340F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contact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cards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&lt;card_groups&gt;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&lt;row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AIDs="A0000000041010"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CVM_caps_if_not_req="08"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CVM_caps_if_req="B0"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CVM_req_limit="0"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EMV_floor_limit="0"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TAC_default="DD50B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TAC_denial="00BBAB0000"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TAC_online="FE50B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F800"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mandatory_data="5A5AAAAC8D"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threshold_value="000000000000"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target_percent="00"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max_target_percent="00"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compare_AID_length="0"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default_DDOL="9F3704"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default_TDOL="9F0AC56629A039C0195059F3704"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offline_PIN_success_required="0"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security_caps="C8"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send_arqc_to_host="0"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treat_Z3_as_approve="0"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versions="0002"</w:t>
      </w:r>
    </w:p>
    <w:p w:rsidR="00E424E6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936547">
        <w:rPr>
          <w:rFonts w:ascii="Times New Roman" w:hAnsi="Times New Roman" w:cs="Times New Roman"/>
          <w:sz w:val="26"/>
          <w:szCs w:val="26"/>
        </w:rPr>
        <w:t>issuer_name="MASTERCARD"/&gt;</w:t>
      </w:r>
    </w:p>
    <w:p w:rsidR="00E424E6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……..</w:t>
      </w: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находится конфигурация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Custom group for MIR--&gt;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&lt;Group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&lt;Terminal_Floor_Limit&gt;999999999999&lt;/Terminal_Floor_Limit&gt;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&lt;Terminal_CVM_Required_Limit&gt;999999999999&lt;/Terminal_CVM_Required_Limit&gt;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number="9F09" type="b"&gt;0101&lt;/Tag&gt;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number="9F71" type="b"&gt;E3E0&lt;/Tag&gt;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number="DF51"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Floor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number="DF52"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No CVM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number="DF53"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(Non 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number="DF54"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number="DF55" type="b"&gt;6800&lt;/Tag&gt;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TPM Capabilities--&gt;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number="DF56" type="b"&gt;03&lt;/Tag&gt;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Transaction Recovery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number="FF01" type="b"&gt;B640000000&lt;/Tag&gt;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denial--&gt;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number="FF02" type="b"&gt;B640808000&lt;/Tag&gt;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online--&gt;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number="FF03" type="b"&gt;FFFFFFFFFF&lt;/Tag&gt;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default--&gt;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number="FF04" type="b"&gt;5A&lt;/Tag&gt;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Data Exchange Tag List--&gt;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&lt;/Group&gt;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AID CONFIGURATIONS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Mastercard paypass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AID="A0000000041010" group_id="1" kernel="2" issuer_name="MASTERCARD"&gt;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&lt;Flags&gt;20&lt;/Flags&gt;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type="b"&gt;20&lt;/Tag&gt;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type="b"&gt;2C3A000000000000&lt;/Tag&gt;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Maestro paypass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AID="A0000000043060" group_id="4" kernel="2" issuer_name="MAESTRO"&gt;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type="b"&gt;0C12800000000000&lt;/Tag&gt;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Debit/Credit PayWave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AID="A0000000031010" group_id="2" kernel="3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"  issuer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>_name="VISA"&gt;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Electron PayWave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AID="A0000000032010" group_id="2" kernel="3" issuer_name="VISA"&gt;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MIR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AID="A0000006581010"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AID="A0000006582010"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&lt;Application AID="A0000006581099"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</w:rPr>
        <w:t xml:space="preserve">&lt;/Application&gt;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В ней так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же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как и в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B6B56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Полное описание тегов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WAVE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находятся в официальных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спецификациях[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6,35,36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&lt;CAKeys&gt;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&lt;RID value="A000000004"&gt;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&lt;Hash&gt;381A035DA58B482EE2AF75F4C3F2CA469BA4AA6C&lt;/Hash&gt;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&lt;Expire&gt;171231&lt;/Expire&gt;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&lt;Key index="05"&gt;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&lt;Hash&gt;EBFA0D5D06D8CE702DA3EAE890701D45E274C845&lt;/Hash&gt;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&lt;Expire&gt;241231&lt;/Expire&gt;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index="06"&gt;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&lt;Hash&gt;F910A1504D5FFB793D94F3B500765E1ABCAD72D9&lt;/Hash&gt;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expiration date YYMMDD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&gt;371215&lt;/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&lt;/Key&gt;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находятся публичные части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ascii="Times New Roman" w:hAnsi="Times New Roman" w:cs="Times New Roman"/>
          <w:sz w:val="26"/>
          <w:szCs w:val="26"/>
        </w:rPr>
        <w:t>также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формат которого определен стандартом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93654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 (Tag-length-value)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936547" w:rsidRDefault="003E3387" w:rsidP="009365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BER (basic encoding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rules)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Правила кодирования. </w:t>
      </w:r>
    </w:p>
    <w:p w:rsidR="003E3387" w:rsidRPr="00936547" w:rsidRDefault="003E3387" w:rsidP="00936547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936547" w:rsidRDefault="003E3387" w:rsidP="00936547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длины данных: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1, то биты 1-7 кодируют количество байт длины. Последующие байты длины идут в порядке big-endian.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CD3F0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315BCA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>1.2.4</w:t>
      </w:r>
      <w:r w:rsidR="00CD3F0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B0368" w:rsidRPr="00936547">
        <w:rPr>
          <w:rFonts w:ascii="Times New Roman" w:hAnsi="Times New Roman" w:cs="Times New Roman"/>
          <w:sz w:val="26"/>
          <w:szCs w:val="26"/>
        </w:rPr>
        <w:t>Программная архитектура и алгоритм работы ПМ ФО</w:t>
      </w:r>
    </w:p>
    <w:p w:rsidR="003E3387" w:rsidRPr="00936547" w:rsidRDefault="003E3387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315BCA" w:rsidRDefault="000B0368" w:rsidP="00936547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схема алгоритма представлена на 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рис. 1.5</w:t>
      </w:r>
      <w:r w:rsidR="008E02CD"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1.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B15670" w:rsidRPr="00936547" w:rsidRDefault="008E02CD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старта финансовой операции, необходимо </w:t>
      </w:r>
      <w:r w:rsidR="004F4EAC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выбрать тип операции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и бесконтакта,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приложение[</w:t>
      </w:r>
      <w:proofErr w:type="gram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404E77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провести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Cardholder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Verification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Method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291F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2291F" w:rsidRPr="00AB6B56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бывает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нескольких видов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введенный пин-код шифруется на ключе выданном сервером работы с ключами </w:t>
      </w:r>
      <w:proofErr w:type="gram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банка[</w:t>
      </w:r>
      <w:proofErr w:type="gram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], помещается в тело транзакции для отправки на сервер процессинга банка. С сервера в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зависимости от правильности пин-кода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, приходит ответ, транзакция одобрена или нет.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Plain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Text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пин-код без шифрования отправляется на карту. Карта отвечает, верен пин-код или нет и соответственно принимает решение о транзакции.</w:t>
      </w:r>
    </w:p>
    <w:p w:rsidR="007E4BE1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Enciphered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пин-код ш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NoCVM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всего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 бесконтактный платеж менее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Limit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 Росии этот лимит является -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1000р.</w:t>
      </w:r>
    </w:p>
    <w:p w:rsidR="0001415D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обычно выбирается при не возможности ввода пина.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ограничния по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К примеру: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бесконтакт – для такого вида использования карты, возможен лишь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Причиной является то, что существует необходимость делать транзакции бесконтактом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магнитная полоса – такие же правила, как и для бесконтакта, но на практике обычно это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pStyle w:val="a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E4BE1" w:rsidRPr="00936547" w:rsidRDefault="00CE22C2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оффлайн транзакции. В первом случае </w:t>
      </w:r>
      <w:r w:rsidR="00B343C4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и,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получения ответа,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транзакция,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сохраненная ранее в базе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данных,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обновляется и печатается чек</w:t>
      </w:r>
      <w:r w:rsidR="00F575D5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5BCA" w:rsidRDefault="00F575D5" w:rsidP="00315BCA">
      <w:pPr>
        <w:keepNext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315B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4B67" w:rsidRDefault="00F575D5" w:rsidP="00E64B67">
      <w:pPr>
        <w:keepNext/>
        <w:spacing w:line="360" w:lineRule="auto"/>
        <w:jc w:val="center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E64B67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67D1" w:rsidRPr="00E64B6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Программная реализация ПМ ФО</w:t>
      </w:r>
    </w:p>
    <w:p w:rsidR="007E67D1" w:rsidRPr="0093654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1.2.5.1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36547" w:rsidRPr="00936547">
        <w:rPr>
          <w:rFonts w:ascii="Times New Roman" w:hAnsi="Times New Roman" w:cs="Times New Roman"/>
          <w:sz w:val="26"/>
          <w:szCs w:val="26"/>
        </w:rPr>
        <w:t>Применение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SWIG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JNI</w:t>
      </w:r>
    </w:p>
    <w:p w:rsidR="007E67D1" w:rsidRPr="00936547" w:rsidRDefault="007E67D1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30B4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За основу связывания библиотек, написанных на C и C++, и проекта на ОС Android был взят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SWIG</w:t>
      </w:r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37]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(англ. simplified wrapper and interface generator).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Свободный инструмент для связывания программ и библиотек, написанных на языках C и C++, с интерпретируемыми (Tcl, Perl, Python, Ruby, PHP) или компилируемыми (Java, C#, Scheme, OCaml)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файл .i</w:t>
      </w:r>
      <w:proofErr w:type="gram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FF30B4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SWIG распространяется по лицензии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BSD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38]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Вид исполняемого файла зависит от выбранного языка: 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исполняемый файл со встроенным интерпретатором скриптового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библиотека, функции C/C++ из которой автоматически становятся доступны из другого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библиотека функций C/C++ и библиотека функций - обёрток над функциями C/C++ (например, JNI для Java).</w:t>
      </w:r>
    </w:p>
    <w:p w:rsidR="00FF30B4" w:rsidRPr="00936547" w:rsidRDefault="007E67D1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br/>
      </w:r>
      <w:r w:rsidR="00FF30B4" w:rsidRPr="00936547">
        <w:rPr>
          <w:rFonts w:ascii="Times New Roman" w:hAnsi="Times New Roman" w:cs="Times New Roman"/>
          <w:sz w:val="26"/>
          <w:szCs w:val="26"/>
        </w:rPr>
        <w:t xml:space="preserve">Движки скриптовых языков встраивают в программы на C/C++ по следующим причинам: 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предоставление функциональности, отсутствующей в скриптовом языке;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DE0B4B" w:rsidRPr="00936547" w:rsidRDefault="00DE0B4B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Применительно к нашей задаче, с помощью SWIG мы смогли добиться использования 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уже реализованных и сертифицированных библиотек работы с картами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написанных на С и С++, в программном обеспечении для оп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ерационной системы Android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69B2">
        <w:rPr>
          <w:rFonts w:ascii="Times New Roman" w:eastAsia="Times New Roman" w:hAnsi="Times New Roman" w:cs="Times New Roman"/>
          <w:sz w:val="26"/>
          <w:szCs w:val="26"/>
        </w:rPr>
        <w:t xml:space="preserve">используя </w:t>
      </w:r>
      <w:proofErr w:type="gramStart"/>
      <w:r w:rsidR="00BC69B2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39]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Пример .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интерфейсного файла для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SWIG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%module(directors="1") emv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javaconst(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1);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"enumtypeunsafe.swg"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"std_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vector.i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"std_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string.i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%include "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stdint.i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cpointer.i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%{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"CData.h"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"CTypes.h"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"CCAKeys.h"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"CCryptoLayer.h"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"CErrors.h"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"CEMVTxn.h"</w:t>
      </w:r>
    </w:p>
    <w:p w:rsidR="00A07139" w:rsidRPr="00936547" w:rsidRDefault="00BC69B2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…..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%}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CCryptoLayer;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CTransport;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CUserAction;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%feature("director") CVerifyPIN;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namespace std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%template(vector_ca_key) vector&lt;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emv::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CCAKeys::ca_key&gt;;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%template(vector_char) vector&lt;char&gt;;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%template(vector_appinfo) vector&lt;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emv::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CEMVTxn::SApplInfo&gt;;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%template(vector_revocation) vector&lt;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emv::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CRevocationInfo&gt;;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%template(vector_string) vector&lt;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string&gt;;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};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"CData.h"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"CTypes.h"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"CCAKeys.h"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%include "CCryptoLayer.h"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"CErrors.h"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"CEMVTxn.h"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"CRevocationInfo.h"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"CTransport.h"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"CUserAction.h"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%include "CVerifyPIN.h"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%include "CCustomTags.h"</w:t>
      </w: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%pointer_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class(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emv::CEMVTxn::CRYPTOGRAM_TYPE, CryptogramType);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Вторым важнейшим оружием, которым должен владеть программист, столкнувшийся с задачей использования кода С и С++ в Java или Android,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является  Java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Native Interface (JNI).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Это </w:t>
      </w:r>
      <w:r w:rsidR="00A07139" w:rsidRPr="00936547">
        <w:rPr>
          <w:rFonts w:ascii="Times New Roman" w:eastAsia="Times New Roman" w:hAnsi="Times New Roman" w:cs="Times New Roman"/>
          <w:sz w:val="26"/>
          <w:szCs w:val="26"/>
        </w:rPr>
        <w:t>интерфейс,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позволяющий запускать на JVM (Java Virtual Machine) код написанный на С и С++. Важной особенностью является то, что код должен быть скомпонован в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виде динамических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библиотек.  С помощью JNI байт-код Java может взаимодействовать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с платформенно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-ориентированным кодом.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Данное взаимодействие обеспечивают так называемые native-методы. В Java предусмотрено ключевое слово native, которое позволяет объявить машинно-зависимый метод в коде.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Например, объявление native-метода в Java выглядит так: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public native int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nativeMethod(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Также для того, чтобы воспользоваться данным методом необходимо загрузить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библиотеку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которую он входит. Это возможно сделать с помощью метода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loadLibrary(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String name), входящего в класс System. Реализация выглядит так: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System.loadLibrary(“Example.dll”) </w:t>
      </w:r>
    </w:p>
    <w:p w:rsidR="00A07139" w:rsidRPr="00936547" w:rsidRDefault="00A07139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В качестве параметра передаем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имя файла,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котором лежит используемый метод.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Но этого недостаточно, чтобы использовать native-метод. Не хватает связующего звена на стороне кода, написанного на С или С++. Необходимо создать интерфейс вызова native-метода. Для этого существует javah. Данная утилита позволяет обработать ранее откомпилированный класс с находящимся native-методом. А выход мы получим файл заголовка (Example.h), который должен быть включен в С-код. Аргументом при вызове javah должно быть имя java-класса в котором описан native-метод.  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Вызовем утилиту: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javah Example.class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Результатом работы будет: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 DO NOT EDIT THIS FILE - it is machine generated 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#include 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 Header for class Example 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#ifndef _Included_Example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#define _Included_Example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#ifdef __cplusplus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{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#endif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/*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 Class: Example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 Method: nativeMethod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 Signature: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()I</w:t>
      </w:r>
      <w:proofErr w:type="gramEnd"/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JNIEXPORT jint JNICALL Java_Example_nativeMethod (JNIEnv *, jobject);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#ifdef __cplusplus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lastRenderedPageBreak/>
        <w:t>}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#endif</w:t>
      </w:r>
    </w:p>
    <w:p w:rsidR="007E67D1" w:rsidRPr="00936547" w:rsidRDefault="007E67D1" w:rsidP="0093654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#endif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B0368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Данный файл необходимо компилировать вместе с исходным кодом библиотеки. Ниже пример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MAKE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-файла для сборки библиотеки.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BUILD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=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($(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ARCH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android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arm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BUILD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),android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-x86)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),linux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),linux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-x86_64)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JNI_BUILD = yes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######################################################################################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# definitions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OUTPUT=libEMVL2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OUTDIR=obj/$(ARCH)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JNI flags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($(JNI_BUILD), yes)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= -fPIC -fpermissive -O2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-DSWIG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 = -s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($(CFG), trace)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-DMAKE_TRACE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ifneq ($(findstring android, $(ARCH)),)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 += -llog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 linux-i686)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-m32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-DFAKEVERSION=$(FAKEVERSION) -DCRC=$(CRC)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CCFLAGS += -fvisibility=hidden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libraries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LDFLAGS+=-lstdc++ -lc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LDFLAGS+=-Wl,-soname,$(OUTPUT).so.$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(MAJOR)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($(ARCH), linux-i686)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LDFLAGS+= -m32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######################################################################################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files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LIBFILES =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$(OUTDIR)/EMV_Library/CEMVTxn.o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$(OUTDIR)/EMV_Library/scr_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command.o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$(OUTDIR)/EMV_Library/EMV_Context.o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………………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ifeq ($(JNI_BUILD), yes)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LIBFILES +=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wrap.o</w:t>
      </w:r>
      <w:proofErr w:type="gramEnd"/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endif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# targets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all: $(ARCH)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target maxim: $(OUTDIR)/$(OUTPUT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).a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$(OUTDIR)/$(OUTPUT).so.$(MAJOR)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android-arm android-x86 linux-i686 linux-x86_64: $(JAVA_JNI_LIB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$(OUTDIR)/$(OUTPUT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).a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$(AR) cr $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@  $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OUTDIR)/$(OUTPUT).so.$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(MAJOR):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  <w:t>$(LD) -fpic -shared $(LDFLAGS) -o $@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$(OUTDIR)/$(OUTPUT).so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@ln -s $(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OUTPUT).so.$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(MAJOR) $(OUTDIR)/$(OUTPUT).so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$(OUTDIR)/emv_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wrap.o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: $(JAVA_OUTDIR)/emv_wrap.cxx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$(call COMPILE)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$(OUTDIR)/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%.o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: src/%.cc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$(call COMPILE)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define COMPILE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[$&lt;]"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"`dirname $@`"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$(CXX) $(CCFLAGS) $(INCLUDES) -c -o "$@" "$&lt;"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endef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$(JAVA_JNI_LIB): $(LIBFILES)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JAVA JNI dynamic library..."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"`dirname $@`"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$(CXX) -fpic -shared $(LDFLAGS) -o "$@" $(LIBFILES) -lstdc++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$(JAVA_OUTDIR)/emv_wrap.cxx: Makefile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"Generating JAVA files..."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$(JAVA_OUTDIR) $(JAVA_GEN_DIR) $(JAVA_CLASS_DIR)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@/opt/tt-swig-4.0/bin/swig -c++ -java -package $(JAVA_PACKAGE)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-MD -MP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-directors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-outdir $(JAVA_GEN_DIR)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-Iinclude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-o $(JAVA_OUTDIR)/emv_wrap.cxx \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swig/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emv.i</w:t>
      </w:r>
      <w:proofErr w:type="gramEnd"/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$(JAVA_CLASS_DIR)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"Compiling JAVA files..."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@javac -d $(JAVA_CLASS_DIR) $(JAVA_GEN_DIR)/*.java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$(ECHO) "Packing JAVA files to [$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@]...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@cd $(JAVA_CLASS_DIR) &amp;&amp; jar cf $(SOURCES)/$(JAVA_JAR_FILE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) .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/com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$(OUTDIR):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$(MD) $@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clean: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-r $(OUTDIR)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$(RM) -r $(JAVA_OUTDIR)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rebuild: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$(MAKE) clean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$(MAKE)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all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-include $(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LIBFILES:.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o=.d)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-include $(JAVA_OUTDIR)/emv_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wrap.d</w:t>
      </w:r>
      <w:proofErr w:type="gramEnd"/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B0368" w:rsidRPr="00936547" w:rsidRDefault="00FF30B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lastRenderedPageBreak/>
        <w:t>настоящее время поддержку SWIG осуществляют свободная группа разработчиков, во главе которых Уильям Фултон.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55709D" w:rsidRPr="00936547" w:rsidRDefault="0055709D" w:rsidP="0055709D">
      <w:pPr>
        <w:tabs>
          <w:tab w:val="left" w:pos="18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>Гагарина Л.Г., Касимов Р.А., Коваленко Д.Г., Федотова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>
        <w:rPr>
          <w:b w:val="0"/>
          <w:bCs w:val="0"/>
          <w:sz w:val="26"/>
          <w:szCs w:val="26"/>
          <w:lang w:val="en-US"/>
        </w:rPr>
        <w:t xml:space="preserve">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Building Embedded Linux Systems, Karim Yaghour, Jon Masters, Gilad Ben-Yossef 2008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t xml:space="preserve">Число операций с банковскими картами за 2010 – 2016 год [Электронный ресурс].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 xml:space="preserve">: </w:t>
      </w:r>
      <w:r w:rsidRPr="00936547">
        <w:rPr>
          <w:b w:val="0"/>
          <w:bCs w:val="0"/>
          <w:sz w:val="26"/>
          <w:szCs w:val="26"/>
          <w:lang w:val="en-US"/>
        </w:rPr>
        <w:t>https</w:t>
      </w:r>
      <w:r w:rsidRPr="009F7302">
        <w:rPr>
          <w:b w:val="0"/>
          <w:bCs w:val="0"/>
          <w:sz w:val="26"/>
          <w:szCs w:val="26"/>
          <w:lang w:val="en-US"/>
        </w:rPr>
        <w:t>://</w:t>
      </w:r>
      <w:r w:rsidRPr="00936547">
        <w:rPr>
          <w:b w:val="0"/>
          <w:bCs w:val="0"/>
          <w:sz w:val="26"/>
          <w:szCs w:val="26"/>
          <w:lang w:val="en-US"/>
        </w:rPr>
        <w:t>bcs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express</w:t>
      </w:r>
      <w:r w:rsidRPr="009F7302">
        <w:rPr>
          <w:b w:val="0"/>
          <w:bCs w:val="0"/>
          <w:sz w:val="26"/>
          <w:szCs w:val="26"/>
          <w:lang w:val="en-US"/>
        </w:rPr>
        <w:t>.</w:t>
      </w:r>
      <w:r w:rsidRPr="00936547">
        <w:rPr>
          <w:b w:val="0"/>
          <w:bCs w:val="0"/>
          <w:sz w:val="26"/>
          <w:szCs w:val="26"/>
          <w:lang w:val="en-US"/>
        </w:rPr>
        <w:t>ru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novosti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analitika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dolia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beznalichnykh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raschetov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rastet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Credit Cards &amp; Debit Cards: Your Guide to the Bankcard Industry and Best Practices</w:t>
      </w:r>
      <w:r>
        <w:rPr>
          <w:b w:val="0"/>
          <w:bCs w:val="0"/>
          <w:sz w:val="26"/>
          <w:szCs w:val="26"/>
          <w:lang w:val="en-US"/>
        </w:rPr>
        <w:t xml:space="preserve"> 2010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ISO Magnetic Stripe Card Standards [</w:t>
      </w:r>
      <w:r w:rsidRPr="00936547">
        <w:rPr>
          <w:b w:val="0"/>
          <w:bCs w:val="0"/>
          <w:sz w:val="26"/>
          <w:szCs w:val="26"/>
        </w:rPr>
        <w:t>Электронный</w:t>
      </w:r>
      <w:r w:rsidRPr="009F7302">
        <w:rPr>
          <w:b w:val="0"/>
          <w:bCs w:val="0"/>
          <w:sz w:val="26"/>
          <w:szCs w:val="26"/>
          <w:lang w:val="en-US"/>
        </w:rPr>
        <w:t xml:space="preserve"> </w:t>
      </w:r>
      <w:r w:rsidRPr="00936547">
        <w:rPr>
          <w:b w:val="0"/>
          <w:bCs w:val="0"/>
          <w:sz w:val="26"/>
          <w:szCs w:val="26"/>
        </w:rPr>
        <w:t>ресурс</w:t>
      </w:r>
      <w:r w:rsidRPr="009F7302">
        <w:rPr>
          <w:b w:val="0"/>
          <w:bCs w:val="0"/>
          <w:sz w:val="26"/>
          <w:szCs w:val="26"/>
          <w:lang w:val="en-US"/>
        </w:rPr>
        <w:t xml:space="preserve">]. 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>: https://www.q-card.com/about-us/iso-magnetic-stripe-card-standards/page.aspx?id=1457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CE1145">
        <w:rPr>
          <w:b w:val="0"/>
          <w:bCs w:val="0"/>
          <w:sz w:val="26"/>
          <w:szCs w:val="26"/>
          <w:lang w:val="en-US"/>
        </w:rPr>
        <w:t xml:space="preserve">EMV Integrated Circuit Card Specifications for Payment Systems </w:t>
      </w:r>
      <w:r>
        <w:rPr>
          <w:b w:val="0"/>
          <w:bCs w:val="0"/>
          <w:sz w:val="26"/>
          <w:szCs w:val="26"/>
          <w:lang w:val="en-US"/>
        </w:rPr>
        <w:t>Book 1 2011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B 2016</w:t>
      </w:r>
    </w:p>
    <w:p w:rsidR="0055709D" w:rsidRPr="00CE1145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</w:rPr>
        <w:t xml:space="preserve">Теснение банковских карт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 xml:space="preserve">URL: </w:t>
      </w:r>
      <w:r w:rsidRPr="00CE1145">
        <w:rPr>
          <w:b w:val="0"/>
          <w:bCs w:val="0"/>
          <w:sz w:val="26"/>
          <w:szCs w:val="26"/>
          <w:lang w:val="en-US"/>
        </w:rPr>
        <w:t>https://en.wikipedia.org/wiki/Payment_card#Embossing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C-2 Kernel 2 Specification 2016 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C-3 Kernel 3 Specification </w:t>
      </w:r>
      <w:r w:rsidRPr="00F90ABD">
        <w:rPr>
          <w:b w:val="0"/>
          <w:bCs w:val="0"/>
          <w:sz w:val="26"/>
          <w:szCs w:val="26"/>
          <w:lang w:val="en-US"/>
        </w:rPr>
        <w:t>2017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 Apple</w:t>
      </w: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46B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46BD">
        <w:rPr>
          <w:b w:val="0"/>
          <w:bCs w:val="0"/>
          <w:sz w:val="26"/>
          <w:szCs w:val="26"/>
        </w:rPr>
        <w:t>://</w:t>
      </w:r>
      <w:r w:rsidRPr="005546BD">
        <w:rPr>
          <w:b w:val="0"/>
          <w:bCs w:val="0"/>
          <w:sz w:val="26"/>
          <w:szCs w:val="26"/>
          <w:lang w:val="en-US"/>
        </w:rPr>
        <w:t>ru</w:t>
      </w:r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wikipedia</w:t>
      </w:r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Apple</w:t>
      </w:r>
      <w:r w:rsidRPr="005546B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Google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709D">
        <w:rPr>
          <w:b w:val="0"/>
          <w:bCs w:val="0"/>
          <w:sz w:val="26"/>
          <w:szCs w:val="26"/>
        </w:rPr>
        <w:t>://</w:t>
      </w:r>
      <w:r w:rsidRPr="005546BD">
        <w:rPr>
          <w:b w:val="0"/>
          <w:bCs w:val="0"/>
          <w:sz w:val="26"/>
          <w:szCs w:val="26"/>
          <w:lang w:val="en-US"/>
        </w:rPr>
        <w:t>en</w:t>
      </w:r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wikipedia</w:t>
      </w:r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Google</w:t>
      </w:r>
      <w:r w:rsidRPr="0055709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8E2FA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8E2FA7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</w:rPr>
        <w:t>:</w:t>
      </w:r>
      <w:r w:rsidRPr="008E2FA7">
        <w:rPr>
          <w:b w:val="0"/>
          <w:bCs w:val="0"/>
          <w:sz w:val="26"/>
          <w:szCs w:val="26"/>
          <w:lang w:val="en-US"/>
        </w:rPr>
        <w:t>https</w:t>
      </w:r>
      <w:r w:rsidRPr="008E2FA7">
        <w:rPr>
          <w:b w:val="0"/>
          <w:bCs w:val="0"/>
          <w:sz w:val="26"/>
          <w:szCs w:val="26"/>
        </w:rPr>
        <w:t>://</w:t>
      </w:r>
      <w:r w:rsidRPr="008E2FA7">
        <w:rPr>
          <w:b w:val="0"/>
          <w:bCs w:val="0"/>
          <w:sz w:val="26"/>
          <w:szCs w:val="26"/>
          <w:lang w:val="en-US"/>
        </w:rPr>
        <w:t>en</w:t>
      </w:r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wikipedia</w:t>
      </w:r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org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wiki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>_</w:t>
      </w:r>
      <w:r w:rsidRPr="008E2FA7">
        <w:rPr>
          <w:b w:val="0"/>
          <w:bCs w:val="0"/>
          <w:sz w:val="26"/>
          <w:szCs w:val="26"/>
          <w:lang w:val="en-US"/>
        </w:rPr>
        <w:t>Pay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Mobile NFC Infrastructure Version 1.0 July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2012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Ingenico </w:t>
      </w:r>
      <w:r w:rsidRPr="008E2FA7">
        <w:rPr>
          <w:b w:val="0"/>
          <w:bCs w:val="0"/>
          <w:sz w:val="26"/>
          <w:szCs w:val="26"/>
          <w:lang w:val="en-US"/>
        </w:rPr>
        <w:t>Telium TETRA OS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8E2FA7">
        <w:rPr>
          <w:b w:val="0"/>
          <w:bCs w:val="0"/>
          <w:sz w:val="26"/>
          <w:szCs w:val="26"/>
          <w:lang w:val="en-US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8E2FA7">
        <w:rPr>
          <w:b w:val="0"/>
          <w:bCs w:val="0"/>
          <w:sz w:val="26"/>
          <w:szCs w:val="26"/>
          <w:lang w:val="en-US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  <w:lang w:val="en-US"/>
        </w:rPr>
        <w:t>: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8E2FA7">
        <w:rPr>
          <w:b w:val="0"/>
          <w:bCs w:val="0"/>
          <w:sz w:val="26"/>
          <w:szCs w:val="26"/>
          <w:lang w:val="en-US"/>
        </w:rPr>
        <w:t>https://apac.ingenico.com/smart-terminals/operating-system/telium-tetra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  <w:lang w:val="en-US"/>
        </w:rPr>
        <w:t>Verix V Operating System Programmer's Manual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</w:rPr>
        <w:t xml:space="preserve">Эвотор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http://wiki.evotor.ru/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lastRenderedPageBreak/>
        <w:t xml:space="preserve"> </w:t>
      </w:r>
      <w:r>
        <w:rPr>
          <w:b w:val="0"/>
          <w:bCs w:val="0"/>
          <w:sz w:val="26"/>
          <w:szCs w:val="26"/>
          <w:lang w:val="en-US"/>
        </w:rPr>
        <w:t>Azur</w:t>
      </w: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Pos</w:t>
      </w:r>
      <w:r w:rsidRPr="00101031">
        <w:rPr>
          <w:b w:val="0"/>
          <w:bCs w:val="0"/>
          <w:sz w:val="26"/>
          <w:szCs w:val="26"/>
        </w:rPr>
        <w:t xml:space="preserve"> 01-</w:t>
      </w:r>
      <w:r>
        <w:rPr>
          <w:b w:val="0"/>
          <w:bCs w:val="0"/>
          <w:sz w:val="26"/>
          <w:szCs w:val="26"/>
        </w:rPr>
        <w:t xml:space="preserve">Ф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http://azurpos.ru/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oracle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technetwork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index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html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#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55709D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msdn</w:t>
      </w:r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microsoft</w:t>
      </w:r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ru</w:t>
      </w:r>
      <w:r w:rsidRPr="0055709D">
        <w:rPr>
          <w:b w:val="0"/>
          <w:bCs w:val="0"/>
          <w:sz w:val="26"/>
          <w:szCs w:val="26"/>
        </w:rPr>
        <w:t>-</w:t>
      </w:r>
      <w:r w:rsidRPr="00101031">
        <w:rPr>
          <w:b w:val="0"/>
          <w:bCs w:val="0"/>
          <w:sz w:val="26"/>
          <w:szCs w:val="26"/>
          <w:lang w:val="en-US"/>
        </w:rPr>
        <w:t>ru</w:t>
      </w:r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vcsharp</w:t>
      </w:r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default</w:t>
      </w:r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aspx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\</w:t>
      </w:r>
      <w:r>
        <w:rPr>
          <w:b w:val="0"/>
          <w:bCs w:val="0"/>
          <w:sz w:val="26"/>
          <w:szCs w:val="26"/>
          <w:lang w:val="en-US"/>
        </w:rPr>
        <w:t>C</w:t>
      </w:r>
      <w:r>
        <w:rPr>
          <w:b w:val="0"/>
          <w:bCs w:val="0"/>
          <w:sz w:val="26"/>
          <w:szCs w:val="26"/>
        </w:rPr>
        <w:t>++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https://gcc.gnu.org/  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Kotlin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https://kotlinlang.org/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Xamarin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101031">
        <w:rPr>
          <w:b w:val="0"/>
          <w:bCs w:val="0"/>
          <w:sz w:val="26"/>
          <w:szCs w:val="26"/>
          <w:lang w:val="en-US"/>
        </w:rPr>
        <w:t>https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xamarin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 xml:space="preserve">/ </w:t>
      </w:r>
    </w:p>
    <w:p w:rsidR="0055709D" w:rsidRPr="002F6E8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2F6E8D">
        <w:rPr>
          <w:b w:val="0"/>
          <w:bCs w:val="0"/>
          <w:sz w:val="26"/>
          <w:szCs w:val="26"/>
          <w:lang w:val="en-US"/>
        </w:rPr>
        <w:t>The Java Virtual Machine Specification Java SE 8 Edition Tim Lindholm, Frank Yellin, Gilad Bracha, Alex Buckley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Eclipse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https://www.eclipse.org/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Microsost Visual Studio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https://www.visualstudio.com/vs/android/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Android Studio IDE </w:t>
      </w:r>
      <w:r w:rsidRPr="00D03FAC">
        <w:rPr>
          <w:b w:val="0"/>
          <w:bCs w:val="0"/>
          <w:sz w:val="26"/>
          <w:szCs w:val="26"/>
          <w:lang w:val="en-US"/>
        </w:rPr>
        <w:t>https://developer.android.com/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IntelliJ IDEA </w:t>
      </w:r>
      <w:r>
        <w:rPr>
          <w:b w:val="0"/>
          <w:bCs w:val="0"/>
          <w:sz w:val="26"/>
          <w:szCs w:val="26"/>
          <w:lang w:val="en-US"/>
        </w:rPr>
        <w:t xml:space="preserve">IDE </w:t>
      </w:r>
      <w:r w:rsidRPr="00D03FAC">
        <w:rPr>
          <w:b w:val="0"/>
          <w:bCs w:val="0"/>
          <w:sz w:val="26"/>
          <w:szCs w:val="26"/>
          <w:lang w:val="en-US"/>
        </w:rPr>
        <w:t>https://www.jetbrains.com/idea/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Refactoring: Improving the Design of Existing Code</w:t>
      </w:r>
      <w:r>
        <w:rPr>
          <w:b w:val="0"/>
          <w:bCs w:val="0"/>
          <w:sz w:val="26"/>
          <w:szCs w:val="26"/>
          <w:lang w:val="en-US"/>
        </w:rPr>
        <w:t xml:space="preserve"> 1-st edition </w:t>
      </w:r>
      <w:r w:rsidRPr="00D03FAC">
        <w:rPr>
          <w:b w:val="0"/>
          <w:bCs w:val="0"/>
          <w:sz w:val="26"/>
          <w:szCs w:val="26"/>
          <w:lang w:val="en-US"/>
        </w:rPr>
        <w:t>Martin Fowler</w:t>
      </w:r>
      <w:r>
        <w:rPr>
          <w:b w:val="0"/>
          <w:bCs w:val="0"/>
          <w:sz w:val="26"/>
          <w:szCs w:val="26"/>
          <w:lang w:val="en-US"/>
        </w:rPr>
        <w:t>, Kent Back, John Brant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Pro Git 1st Edition Scot Chacoon 2017 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Learning XML, 2nd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2009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 xml:space="preserve"> 8583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0A19EB">
        <w:rPr>
          <w:b w:val="0"/>
          <w:bCs w:val="0"/>
          <w:sz w:val="26"/>
          <w:szCs w:val="26"/>
          <w:lang w:val="en-US"/>
        </w:rPr>
        <w:t>https</w:t>
      </w:r>
      <w:r w:rsidRPr="000A19EB">
        <w:rPr>
          <w:b w:val="0"/>
          <w:bCs w:val="0"/>
          <w:sz w:val="26"/>
          <w:szCs w:val="26"/>
        </w:rPr>
        <w:t>://</w:t>
      </w:r>
      <w:r w:rsidRPr="000A19EB">
        <w:rPr>
          <w:b w:val="0"/>
          <w:bCs w:val="0"/>
          <w:sz w:val="26"/>
          <w:szCs w:val="26"/>
          <w:lang w:val="en-US"/>
        </w:rPr>
        <w:t>www</w:t>
      </w:r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org</w:t>
      </w:r>
      <w:r w:rsidRPr="000A19EB">
        <w:rPr>
          <w:b w:val="0"/>
          <w:bCs w:val="0"/>
          <w:sz w:val="26"/>
          <w:szCs w:val="26"/>
        </w:rPr>
        <w:t>/</w:t>
      </w:r>
      <w:r w:rsidRPr="000A19EB">
        <w:rPr>
          <w:b w:val="0"/>
          <w:bCs w:val="0"/>
          <w:sz w:val="26"/>
          <w:szCs w:val="26"/>
          <w:lang w:val="en-US"/>
        </w:rPr>
        <w:t>obp</w:t>
      </w:r>
      <w:r w:rsidRPr="000A19EB">
        <w:rPr>
          <w:b w:val="0"/>
          <w:bCs w:val="0"/>
          <w:sz w:val="26"/>
          <w:szCs w:val="26"/>
        </w:rPr>
        <w:t>/</w:t>
      </w:r>
      <w:r w:rsidRPr="000A19EB">
        <w:rPr>
          <w:b w:val="0"/>
          <w:bCs w:val="0"/>
          <w:sz w:val="26"/>
          <w:szCs w:val="26"/>
          <w:lang w:val="en-US"/>
        </w:rPr>
        <w:t>ui</w:t>
      </w:r>
      <w:r w:rsidRPr="000A19EB">
        <w:rPr>
          <w:b w:val="0"/>
          <w:bCs w:val="0"/>
          <w:sz w:val="26"/>
          <w:szCs w:val="26"/>
        </w:rPr>
        <w:t>/#</w:t>
      </w:r>
      <w:r w:rsidRPr="000A19EB"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>:</w:t>
      </w:r>
      <w:r w:rsidRPr="000A19EB">
        <w:rPr>
          <w:b w:val="0"/>
          <w:bCs w:val="0"/>
          <w:sz w:val="26"/>
          <w:szCs w:val="26"/>
          <w:lang w:val="en-US"/>
        </w:rPr>
        <w:t>std</w:t>
      </w:r>
      <w:r w:rsidRPr="000A19EB">
        <w:rPr>
          <w:b w:val="0"/>
          <w:bCs w:val="0"/>
          <w:sz w:val="26"/>
          <w:szCs w:val="26"/>
        </w:rPr>
        <w:t>:</w:t>
      </w:r>
      <w:r w:rsidRPr="000A19EB"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>:8583:-1:</w:t>
      </w:r>
      <w:r w:rsidRPr="000A19EB">
        <w:rPr>
          <w:b w:val="0"/>
          <w:bCs w:val="0"/>
          <w:sz w:val="26"/>
          <w:szCs w:val="26"/>
          <w:lang w:val="en-US"/>
        </w:rPr>
        <w:t>ed</w:t>
      </w:r>
      <w:r w:rsidRPr="000A19EB">
        <w:rPr>
          <w:b w:val="0"/>
          <w:bCs w:val="0"/>
          <w:sz w:val="26"/>
          <w:szCs w:val="26"/>
        </w:rPr>
        <w:t>-1:</w:t>
      </w:r>
      <w:r w:rsidRPr="000A19EB">
        <w:rPr>
          <w:b w:val="0"/>
          <w:bCs w:val="0"/>
          <w:sz w:val="26"/>
          <w:szCs w:val="26"/>
          <w:lang w:val="en-US"/>
        </w:rPr>
        <w:t>v</w:t>
      </w:r>
      <w:r w:rsidRPr="000A19EB">
        <w:rPr>
          <w:b w:val="0"/>
          <w:bCs w:val="0"/>
          <w:sz w:val="26"/>
          <w:szCs w:val="26"/>
        </w:rPr>
        <w:t>1:</w:t>
      </w:r>
      <w:r w:rsidRPr="000A19EB">
        <w:rPr>
          <w:b w:val="0"/>
          <w:bCs w:val="0"/>
          <w:sz w:val="26"/>
          <w:szCs w:val="26"/>
          <w:lang w:val="en-US"/>
        </w:rPr>
        <w:t>en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0A19EB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Спецификация протокола ТТК. Терминальные Технологии. 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2 Security and Key Management 2011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0A19EB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3 Application Specifiacation 2011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7D52D7">
        <w:rPr>
          <w:b w:val="0"/>
          <w:bCs w:val="0"/>
          <w:sz w:val="26"/>
          <w:szCs w:val="26"/>
          <w:lang w:val="en-US"/>
        </w:rPr>
        <w:t xml:space="preserve"> Information technology – ASN.1 encoding rules:  Specification</w:t>
      </w:r>
      <w:r>
        <w:rPr>
          <w:b w:val="0"/>
          <w:bCs w:val="0"/>
          <w:sz w:val="26"/>
          <w:szCs w:val="26"/>
          <w:lang w:val="en-US"/>
        </w:rPr>
        <w:t xml:space="preserve"> of Basic Encoding Rules (BER)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SWIG documentation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http://www.swig.org/Doc3.0/SWIGDocumentation.html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https</w:t>
      </w:r>
      <w:r w:rsidRPr="007D52D7">
        <w:rPr>
          <w:b w:val="0"/>
          <w:bCs w:val="0"/>
          <w:sz w:val="26"/>
          <w:szCs w:val="26"/>
        </w:rPr>
        <w:t>://</w:t>
      </w:r>
      <w:r w:rsidRPr="007D52D7">
        <w:rPr>
          <w:b w:val="0"/>
          <w:bCs w:val="0"/>
          <w:sz w:val="26"/>
          <w:szCs w:val="26"/>
          <w:lang w:val="en-US"/>
        </w:rPr>
        <w:t>directory</w:t>
      </w:r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fsf</w:t>
      </w:r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org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wiki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>:</w:t>
      </w:r>
      <w:r w:rsidRPr="007D52D7"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>_4</w:t>
      </w:r>
      <w:r w:rsidRPr="007D52D7">
        <w:rPr>
          <w:b w:val="0"/>
          <w:bCs w:val="0"/>
          <w:sz w:val="26"/>
          <w:szCs w:val="26"/>
          <w:lang w:val="en-US"/>
        </w:rPr>
        <w:t>Clause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The Java Native Interface Programmer’s Guide and SpecificationSheng Liang</w:t>
      </w:r>
    </w:p>
    <w:p w:rsidR="008524F0" w:rsidRPr="00936547" w:rsidRDefault="008524F0" w:rsidP="0055709D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  <w:lang w:val="en-US"/>
        </w:rPr>
      </w:pPr>
      <w:bookmarkStart w:id="0" w:name="_GoBack"/>
      <w:bookmarkEnd w:id="0"/>
    </w:p>
    <w:sectPr w:rsidR="008524F0" w:rsidRPr="00936547" w:rsidSect="00DF6A4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01" w:rsidRDefault="00E94901" w:rsidP="0021623A">
      <w:pPr>
        <w:spacing w:after="0" w:line="240" w:lineRule="auto"/>
      </w:pPr>
      <w:r>
        <w:separator/>
      </w:r>
    </w:p>
  </w:endnote>
  <w:endnote w:type="continuationSeparator" w:id="0">
    <w:p w:rsidR="00E94901" w:rsidRDefault="00E94901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0CD" w:rsidRDefault="00D460CD">
    <w:pPr>
      <w:pStyle w:val="aa"/>
      <w:jc w:val="center"/>
    </w:pPr>
  </w:p>
  <w:p w:rsidR="00D460CD" w:rsidRDefault="00D460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D460CD" w:rsidRDefault="00D46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09D">
          <w:rPr>
            <w:noProof/>
          </w:rPr>
          <w:t>46</w:t>
        </w:r>
        <w:r>
          <w:fldChar w:fldCharType="end"/>
        </w:r>
      </w:p>
    </w:sdtContent>
  </w:sdt>
  <w:p w:rsidR="00D460CD" w:rsidRDefault="00D460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01" w:rsidRDefault="00E94901" w:rsidP="0021623A">
      <w:pPr>
        <w:spacing w:after="0" w:line="240" w:lineRule="auto"/>
      </w:pPr>
      <w:r>
        <w:separator/>
      </w:r>
    </w:p>
  </w:footnote>
  <w:footnote w:type="continuationSeparator" w:id="0">
    <w:p w:rsidR="00E94901" w:rsidRDefault="00E94901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1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16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2"/>
  </w:num>
  <w:num w:numId="13">
    <w:abstractNumId w:val="2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13"/>
  </w:num>
  <w:num w:numId="19">
    <w:abstractNumId w:val="19"/>
  </w:num>
  <w:num w:numId="20">
    <w:abstractNumId w:val="17"/>
  </w:num>
  <w:num w:numId="21">
    <w:abstractNumId w:val="10"/>
  </w:num>
  <w:num w:numId="22">
    <w:abstractNumId w:val="20"/>
  </w:num>
  <w:num w:numId="23">
    <w:abstractNumId w:val="15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84671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4B94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E326F"/>
    <w:rsid w:val="003E3387"/>
    <w:rsid w:val="00404E77"/>
    <w:rsid w:val="00416FE0"/>
    <w:rsid w:val="0042729D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41C2"/>
    <w:rsid w:val="0055709D"/>
    <w:rsid w:val="005676E3"/>
    <w:rsid w:val="00576758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218D2"/>
    <w:rsid w:val="007340F4"/>
    <w:rsid w:val="00745BBC"/>
    <w:rsid w:val="00753B68"/>
    <w:rsid w:val="00772DDD"/>
    <w:rsid w:val="00776B74"/>
    <w:rsid w:val="007C03CB"/>
    <w:rsid w:val="007C333C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E02CD"/>
    <w:rsid w:val="009319CC"/>
    <w:rsid w:val="00936547"/>
    <w:rsid w:val="009555FF"/>
    <w:rsid w:val="009A3D94"/>
    <w:rsid w:val="009C562F"/>
    <w:rsid w:val="009D57F6"/>
    <w:rsid w:val="009E56F7"/>
    <w:rsid w:val="009F7854"/>
    <w:rsid w:val="00A07139"/>
    <w:rsid w:val="00A20306"/>
    <w:rsid w:val="00A33029"/>
    <w:rsid w:val="00A479A5"/>
    <w:rsid w:val="00A55C4C"/>
    <w:rsid w:val="00A56E76"/>
    <w:rsid w:val="00A85122"/>
    <w:rsid w:val="00A85482"/>
    <w:rsid w:val="00A92578"/>
    <w:rsid w:val="00A975E1"/>
    <w:rsid w:val="00AA69C4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5D24"/>
    <w:rsid w:val="00B53D95"/>
    <w:rsid w:val="00B75652"/>
    <w:rsid w:val="00B807B2"/>
    <w:rsid w:val="00B9245F"/>
    <w:rsid w:val="00BC69B2"/>
    <w:rsid w:val="00BE1213"/>
    <w:rsid w:val="00BF671A"/>
    <w:rsid w:val="00C114FF"/>
    <w:rsid w:val="00C249E3"/>
    <w:rsid w:val="00C331C1"/>
    <w:rsid w:val="00C344A1"/>
    <w:rsid w:val="00C4419D"/>
    <w:rsid w:val="00C607DE"/>
    <w:rsid w:val="00CD3F0E"/>
    <w:rsid w:val="00CE22C2"/>
    <w:rsid w:val="00D164EE"/>
    <w:rsid w:val="00D242A5"/>
    <w:rsid w:val="00D42E7C"/>
    <w:rsid w:val="00D460CD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901"/>
    <w:rsid w:val="00E94E1B"/>
    <w:rsid w:val="00EB1F8C"/>
    <w:rsid w:val="00EB3562"/>
    <w:rsid w:val="00EC5165"/>
    <w:rsid w:val="00EC61E1"/>
    <w:rsid w:val="00ED20F1"/>
    <w:rsid w:val="00EE3347"/>
    <w:rsid w:val="00EE3479"/>
    <w:rsid w:val="00F02EF3"/>
    <w:rsid w:val="00F46FA8"/>
    <w:rsid w:val="00F575D5"/>
    <w:rsid w:val="00F77F07"/>
    <w:rsid w:val="00F90F2E"/>
    <w:rsid w:val="00F97FF3"/>
    <w:rsid w:val="00FB2964"/>
    <w:rsid w:val="00FB36E5"/>
    <w:rsid w:val="00FB7B70"/>
    <w:rsid w:val="00FC1318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AF94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184671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18467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3B47-A160-4ACA-9824-3DB45667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46</Pages>
  <Words>7865</Words>
  <Characters>44831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79</cp:revision>
  <dcterms:created xsi:type="dcterms:W3CDTF">2018-01-10T15:59:00Z</dcterms:created>
  <dcterms:modified xsi:type="dcterms:W3CDTF">2018-05-01T11:58:00Z</dcterms:modified>
</cp:coreProperties>
</file>