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Product Hub Developer Guide</w:t>
      </w:r>
    </w:p>
    <w:p>
      <w:r>
        <w:t>源码取证型交接文档｜凭据仅描述位置与管理边界，不含明文值。</w:t>
      </w:r>
    </w:p>
    <w:p>
      <w:r>
        <w:t>&gt; 文档性质：源码取证型交接文档。所有结构、文件、路由、组件、依赖和迁移均由随包 SOURCE_INVENTORY.json 从本交付树提取；未读取或抄录任何凭据值。</w:t>
      </w:r>
    </w:p>
    <w:p>
      <w:pPr>
        <w:pStyle w:val="ListBullet"/>
      </w:pPr>
      <w:r>
        <w:t>交接内容基线 SHA-256：`8d0dd4cbd02ddc9ff34305a3a5190f7d9cb70bbe`</w:t>
      </w:r>
    </w:p>
    <w:p>
      <w:pPr>
        <w:pStyle w:val="ListBullet"/>
      </w:pPr>
      <w:r>
        <w:t>外层归档 SHA-256：归档生成后记录在同目录 `SHA256SUMS`/`.sha256`；归档不能把自身最终 SHA 写入自身而仍保持该 SHA。</w:t>
      </w:r>
    </w:p>
    <w:p>
      <w:pPr>
        <w:pStyle w:val="ListBullet"/>
      </w:pPr>
      <w:r>
        <w:t>配置值查询：仅由接手人到部署主机检查 `.env`、`docker compose config`、容器环境和密钥管理系统；禁止粘贴到工单/聊天。</w:t>
      </w:r>
    </w:p>
    <w:p>
      <w:pPr>
        <w:pStyle w:val="Heading1"/>
      </w:pPr>
      <w:r>
        <w:t>1. 系统定位与边界</w:t>
      </w:r>
    </w:p>
    <w:p>
      <w:r>
        <w:t>TenSpur 是“硬件产品规格目录 + 管理后台 + 证据约束型AI选型”系统。公开 App 负责按品牌/产品类型/系列浏览、全文检索、型号详情、GPU兼容关系、生命周期标签与多型号对比；Admin 负责受认证的型号/规格维护、Excel/Markdown导入、规格识别、AI Provider 与固定规则 MD。AI 不能替代本地证据：候选、条件矩阵和无证据拒答由后端确定，Provider 只补充风险说明。</w:t>
      </w:r>
    </w:p>
    <w:p>
      <w:pPr>
        <w:pStyle w:val="Heading1"/>
      </w:pPr>
      <w:r>
        <w:t>2. 架构与请求链</w:t>
      </w:r>
    </w:p>
    <w:p>
      <w:pPr>
        <w:pStyle w:val="NoSpacing"/>
      </w:pPr>
      <w:r>
        <w:rPr>
          <w:rFonts w:ascii="DejaVu Sans Mono" w:hAnsi="DejaVu Sans Mono"/>
          <w:sz w:val="14"/>
        </w:rPr>
        <w:t>flowchart LR</w:t>
      </w:r>
    </w:p>
    <w:p>
      <w:pPr>
        <w:pStyle w:val="NoSpacing"/>
      </w:pPr>
      <w:r>
        <w:rPr>
          <w:rFonts w:ascii="DejaVu Sans Mono" w:hAnsi="DejaVu Sans Mono"/>
          <w:sz w:val="14"/>
        </w:rPr>
        <w:t xml:space="preserve">  U[浏览器 App/Admin] --&gt; N[Nginx 静态站点/反向代理]</w:t>
      </w:r>
    </w:p>
    <w:p>
      <w:pPr>
        <w:pStyle w:val="NoSpacing"/>
      </w:pPr>
      <w:r>
        <w:rPr>
          <w:rFonts w:ascii="DejaVu Sans Mono" w:hAnsi="DejaVu Sans Mono"/>
          <w:sz w:val="14"/>
        </w:rPr>
        <w:t xml:space="preserve">  N --&gt; F[Vue 3 SPA]</w:t>
      </w:r>
    </w:p>
    <w:p>
      <w:pPr>
        <w:pStyle w:val="NoSpacing"/>
      </w:pPr>
      <w:r>
        <w:rPr>
          <w:rFonts w:ascii="DejaVu Sans Mono" w:hAnsi="DejaVu Sans Mono"/>
          <w:sz w:val="14"/>
        </w:rPr>
        <w:t xml:space="preserve">  F --&gt;|/api/v1/*| A[FastAPI]</w:t>
      </w:r>
    </w:p>
    <w:p>
      <w:pPr>
        <w:pStyle w:val="NoSpacing"/>
      </w:pPr>
      <w:r>
        <w:rPr>
          <w:rFonts w:ascii="DejaVu Sans Mono" w:hAnsi="DejaVu Sans Mono"/>
          <w:sz w:val="14"/>
        </w:rPr>
        <w:t xml:space="preserve">  A --&gt; S[Schema + Security + Service/Catalog]</w:t>
      </w:r>
    </w:p>
    <w:p>
      <w:pPr>
        <w:pStyle w:val="NoSpacing"/>
      </w:pPr>
      <w:r>
        <w:rPr>
          <w:rFonts w:ascii="DejaVu Sans Mono" w:hAnsi="DejaVu Sans Mono"/>
          <w:sz w:val="14"/>
        </w:rPr>
        <w:t xml:space="preserve">  S --&gt; P[(PostgreSQL)]</w:t>
      </w:r>
    </w:p>
    <w:p>
      <w:pPr>
        <w:pStyle w:val="NoSpacing"/>
      </w:pPr>
      <w:r>
        <w:rPr>
          <w:rFonts w:ascii="DejaVu Sans Mono" w:hAnsi="DejaVu Sans Mono"/>
          <w:sz w:val="14"/>
        </w:rPr>
        <w:t xml:space="preserve">  S --&gt; I[Excel/Markdown Importer]</w:t>
      </w:r>
    </w:p>
    <w:p>
      <w:pPr>
        <w:pStyle w:val="NoSpacing"/>
      </w:pPr>
      <w:r>
        <w:rPr>
          <w:rFonts w:ascii="DejaVu Sans Mono" w:hAnsi="DejaVu Sans Mono"/>
          <w:sz w:val="14"/>
        </w:rPr>
        <w:t xml:space="preserve">  S --&gt; R[AI 本地检索与规则边界]</w:t>
      </w:r>
    </w:p>
    <w:p>
      <w:pPr>
        <w:pStyle w:val="NoSpacing"/>
      </w:pPr>
      <w:r>
        <w:rPr>
          <w:rFonts w:ascii="DejaVu Sans Mono" w:hAnsi="DejaVu Sans Mono"/>
          <w:sz w:val="14"/>
        </w:rPr>
        <w:t xml:space="preserve">  R --&gt; O[OpenAI-compatible Provider]</w:t>
      </w:r>
    </w:p>
    <w:p>
      <w:r>
        <w:t>典型公开请求：浏览器 → Nginx /api/ → FastAPI public router → SQLAlchemy 查询 active/未软删数据 → Pydantic 响应 → Vue 状态与组件渲染。管理写请求：登录得到 Bearer token 和 HttpOnly Cookie → Admin API Depends(require_admin_session) → 校验/业务事务 → PostgreSQL；Cookie 专供 Nginx auth_request。</w:t>
      </w:r>
    </w:p>
    <w:p>
      <w:pPr>
        <w:pStyle w:val="Heading1"/>
      </w:pPr>
      <w:r>
        <w:t>3. 语言、框架与版本（声明文件）</w:t>
      </w:r>
    </w:p>
    <w:p>
      <w:pPr>
        <w:pStyle w:val="ListBullet"/>
      </w:pPr>
      <w:r>
        <w:t>`backend/pyproject.toml`：`{"requires_python": "&gt;=3.12", "dependencies": ["alembic==1.13.2", "beautifulsoup4==4.12.3", "fastapi==0.111.1", "psycopg[binary]==3.2.1", "pydantic==2.8.2", "pydantic-settings==2.4.0", "sqlalchemy==2.0.31", "uvicorn[standard]==0.30.3", "openpyxl==3.1.5"], "optional_dependencies": {"test": ["httpx==0.27.0", "pytest==8.3.2"]}}`</w:t>
      </w:r>
    </w:p>
    <w:p>
      <w:pPr>
        <w:pStyle w:val="ListBullet"/>
      </w:pPr>
      <w:r>
        <w:t>`frontend/package.json`：`{"name": "hardware-product-library-web", "version": "0.1.0", "dependencies": {"@vitejs/plugin-vue": "5.1.2", "element-plus": "2.7.8", "typescript": "5.5.4", "vite": "5.4.2", "vue": "3.4.38", "vue-tsc": "2.0.29"}, "devDependencies": {"@playwright/test": "^1.61.1", "@vue/test-utils": "^2.4.11", "happy-dom": "^15.11.7", "vitest": "^2.1.9"}, "scripts": {"dev": "vite --host 0.0.0.0", "build": "vue-tsc -b &amp;&amp; vite build", "test": "vitest run", "preview": "vite preview --host 0.0.0.0"}}`</w:t>
      </w:r>
    </w:p>
    <w:p>
      <w:r>
        <w:t>运行镜像/工具链以 Dockerfile、Compose 和 lock 文件为准；不要用文档中的“最新版本”替换锁定版本。</w:t>
      </w:r>
    </w:p>
    <w:p>
      <w:pPr>
        <w:pStyle w:val="Heading1"/>
      </w:pPr>
      <w:r>
        <w:t>4. 交付树与模块</w:t>
      </w:r>
    </w:p>
    <w:p>
      <w:r>
        <w:t>机器清单统计：Python 39，TS/TSX 25，Vue 18，受检源码/配置/文档 112。完整逐文件树见本节和 SOURCE_INVENTORY.md。</w:t>
      </w:r>
    </w:p>
    <w:p>
      <w:pPr>
        <w:pStyle w:val="NoSpacing"/>
      </w:pPr>
      <w:r>
        <w:rPr>
          <w:rFonts w:ascii="DejaVu Sans Mono" w:hAnsi="DejaVu Sans Mono"/>
          <w:sz w:val="14"/>
        </w:rPr>
        <w:t>CHANGELOG.md</w:t>
      </w:r>
    </w:p>
    <w:p>
      <w:pPr>
        <w:pStyle w:val="NoSpacing"/>
      </w:pPr>
      <w:r>
        <w:rPr>
          <w:rFonts w:ascii="DejaVu Sans Mono" w:hAnsi="DejaVu Sans Mono"/>
          <w:sz w:val="14"/>
        </w:rPr>
        <w:t>DEPLOYMENT.md</w:t>
      </w:r>
    </w:p>
    <w:p>
      <w:pPr>
        <w:pStyle w:val="NoSpacing"/>
      </w:pPr>
      <w:r>
        <w:rPr>
          <w:rFonts w:ascii="DejaVu Sans Mono" w:hAnsi="DejaVu Sans Mono"/>
          <w:sz w:val="14"/>
        </w:rPr>
        <w:t>HANDOVER.md</w:t>
      </w:r>
    </w:p>
    <w:p>
      <w:pPr>
        <w:pStyle w:val="NoSpacing"/>
      </w:pPr>
      <w:r>
        <w:rPr>
          <w:rFonts w:ascii="DejaVu Sans Mono" w:hAnsi="DejaVu Sans Mono"/>
          <w:sz w:val="14"/>
        </w:rPr>
        <w:t>PRIVACY.md</w:t>
      </w:r>
    </w:p>
    <w:p>
      <w:pPr>
        <w:pStyle w:val="NoSpacing"/>
      </w:pPr>
      <w:r>
        <w:rPr>
          <w:rFonts w:ascii="DejaVu Sans Mono" w:hAnsi="DejaVu Sans Mono"/>
          <w:sz w:val="14"/>
        </w:rPr>
        <w:t>PUBLIC_RELEASE_MANIFEST.md</w:t>
      </w:r>
    </w:p>
    <w:p>
      <w:pPr>
        <w:pStyle w:val="NoSpacing"/>
      </w:pPr>
      <w:r>
        <w:rPr>
          <w:rFonts w:ascii="DejaVu Sans Mono" w:hAnsi="DejaVu Sans Mono"/>
          <w:sz w:val="14"/>
        </w:rPr>
        <w:t>README.md</w:t>
      </w:r>
    </w:p>
    <w:p>
      <w:pPr>
        <w:pStyle w:val="NoSpacing"/>
      </w:pPr>
      <w:r>
        <w:rPr>
          <w:rFonts w:ascii="DejaVu Sans Mono" w:hAnsi="DejaVu Sans Mono"/>
          <w:sz w:val="14"/>
        </w:rPr>
        <w:t>SECURITY.md</w:t>
      </w:r>
    </w:p>
    <w:p>
      <w:pPr>
        <w:pStyle w:val="NoSpacing"/>
      </w:pPr>
      <w:r>
        <w:rPr>
          <w:rFonts w:ascii="DejaVu Sans Mono" w:hAnsi="DejaVu Sans Mono"/>
          <w:sz w:val="14"/>
        </w:rPr>
        <w:t>SENSITIVE_SCAN.json</w:t>
      </w:r>
    </w:p>
    <w:p>
      <w:pPr>
        <w:pStyle w:val="NoSpacing"/>
      </w:pPr>
      <w:r>
        <w:rPr>
          <w:rFonts w:ascii="DejaVu Sans Mono" w:hAnsi="DejaVu Sans Mono"/>
          <w:sz w:val="14"/>
        </w:rPr>
        <w:t>backend/Dockerfile</w:t>
      </w:r>
    </w:p>
    <w:p>
      <w:pPr>
        <w:pStyle w:val="NoSpacing"/>
      </w:pPr>
      <w:r>
        <w:rPr>
          <w:rFonts w:ascii="DejaVu Sans Mono" w:hAnsi="DejaVu Sans Mono"/>
          <w:sz w:val="14"/>
        </w:rPr>
        <w:t>backend/alembic.ini</w:t>
      </w:r>
    </w:p>
    <w:p>
      <w:pPr>
        <w:pStyle w:val="NoSpacing"/>
      </w:pPr>
      <w:r>
        <w:rPr>
          <w:rFonts w:ascii="DejaVu Sans Mono" w:hAnsi="DejaVu Sans Mono"/>
          <w:sz w:val="14"/>
        </w:rPr>
        <w:t>backend/alembic/env.py</w:t>
      </w:r>
    </w:p>
    <w:p>
      <w:pPr>
        <w:pStyle w:val="NoSpacing"/>
      </w:pPr>
      <w:r>
        <w:rPr>
          <w:rFonts w:ascii="DejaVu Sans Mono" w:hAnsi="DejaVu Sans Mono"/>
          <w:sz w:val="14"/>
        </w:rPr>
        <w:t>backend/alembic/versions/0001_initial_schema.py</w:t>
      </w:r>
    </w:p>
    <w:p>
      <w:pPr>
        <w:pStyle w:val="NoSpacing"/>
      </w:pPr>
      <w:r>
        <w:rPr>
          <w:rFonts w:ascii="DejaVu Sans Mono" w:hAnsi="DejaVu Sans Mono"/>
          <w:sz w:val="14"/>
        </w:rPr>
        <w:t>backend/alembic/versions/0002_cpu_compatibility.py</w:t>
      </w:r>
    </w:p>
    <w:p>
      <w:pPr>
        <w:pStyle w:val="NoSpacing"/>
      </w:pPr>
      <w:r>
        <w:rPr>
          <w:rFonts w:ascii="DejaVu Sans Mono" w:hAnsi="DejaVu Sans Mono"/>
          <w:sz w:val="14"/>
        </w:rPr>
        <w:t>backend/alembic/versions/0003_gpu_slot_cooling.py</w:t>
      </w:r>
    </w:p>
    <w:p>
      <w:pPr>
        <w:pStyle w:val="NoSpacing"/>
      </w:pPr>
      <w:r>
        <w:rPr>
          <w:rFonts w:ascii="DejaVu Sans Mono" w:hAnsi="DejaVu Sans Mono"/>
          <w:sz w:val="14"/>
        </w:rPr>
        <w:t>backend/alembic/versions/0004_ai_config_compatible_gpu.py</w:t>
      </w:r>
    </w:p>
    <w:p>
      <w:pPr>
        <w:pStyle w:val="NoSpacing"/>
      </w:pPr>
      <w:r>
        <w:rPr>
          <w:rFonts w:ascii="DejaVu Sans Mono" w:hAnsi="DejaVu Sans Mono"/>
          <w:sz w:val="14"/>
        </w:rPr>
        <w:t>backend/alembic/versions/0005_gpu_relation_constraints_acceptance_cleanup.py</w:t>
      </w:r>
    </w:p>
    <w:p>
      <w:pPr>
        <w:pStyle w:val="NoSpacing"/>
      </w:pPr>
      <w:r>
        <w:rPr>
          <w:rFonts w:ascii="DejaVu Sans Mono" w:hAnsi="DejaVu Sans Mono"/>
          <w:sz w:val="14"/>
        </w:rPr>
        <w:t>backend/alembic/versions/0006_gpu_parent_guard_import_trim_whitepaper.py</w:t>
      </w:r>
    </w:p>
    <w:p>
      <w:pPr>
        <w:pStyle w:val="NoSpacing"/>
      </w:pPr>
      <w:r>
        <w:rPr>
          <w:rFonts w:ascii="DejaVu Sans Mono" w:hAnsi="DejaVu Sans Mono"/>
          <w:sz w:val="14"/>
        </w:rPr>
        <w:t>backend/alembic/versions/0007_nf5468a7_cross_platform_cleanup.py</w:t>
      </w:r>
    </w:p>
    <w:p>
      <w:pPr>
        <w:pStyle w:val="NoSpacing"/>
      </w:pPr>
      <w:r>
        <w:rPr>
          <w:rFonts w:ascii="DejaVu Sans Mono" w:hAnsi="DejaVu Sans Mono"/>
          <w:sz w:val="14"/>
        </w:rPr>
        <w:t>backend/alembic/versions/0008_nf5468a7_cn_cpu_notes_cleanup.py</w:t>
      </w:r>
    </w:p>
    <w:p>
      <w:pPr>
        <w:pStyle w:val="NoSpacing"/>
      </w:pPr>
      <w:r>
        <w:rPr>
          <w:rFonts w:ascii="DejaVu Sans Mono" w:hAnsi="DejaVu Sans Mono"/>
          <w:sz w:val="14"/>
        </w:rPr>
        <w:t>backend/alembic/versions/0009_controlled_lifecycle_tags.py</w:t>
      </w:r>
    </w:p>
    <w:p>
      <w:pPr>
        <w:pStyle w:val="NoSpacing"/>
      </w:pPr>
      <w:r>
        <w:rPr>
          <w:rFonts w:ascii="DejaVu Sans Mono" w:hAnsi="DejaVu Sans Mono"/>
          <w:sz w:val="14"/>
        </w:rPr>
        <w:t>backend/alembic/versions/0010_field_dictionary_guard.py</w:t>
      </w:r>
    </w:p>
    <w:p>
      <w:pPr>
        <w:pStyle w:val="NoSpacing"/>
      </w:pPr>
      <w:r>
        <w:rPr>
          <w:rFonts w:ascii="DejaVu Sans Mono" w:hAnsi="DejaVu Sans Mono"/>
          <w:sz w:val="14"/>
        </w:rPr>
        <w:t>backend/alembic/versions/0011_merge_auto_field_definitions.py</w:t>
      </w:r>
    </w:p>
    <w:p>
      <w:pPr>
        <w:pStyle w:val="NoSpacing"/>
      </w:pPr>
      <w:r>
        <w:rPr>
          <w:rFonts w:ascii="DejaVu Sans Mono" w:hAnsi="DejaVu Sans Mono"/>
          <w:sz w:val="14"/>
        </w:rPr>
        <w:t>backend/alembic/versions/0012_normalize_interface_fields.py</w:t>
      </w:r>
    </w:p>
    <w:p>
      <w:pPr>
        <w:pStyle w:val="NoSpacing"/>
      </w:pPr>
      <w:r>
        <w:rPr>
          <w:rFonts w:ascii="DejaVu Sans Mono" w:hAnsi="DejaVu Sans Mono"/>
          <w:sz w:val="14"/>
        </w:rPr>
        <w:t>backend/app/__init__.py</w:t>
      </w:r>
    </w:p>
    <w:p>
      <w:pPr>
        <w:pStyle w:val="NoSpacing"/>
      </w:pPr>
      <w:r>
        <w:rPr>
          <w:rFonts w:ascii="DejaVu Sans Mono" w:hAnsi="DejaVu Sans Mono"/>
          <w:sz w:val="14"/>
        </w:rPr>
        <w:t>backend/app/ai_agent_rule.py</w:t>
      </w:r>
    </w:p>
    <w:p>
      <w:pPr>
        <w:pStyle w:val="NoSpacing"/>
      </w:pPr>
      <w:r>
        <w:rPr>
          <w:rFonts w:ascii="DejaVu Sans Mono" w:hAnsi="DejaVu Sans Mono"/>
          <w:sz w:val="14"/>
        </w:rPr>
        <w:t>backend/app/ai_service.py</w:t>
      </w:r>
    </w:p>
    <w:p>
      <w:pPr>
        <w:pStyle w:val="NoSpacing"/>
      </w:pPr>
      <w:r>
        <w:rPr>
          <w:rFonts w:ascii="DejaVu Sans Mono" w:hAnsi="DejaVu Sans Mono"/>
          <w:sz w:val="14"/>
        </w:rPr>
        <w:t>backend/app/catalog.py</w:t>
      </w:r>
    </w:p>
    <w:p>
      <w:pPr>
        <w:pStyle w:val="NoSpacing"/>
      </w:pPr>
      <w:r>
        <w:rPr>
          <w:rFonts w:ascii="DejaVu Sans Mono" w:hAnsi="DejaVu Sans Mono"/>
          <w:sz w:val="14"/>
        </w:rPr>
        <w:t>backend/app/config.py</w:t>
      </w:r>
    </w:p>
    <w:p>
      <w:pPr>
        <w:pStyle w:val="NoSpacing"/>
      </w:pPr>
      <w:r>
        <w:rPr>
          <w:rFonts w:ascii="DejaVu Sans Mono" w:hAnsi="DejaVu Sans Mono"/>
          <w:sz w:val="14"/>
        </w:rPr>
        <w:t>backend/app/db.py</w:t>
      </w:r>
    </w:p>
    <w:p>
      <w:pPr>
        <w:pStyle w:val="NoSpacing"/>
      </w:pPr>
      <w:r>
        <w:rPr>
          <w:rFonts w:ascii="DejaVu Sans Mono" w:hAnsi="DejaVu Sans Mono"/>
          <w:sz w:val="14"/>
        </w:rPr>
        <w:t>backend/app/importer.py</w:t>
      </w:r>
    </w:p>
    <w:p>
      <w:pPr>
        <w:pStyle w:val="NoSpacing"/>
      </w:pPr>
      <w:r>
        <w:rPr>
          <w:rFonts w:ascii="DejaVu Sans Mono" w:hAnsi="DejaVu Sans Mono"/>
          <w:sz w:val="14"/>
        </w:rPr>
        <w:t>backend/app/main.py</w:t>
      </w:r>
    </w:p>
    <w:p>
      <w:pPr>
        <w:pStyle w:val="NoSpacing"/>
      </w:pPr>
      <w:r>
        <w:rPr>
          <w:rFonts w:ascii="DejaVu Sans Mono" w:hAnsi="DejaVu Sans Mono"/>
          <w:sz w:val="14"/>
        </w:rPr>
        <w:t>backend/app/model_matching.py</w:t>
      </w:r>
    </w:p>
    <w:p>
      <w:pPr>
        <w:pStyle w:val="NoSpacing"/>
      </w:pPr>
      <w:r>
        <w:rPr>
          <w:rFonts w:ascii="DejaVu Sans Mono" w:hAnsi="DejaVu Sans Mono"/>
          <w:sz w:val="14"/>
        </w:rPr>
        <w:t>backend/app/models.py</w:t>
      </w:r>
    </w:p>
    <w:p>
      <w:pPr>
        <w:pStyle w:val="NoSpacing"/>
      </w:pPr>
      <w:r>
        <w:rPr>
          <w:rFonts w:ascii="DejaVu Sans Mono" w:hAnsi="DejaVu Sans Mono"/>
          <w:sz w:val="14"/>
        </w:rPr>
        <w:t>backend/app/routes/__init__.py</w:t>
      </w:r>
    </w:p>
    <w:p>
      <w:pPr>
        <w:pStyle w:val="NoSpacing"/>
      </w:pPr>
      <w:r>
        <w:rPr>
          <w:rFonts w:ascii="DejaVu Sans Mono" w:hAnsi="DejaVu Sans Mono"/>
          <w:sz w:val="14"/>
        </w:rPr>
        <w:t>backend/app/routes/admin.py</w:t>
      </w:r>
    </w:p>
    <w:p>
      <w:pPr>
        <w:pStyle w:val="NoSpacing"/>
      </w:pPr>
      <w:r>
        <w:rPr>
          <w:rFonts w:ascii="DejaVu Sans Mono" w:hAnsi="DejaVu Sans Mono"/>
          <w:sz w:val="14"/>
        </w:rPr>
        <w:t>backend/app/routes/public.py</w:t>
      </w:r>
    </w:p>
    <w:p>
      <w:pPr>
        <w:pStyle w:val="NoSpacing"/>
      </w:pPr>
      <w:r>
        <w:rPr>
          <w:rFonts w:ascii="DejaVu Sans Mono" w:hAnsi="DejaVu Sans Mono"/>
          <w:sz w:val="14"/>
        </w:rPr>
        <w:t>backend/app/schemas.py</w:t>
      </w:r>
    </w:p>
    <w:p>
      <w:pPr>
        <w:pStyle w:val="NoSpacing"/>
      </w:pPr>
      <w:r>
        <w:rPr>
          <w:rFonts w:ascii="DejaVu Sans Mono" w:hAnsi="DejaVu Sans Mono"/>
          <w:sz w:val="14"/>
        </w:rPr>
        <w:t>backend/app/security.py</w:t>
      </w:r>
    </w:p>
    <w:p>
      <w:pPr>
        <w:pStyle w:val="NoSpacing"/>
      </w:pPr>
      <w:r>
        <w:rPr>
          <w:rFonts w:ascii="DejaVu Sans Mono" w:hAnsi="DejaVu Sans Mono"/>
          <w:sz w:val="14"/>
        </w:rPr>
        <w:t>backend/entrypoint.sh</w:t>
      </w:r>
    </w:p>
    <w:p>
      <w:pPr>
        <w:pStyle w:val="NoSpacing"/>
      </w:pPr>
      <w:r>
        <w:rPr>
          <w:rFonts w:ascii="DejaVu Sans Mono" w:hAnsi="DejaVu Sans Mono"/>
          <w:sz w:val="14"/>
        </w:rPr>
        <w:t>backend/pyproject.toml</w:t>
      </w:r>
    </w:p>
    <w:p>
      <w:pPr>
        <w:pStyle w:val="NoSpacing"/>
      </w:pPr>
      <w:r>
        <w:rPr>
          <w:rFonts w:ascii="DejaVu Sans Mono" w:hAnsi="DejaVu Sans Mono"/>
          <w:sz w:val="14"/>
        </w:rPr>
        <w:t>backend/tests/test_ai_agent_rule.py</w:t>
      </w:r>
    </w:p>
    <w:p>
      <w:pPr>
        <w:pStyle w:val="NoSpacing"/>
      </w:pPr>
      <w:r>
        <w:rPr>
          <w:rFonts w:ascii="DejaVu Sans Mono" w:hAnsi="DejaVu Sans Mono"/>
          <w:sz w:val="14"/>
        </w:rPr>
        <w:t>backend/tests/test_ai_input_contract.py</w:t>
      </w:r>
    </w:p>
    <w:p>
      <w:pPr>
        <w:pStyle w:val="NoSpacing"/>
      </w:pPr>
      <w:r>
        <w:rPr>
          <w:rFonts w:ascii="DejaVu Sans Mono" w:hAnsi="DejaVu Sans Mono"/>
          <w:sz w:val="14"/>
        </w:rPr>
        <w:t>backend/tests/test_ai_numeric_constraints.py</w:t>
      </w:r>
    </w:p>
    <w:p>
      <w:pPr>
        <w:pStyle w:val="NoSpacing"/>
      </w:pPr>
      <w:r>
        <w:rPr>
          <w:rFonts w:ascii="DejaVu Sans Mono" w:hAnsi="DejaVu Sans Mono"/>
          <w:sz w:val="14"/>
        </w:rPr>
        <w:t>backend/tests/test_api.py</w:t>
      </w:r>
    </w:p>
    <w:p>
      <w:pPr>
        <w:pStyle w:val="NoSpacing"/>
      </w:pPr>
      <w:r>
        <w:rPr>
          <w:rFonts w:ascii="DejaVu Sans Mono" w:hAnsi="DejaVu Sans Mono"/>
          <w:sz w:val="14"/>
        </w:rPr>
        <w:t>backend/tests/test_field_dictionary_governance.py</w:t>
      </w:r>
    </w:p>
    <w:p>
      <w:pPr>
        <w:pStyle w:val="NoSpacing"/>
      </w:pPr>
      <w:r>
        <w:rPr>
          <w:rFonts w:ascii="DejaVu Sans Mono" w:hAnsi="DejaVu Sans Mono"/>
          <w:sz w:val="14"/>
        </w:rPr>
        <w:t>backend/tests/test_gpu_constraints_cleanup.py</w:t>
      </w:r>
    </w:p>
    <w:p>
      <w:pPr>
        <w:pStyle w:val="NoSpacing"/>
      </w:pPr>
      <w:r>
        <w:rPr>
          <w:rFonts w:ascii="DejaVu Sans Mono" w:hAnsi="DejaVu Sans Mono"/>
          <w:sz w:val="14"/>
        </w:rPr>
        <w:t>backend/tests/test_lifecycle_migration_contract.py</w:t>
      </w:r>
    </w:p>
    <w:p>
      <w:pPr>
        <w:pStyle w:val="NoSpacing"/>
      </w:pPr>
      <w:r>
        <w:rPr>
          <w:rFonts w:ascii="DejaVu Sans Mono" w:hAnsi="DejaVu Sans Mono"/>
          <w:sz w:val="14"/>
        </w:rPr>
        <w:t>backend/tests/test_public_schema_only_migrations.py</w:t>
      </w:r>
    </w:p>
    <w:p>
      <w:pPr>
        <w:pStyle w:val="NoSpacing"/>
      </w:pPr>
      <w:r>
        <w:rPr>
          <w:rFonts w:ascii="DejaVu Sans Mono" w:hAnsi="DejaVu Sans Mono"/>
          <w:sz w:val="14"/>
        </w:rPr>
        <w:t>backend/tests/test_validation_error_redaction.py</w:t>
      </w:r>
    </w:p>
    <w:p>
      <w:pPr>
        <w:pStyle w:val="NoSpacing"/>
      </w:pPr>
      <w:r>
        <w:rPr>
          <w:rFonts w:ascii="DejaVu Sans Mono" w:hAnsi="DejaVu Sans Mono"/>
          <w:sz w:val="14"/>
        </w:rPr>
        <w:t>docker-compose.yml</w:t>
      </w:r>
    </w:p>
    <w:p>
      <w:pPr>
        <w:pStyle w:val="NoSpacing"/>
      </w:pPr>
      <w:r>
        <w:rPr>
          <w:rFonts w:ascii="DejaVu Sans Mono" w:hAnsi="DejaVu Sans Mono"/>
          <w:sz w:val="14"/>
        </w:rPr>
        <w:t>docs/DEVELOPER_GUIDE.md</w:t>
      </w:r>
    </w:p>
    <w:p>
      <w:pPr>
        <w:pStyle w:val="NoSpacing"/>
      </w:pPr>
      <w:r>
        <w:rPr>
          <w:rFonts w:ascii="DejaVu Sans Mono" w:hAnsi="DejaVu Sans Mono"/>
          <w:sz w:val="14"/>
        </w:rPr>
        <w:t>docs/SOURCE_INVENTORY.json</w:t>
      </w:r>
    </w:p>
    <w:p>
      <w:pPr>
        <w:pStyle w:val="NoSpacing"/>
      </w:pPr>
      <w:r>
        <w:rPr>
          <w:rFonts w:ascii="DejaVu Sans Mono" w:hAnsi="DejaVu Sans Mono"/>
          <w:sz w:val="14"/>
        </w:rPr>
        <w:t>docs/SOURCE_INVENTORY.md</w:t>
      </w:r>
    </w:p>
    <w:p>
      <w:pPr>
        <w:pStyle w:val="NoSpacing"/>
      </w:pPr>
      <w:r>
        <w:rPr>
          <w:rFonts w:ascii="DejaVu Sans Mono" w:hAnsi="DejaVu Sans Mono"/>
          <w:sz w:val="14"/>
        </w:rPr>
        <w:t>frontend/Dockerfile</w:t>
      </w:r>
    </w:p>
    <w:p>
      <w:pPr>
        <w:pStyle w:val="NoSpacing"/>
      </w:pPr>
      <w:r>
        <w:rPr>
          <w:rFonts w:ascii="DejaVu Sans Mono" w:hAnsi="DejaVu Sans Mono"/>
          <w:sz w:val="14"/>
        </w:rPr>
        <w:t>frontend/index.html</w:t>
      </w:r>
    </w:p>
    <w:p>
      <w:pPr>
        <w:pStyle w:val="NoSpacing"/>
      </w:pPr>
      <w:r>
        <w:rPr>
          <w:rFonts w:ascii="DejaVu Sans Mono" w:hAnsi="DejaVu Sans Mono"/>
          <w:sz w:val="14"/>
        </w:rPr>
        <w:t>frontend/nginx.conf</w:t>
      </w:r>
    </w:p>
    <w:p>
      <w:pPr>
        <w:pStyle w:val="NoSpacing"/>
      </w:pPr>
      <w:r>
        <w:rPr>
          <w:rFonts w:ascii="DejaVu Sans Mono" w:hAnsi="DejaVu Sans Mono"/>
          <w:sz w:val="14"/>
        </w:rPr>
        <w:t>frontend/package-lock.json</w:t>
      </w:r>
    </w:p>
    <w:p>
      <w:pPr>
        <w:pStyle w:val="NoSpacing"/>
      </w:pPr>
      <w:r>
        <w:rPr>
          <w:rFonts w:ascii="DejaVu Sans Mono" w:hAnsi="DejaVu Sans Mono"/>
          <w:sz w:val="14"/>
        </w:rPr>
        <w:t>frontend/package.json</w:t>
      </w:r>
    </w:p>
    <w:p>
      <w:pPr>
        <w:pStyle w:val="NoSpacing"/>
      </w:pPr>
      <w:r>
        <w:rPr>
          <w:rFonts w:ascii="DejaVu Sans Mono" w:hAnsi="DejaVu Sans Mono"/>
          <w:sz w:val="14"/>
        </w:rPr>
        <w:t>frontend/src/App.vue</w:t>
      </w:r>
    </w:p>
    <w:p>
      <w:pPr>
        <w:pStyle w:val="NoSpacing"/>
      </w:pPr>
      <w:r>
        <w:rPr>
          <w:rFonts w:ascii="DejaVu Sans Mono" w:hAnsi="DejaVu Sans Mono"/>
          <w:sz w:val="14"/>
        </w:rPr>
        <w:t>frontend/src/admin/AdminApp.test.ts</w:t>
      </w:r>
    </w:p>
    <w:p>
      <w:pPr>
        <w:pStyle w:val="NoSpacing"/>
      </w:pPr>
      <w:r>
        <w:rPr>
          <w:rFonts w:ascii="DejaVu Sans Mono" w:hAnsi="DejaVu Sans Mono"/>
          <w:sz w:val="14"/>
        </w:rPr>
        <w:t>frontend/src/admin/AdminApp.vue</w:t>
      </w:r>
    </w:p>
    <w:p>
      <w:pPr>
        <w:pStyle w:val="NoSpacing"/>
      </w:pPr>
      <w:r>
        <w:rPr>
          <w:rFonts w:ascii="DejaVu Sans Mono" w:hAnsi="DejaVu Sans Mono"/>
          <w:sz w:val="14"/>
        </w:rPr>
        <w:t>frontend/src/admin/admin-components.css</w:t>
      </w:r>
    </w:p>
    <w:p>
      <w:pPr>
        <w:pStyle w:val="NoSpacing"/>
      </w:pPr>
      <w:r>
        <w:rPr>
          <w:rFonts w:ascii="DejaVu Sans Mono" w:hAnsi="DejaVu Sans Mono"/>
          <w:sz w:val="14"/>
        </w:rPr>
        <w:t>frontend/src/admin/admin.css</w:t>
      </w:r>
    </w:p>
    <w:p>
      <w:pPr>
        <w:pStyle w:val="NoSpacing"/>
      </w:pPr>
      <w:r>
        <w:rPr>
          <w:rFonts w:ascii="DejaVu Sans Mono" w:hAnsi="DejaVu Sans Mono"/>
          <w:sz w:val="14"/>
        </w:rPr>
        <w:t>frontend/src/admin/adminAiAgentRuleApi.test.ts</w:t>
      </w:r>
    </w:p>
    <w:p>
      <w:pPr>
        <w:pStyle w:val="NoSpacing"/>
      </w:pPr>
      <w:r>
        <w:rPr>
          <w:rFonts w:ascii="DejaVu Sans Mono" w:hAnsi="DejaVu Sans Mono"/>
          <w:sz w:val="14"/>
        </w:rPr>
        <w:t>frontend/src/admin/adminApi.test.ts</w:t>
      </w:r>
    </w:p>
    <w:p>
      <w:pPr>
        <w:pStyle w:val="NoSpacing"/>
      </w:pPr>
      <w:r>
        <w:rPr>
          <w:rFonts w:ascii="DejaVu Sans Mono" w:hAnsi="DejaVu Sans Mono"/>
          <w:sz w:val="14"/>
        </w:rPr>
        <w:t>frontend/src/admin/adminApi.ts</w:t>
      </w:r>
    </w:p>
    <w:p>
      <w:pPr>
        <w:pStyle w:val="NoSpacing"/>
      </w:pPr>
      <w:r>
        <w:rPr>
          <w:rFonts w:ascii="DejaVu Sans Mono" w:hAnsi="DejaVu Sans Mono"/>
          <w:sz w:val="14"/>
        </w:rPr>
        <w:t>frontend/src/admin/components/AdminAiAgentRulePanel.test.ts</w:t>
      </w:r>
    </w:p>
    <w:p>
      <w:pPr>
        <w:pStyle w:val="NoSpacing"/>
      </w:pPr>
      <w:r>
        <w:rPr>
          <w:rFonts w:ascii="DejaVu Sans Mono" w:hAnsi="DejaVu Sans Mono"/>
          <w:sz w:val="14"/>
        </w:rPr>
        <w:t>frontend/src/admin/components/AdminAiAgentRulePanel.vue</w:t>
      </w:r>
    </w:p>
    <w:p>
      <w:pPr>
        <w:pStyle w:val="NoSpacing"/>
      </w:pPr>
      <w:r>
        <w:rPr>
          <w:rFonts w:ascii="DejaVu Sans Mono" w:hAnsi="DejaVu Sans Mono"/>
          <w:sz w:val="14"/>
        </w:rPr>
        <w:t>frontend/src/admin/components/AdminAiConfigPanel.test.ts</w:t>
      </w:r>
    </w:p>
    <w:p>
      <w:pPr>
        <w:pStyle w:val="NoSpacing"/>
      </w:pPr>
      <w:r>
        <w:rPr>
          <w:rFonts w:ascii="DejaVu Sans Mono" w:hAnsi="DejaVu Sans Mono"/>
          <w:sz w:val="14"/>
        </w:rPr>
        <w:t>frontend/src/admin/components/AdminAiConfigPanel.vue</w:t>
      </w:r>
    </w:p>
    <w:p>
      <w:pPr>
        <w:pStyle w:val="NoSpacing"/>
      </w:pPr>
      <w:r>
        <w:rPr>
          <w:rFonts w:ascii="DejaVu Sans Mono" w:hAnsi="DejaVu Sans Mono"/>
          <w:sz w:val="14"/>
        </w:rPr>
        <w:t>frontend/src/admin/components/AdminBasicForm.vue</w:t>
      </w:r>
    </w:p>
    <w:p>
      <w:pPr>
        <w:pStyle w:val="NoSpacing"/>
      </w:pPr>
      <w:r>
        <w:rPr>
          <w:rFonts w:ascii="DejaVu Sans Mono" w:hAnsi="DejaVu Sans Mono"/>
          <w:sz w:val="14"/>
        </w:rPr>
        <w:t>frontend/src/admin/components/AdminCompatibleGpuPanel.test.ts</w:t>
      </w:r>
    </w:p>
    <w:p>
      <w:pPr>
        <w:pStyle w:val="NoSpacing"/>
      </w:pPr>
      <w:r>
        <w:rPr>
          <w:rFonts w:ascii="DejaVu Sans Mono" w:hAnsi="DejaVu Sans Mono"/>
          <w:sz w:val="14"/>
        </w:rPr>
        <w:t>frontend/src/admin/components/AdminCompatibleGpuPanel.vue</w:t>
      </w:r>
    </w:p>
    <w:p>
      <w:pPr>
        <w:pStyle w:val="NoSpacing"/>
      </w:pPr>
      <w:r>
        <w:rPr>
          <w:rFonts w:ascii="DejaVu Sans Mono" w:hAnsi="DejaVu Sans Mono"/>
          <w:sz w:val="14"/>
        </w:rPr>
        <w:t>frontend/src/admin/components/AdminImportPanel.test.ts</w:t>
      </w:r>
    </w:p>
    <w:p>
      <w:pPr>
        <w:pStyle w:val="NoSpacing"/>
      </w:pPr>
      <w:r>
        <w:rPr>
          <w:rFonts w:ascii="DejaVu Sans Mono" w:hAnsi="DejaVu Sans Mono"/>
          <w:sz w:val="14"/>
        </w:rPr>
        <w:t>frontend/src/admin/components/AdminImportPanel.vue</w:t>
      </w:r>
    </w:p>
    <w:p>
      <w:pPr>
        <w:pStyle w:val="NoSpacing"/>
      </w:pPr>
      <w:r>
        <w:rPr>
          <w:rFonts w:ascii="DejaVu Sans Mono" w:hAnsi="DejaVu Sans Mono"/>
          <w:sz w:val="14"/>
        </w:rPr>
        <w:t>frontend/src/admin/components/AdminModelList.vue</w:t>
      </w:r>
    </w:p>
    <w:p>
      <w:pPr>
        <w:pStyle w:val="NoSpacing"/>
      </w:pPr>
      <w:r>
        <w:rPr>
          <w:rFonts w:ascii="DejaVu Sans Mono" w:hAnsi="DejaVu Sans Mono"/>
          <w:sz w:val="14"/>
        </w:rPr>
        <w:t>frontend/src/admin/components/AdminRecognitionPanel.vue</w:t>
      </w:r>
    </w:p>
    <w:p>
      <w:pPr>
        <w:pStyle w:val="NoSpacing"/>
      </w:pPr>
      <w:r>
        <w:rPr>
          <w:rFonts w:ascii="DejaVu Sans Mono" w:hAnsi="DejaVu Sans Mono"/>
          <w:sz w:val="14"/>
        </w:rPr>
        <w:t>frontend/src/admin/components/AdminSpecEditor.vue</w:t>
      </w:r>
    </w:p>
    <w:p>
      <w:pPr>
        <w:pStyle w:val="NoSpacing"/>
      </w:pPr>
      <w:r>
        <w:rPr>
          <w:rFonts w:ascii="DejaVu Sans Mono" w:hAnsi="DejaVu Sans Mono"/>
          <w:sz w:val="14"/>
        </w:rPr>
        <w:t>frontend/src/admin/components/SeriesSelector.vue</w:t>
      </w:r>
    </w:p>
    <w:p>
      <w:pPr>
        <w:pStyle w:val="NoSpacing"/>
      </w:pPr>
      <w:r>
        <w:rPr>
          <w:rFonts w:ascii="DejaVu Sans Mono" w:hAnsi="DejaVu Sans Mono"/>
          <w:sz w:val="14"/>
        </w:rPr>
        <w:t>frontend/src/admin/components/SpecRows.vue</w:t>
      </w:r>
    </w:p>
    <w:p>
      <w:pPr>
        <w:pStyle w:val="NoSpacing"/>
      </w:pPr>
      <w:r>
        <w:rPr>
          <w:rFonts w:ascii="DejaVu Sans Mono" w:hAnsi="DejaVu Sans Mono"/>
          <w:sz w:val="14"/>
        </w:rPr>
        <w:t>frontend/src/api.ts</w:t>
      </w:r>
    </w:p>
    <w:p>
      <w:pPr>
        <w:pStyle w:val="NoSpacing"/>
      </w:pPr>
      <w:r>
        <w:rPr>
          <w:rFonts w:ascii="DejaVu Sans Mono" w:hAnsi="DejaVu Sans Mono"/>
          <w:sz w:val="14"/>
        </w:rPr>
        <w:t>frontend/src/components/AiAssistant.vue</w:t>
      </w:r>
    </w:p>
    <w:p>
      <w:pPr>
        <w:pStyle w:val="NoSpacing"/>
      </w:pPr>
      <w:r>
        <w:rPr>
          <w:rFonts w:ascii="DejaVu Sans Mono" w:hAnsi="DejaVu Sans Mono"/>
          <w:sz w:val="14"/>
        </w:rPr>
        <w:t>frontend/src/components/BrandHeader.vue</w:t>
      </w:r>
    </w:p>
    <w:p>
      <w:pPr>
        <w:pStyle w:val="NoSpacing"/>
      </w:pPr>
      <w:r>
        <w:rPr>
          <w:rFonts w:ascii="DejaVu Sans Mono" w:hAnsi="DejaVu Sans Mono"/>
          <w:sz w:val="14"/>
        </w:rPr>
        <w:t>frontend/src/components/ModelDetail.vue</w:t>
      </w:r>
    </w:p>
    <w:p>
      <w:pPr>
        <w:pStyle w:val="NoSpacing"/>
      </w:pPr>
      <w:r>
        <w:rPr>
          <w:rFonts w:ascii="DejaVu Sans Mono" w:hAnsi="DejaVu Sans Mono"/>
          <w:sz w:val="14"/>
        </w:rPr>
        <w:t>frontend/src/components/ModelNavigator.vue</w:t>
      </w:r>
    </w:p>
    <w:p>
      <w:pPr>
        <w:pStyle w:val="NoSpacing"/>
      </w:pPr>
      <w:r>
        <w:rPr>
          <w:rFonts w:ascii="DejaVu Sans Mono" w:hAnsi="DejaVu Sans Mono"/>
          <w:sz w:val="14"/>
        </w:rPr>
        <w:t>frontend/src/components/ProductBadges.vue</w:t>
      </w:r>
    </w:p>
    <w:p>
      <w:pPr>
        <w:pStyle w:val="NoSpacing"/>
      </w:pPr>
      <w:r>
        <w:rPr>
          <w:rFonts w:ascii="DejaVu Sans Mono" w:hAnsi="DejaVu Sans Mono"/>
          <w:sz w:val="14"/>
        </w:rPr>
        <w:t>frontend/src/components/ProductCompare.vue</w:t>
      </w:r>
    </w:p>
    <w:p>
      <w:pPr>
        <w:pStyle w:val="NoSpacing"/>
      </w:pPr>
      <w:r>
        <w:rPr>
          <w:rFonts w:ascii="DejaVu Sans Mono" w:hAnsi="DejaVu Sans Mono"/>
          <w:sz w:val="14"/>
        </w:rPr>
        <w:t>frontend/src/env.d.ts</w:t>
      </w:r>
    </w:p>
    <w:p>
      <w:pPr>
        <w:pStyle w:val="NoSpacing"/>
      </w:pPr>
      <w:r>
        <w:rPr>
          <w:rFonts w:ascii="DejaVu Sans Mono" w:hAnsi="DejaVu Sans Mono"/>
          <w:sz w:val="14"/>
        </w:rPr>
        <w:t>frontend/src/main.ts</w:t>
      </w:r>
    </w:p>
    <w:p>
      <w:pPr>
        <w:pStyle w:val="NoSpacing"/>
      </w:pPr>
      <w:r>
        <w:rPr>
          <w:rFonts w:ascii="DejaVu Sans Mono" w:hAnsi="DejaVu Sans Mono"/>
          <w:sz w:val="14"/>
        </w:rPr>
        <w:t>frontend/src/style.css</w:t>
      </w:r>
    </w:p>
    <w:p>
      <w:pPr>
        <w:pStyle w:val="NoSpacing"/>
      </w:pPr>
      <w:r>
        <w:rPr>
          <w:rFonts w:ascii="DejaVu Sans Mono" w:hAnsi="DejaVu Sans Mono"/>
          <w:sz w:val="14"/>
        </w:rPr>
        <w:t>frontend/src/styles/compare.css</w:t>
      </w:r>
    </w:p>
    <w:p>
      <w:pPr>
        <w:pStyle w:val="NoSpacing"/>
      </w:pPr>
      <w:r>
        <w:rPr>
          <w:rFonts w:ascii="DejaVu Sans Mono" w:hAnsi="DejaVu Sans Mono"/>
          <w:sz w:val="14"/>
        </w:rPr>
        <w:t>frontend/src/styles/mobile-public.css</w:t>
      </w:r>
    </w:p>
    <w:p>
      <w:pPr>
        <w:pStyle w:val="NoSpacing"/>
      </w:pPr>
      <w:r>
        <w:rPr>
          <w:rFonts w:ascii="DejaVu Sans Mono" w:hAnsi="DejaVu Sans Mono"/>
          <w:sz w:val="14"/>
        </w:rPr>
        <w:t>frontend/src/styles/mobile-scroll-admin.css</w:t>
      </w:r>
    </w:p>
    <w:p>
      <w:pPr>
        <w:pStyle w:val="NoSpacing"/>
      </w:pPr>
      <w:r>
        <w:rPr>
          <w:rFonts w:ascii="DejaVu Sans Mono" w:hAnsi="DejaVu Sans Mono"/>
          <w:sz w:val="14"/>
        </w:rPr>
        <w:t>frontend/src/utils/adminRedirect.test.ts</w:t>
      </w:r>
    </w:p>
    <w:p>
      <w:pPr>
        <w:pStyle w:val="NoSpacing"/>
      </w:pPr>
      <w:r>
        <w:rPr>
          <w:rFonts w:ascii="DejaVu Sans Mono" w:hAnsi="DejaVu Sans Mono"/>
          <w:sz w:val="14"/>
        </w:rPr>
        <w:t>frontend/src/utils/adminRedirect.ts</w:t>
      </w:r>
    </w:p>
    <w:p>
      <w:pPr>
        <w:pStyle w:val="NoSpacing"/>
      </w:pPr>
      <w:r>
        <w:rPr>
          <w:rFonts w:ascii="DejaVu Sans Mono" w:hAnsi="DejaVu Sans Mono"/>
          <w:sz w:val="14"/>
        </w:rPr>
        <w:t>frontend/src/utils/aiRecommendation.test.ts</w:t>
      </w:r>
    </w:p>
    <w:p>
      <w:pPr>
        <w:pStyle w:val="NoSpacing"/>
      </w:pPr>
      <w:r>
        <w:rPr>
          <w:rFonts w:ascii="DejaVu Sans Mono" w:hAnsi="DejaVu Sans Mono"/>
          <w:sz w:val="14"/>
        </w:rPr>
        <w:t>frontend/src/utils/aiRecommendation.ts</w:t>
      </w:r>
    </w:p>
    <w:p>
      <w:pPr>
        <w:pStyle w:val="NoSpacing"/>
      </w:pPr>
      <w:r>
        <w:rPr>
          <w:rFonts w:ascii="DejaVu Sans Mono" w:hAnsi="DejaVu Sans Mono"/>
          <w:sz w:val="14"/>
        </w:rPr>
        <w:t>frontend/src/utils/catalogLoader.test.ts</w:t>
      </w:r>
    </w:p>
    <w:p>
      <w:pPr>
        <w:pStyle w:val="NoSpacing"/>
      </w:pPr>
      <w:r>
        <w:rPr>
          <w:rFonts w:ascii="DejaVu Sans Mono" w:hAnsi="DejaVu Sans Mono"/>
          <w:sz w:val="14"/>
        </w:rPr>
        <w:t>frontend/src/utils/catalogLoader.ts</w:t>
      </w:r>
    </w:p>
    <w:p>
      <w:pPr>
        <w:pStyle w:val="NoSpacing"/>
      </w:pPr>
      <w:r>
        <w:rPr>
          <w:rFonts w:ascii="DejaVu Sans Mono" w:hAnsi="DejaVu Sans Mono"/>
          <w:sz w:val="14"/>
        </w:rPr>
        <w:t>frontend/src/utils/displayRules.ts</w:t>
      </w:r>
    </w:p>
    <w:p>
      <w:pPr>
        <w:pStyle w:val="NoSpacing"/>
      </w:pPr>
      <w:r>
        <w:rPr>
          <w:rFonts w:ascii="DejaVu Sans Mono" w:hAnsi="DejaVu Sans Mono"/>
          <w:sz w:val="14"/>
        </w:rPr>
        <w:t>frontend/src/utils/gpuDisplay.test.ts</w:t>
      </w:r>
    </w:p>
    <w:p>
      <w:pPr>
        <w:pStyle w:val="NoSpacing"/>
      </w:pPr>
      <w:r>
        <w:rPr>
          <w:rFonts w:ascii="DejaVu Sans Mono" w:hAnsi="DejaVu Sans Mono"/>
          <w:sz w:val="14"/>
        </w:rPr>
        <w:t>frontend/src/utils/gpuDisplay.ts</w:t>
      </w:r>
    </w:p>
    <w:p>
      <w:pPr>
        <w:pStyle w:val="NoSpacing"/>
      </w:pPr>
      <w:r>
        <w:rPr>
          <w:rFonts w:ascii="DejaVu Sans Mono" w:hAnsi="DejaVu Sans Mono"/>
          <w:sz w:val="14"/>
        </w:rPr>
        <w:t>frontend/src/utils/homeUx.test.ts</w:t>
      </w:r>
    </w:p>
    <w:p>
      <w:pPr>
        <w:pStyle w:val="NoSpacing"/>
      </w:pPr>
      <w:r>
        <w:rPr>
          <w:rFonts w:ascii="DejaVu Sans Mono" w:hAnsi="DejaVu Sans Mono"/>
          <w:sz w:val="14"/>
        </w:rPr>
        <w:t>frontend/src/utils/productBadges.test.ts</w:t>
      </w:r>
    </w:p>
    <w:p>
      <w:pPr>
        <w:pStyle w:val="NoSpacing"/>
      </w:pPr>
      <w:r>
        <w:rPr>
          <w:rFonts w:ascii="DejaVu Sans Mono" w:hAnsi="DejaVu Sans Mono"/>
          <w:sz w:val="14"/>
        </w:rPr>
        <w:t>frontend/src/utils/productBadges.ts</w:t>
      </w:r>
    </w:p>
    <w:p>
      <w:pPr>
        <w:pStyle w:val="NoSpacing"/>
      </w:pPr>
      <w:r>
        <w:rPr>
          <w:rFonts w:ascii="DejaVu Sans Mono" w:hAnsi="DejaVu Sans Mono"/>
          <w:sz w:val="14"/>
        </w:rPr>
        <w:t>frontend/tests/api-error.test.ts</w:t>
      </w:r>
    </w:p>
    <w:p>
      <w:pPr>
        <w:pStyle w:val="NoSpacing"/>
      </w:pPr>
      <w:r>
        <w:rPr>
          <w:rFonts w:ascii="DejaVu Sans Mono" w:hAnsi="DejaVu Sans Mono"/>
          <w:sz w:val="14"/>
        </w:rPr>
        <w:t>frontend/tests/gpu-display-browser.mjs</w:t>
      </w:r>
    </w:p>
    <w:p>
      <w:pPr>
        <w:pStyle w:val="NoSpacing"/>
      </w:pPr>
      <w:r>
        <w:rPr>
          <w:rFonts w:ascii="DejaVu Sans Mono" w:hAnsi="DejaVu Sans Mono"/>
          <w:sz w:val="14"/>
        </w:rPr>
        <w:t>frontend/tests/gpu-save-browser.mjs</w:t>
      </w:r>
    </w:p>
    <w:p>
      <w:pPr>
        <w:pStyle w:val="NoSpacing"/>
      </w:pPr>
      <w:r>
        <w:rPr>
          <w:rFonts w:ascii="DejaVu Sans Mono" w:hAnsi="DejaVu Sans Mono"/>
          <w:sz w:val="14"/>
        </w:rPr>
        <w:t>frontend/tsconfig.json</w:t>
      </w:r>
    </w:p>
    <w:p>
      <w:pPr>
        <w:pStyle w:val="NoSpacing"/>
      </w:pPr>
      <w:r>
        <w:rPr>
          <w:rFonts w:ascii="DejaVu Sans Mono" w:hAnsi="DejaVu Sans Mono"/>
          <w:sz w:val="14"/>
        </w:rPr>
        <w:t>frontend/vite.config.ts</w:t>
      </w:r>
    </w:p>
    <w:p>
      <w:pPr>
        <w:pStyle w:val="NoSpacing"/>
      </w:pPr>
      <w:r>
        <w:rPr>
          <w:rFonts w:ascii="DejaVu Sans Mono" w:hAnsi="DejaVu Sans Mono"/>
          <w:sz w:val="14"/>
        </w:rPr>
        <w:t>tools/tenspur_source_inventory.py</w:t>
      </w:r>
    </w:p>
    <w:p>
      <w:pPr>
        <w:pStyle w:val="NoSpacing"/>
      </w:pPr>
      <w:r>
        <w:rPr>
          <w:rFonts w:ascii="DejaVu Sans Mono" w:hAnsi="DejaVu Sans Mono"/>
          <w:sz w:val="14"/>
        </w:rPr>
        <w:t>tools/verify_handover_docs.py</w:t>
      </w:r>
    </w:p>
    <w:p>
      <w:pPr>
        <w:pStyle w:val="Heading1"/>
      </w:pPr>
      <w:r>
        <w:t>5. 前端入口、页面、响应式与 PC 冻结</w:t>
      </w:r>
    </w:p>
    <w:p>
      <w:pPr>
        <w:pStyle w:val="ListBullet"/>
      </w:pPr>
      <w:r>
        <w:t>`frontend/src/main.ts` 按 URL：`/admin*` 挂载 `AdminApp`，其余挂载 `App`。</w:t>
      </w:r>
    </w:p>
    <w:p>
      <w:pPr>
        <w:pStyle w:val="ListBullet"/>
      </w:pPr>
      <w:r>
        <w:t>App 页面：品牌头、型号导航、型号详情、对比、AI助手。Admin 页面：登录态、型号列表/表单、规格、GPU兼容、识别、导入、AI Provider、AI规则。</w:t>
      </w:r>
    </w:p>
    <w:p>
      <w:pPr>
        <w:pStyle w:val="ListBullet"/>
      </w:pPr>
      <w:r>
        <w:t>全局样式：`style.css`、`styles/compare.css`；后台：`admin/admin.css`、`admin/admin-components.css`；移动专项：`styles/mobile-public.css`、`styles/mobile-scroll-admin.css`（公开树实际存在时）。</w:t>
      </w:r>
    </w:p>
    <w:p>
      <w:pPr>
        <w:pStyle w:val="ListBullet"/>
      </w:pPr>
      <w:r>
        <w:t>响应式边界来自 CSS：公开/后台在 1024px 及以下进入移动/平板规则，另有 767/720/640/560/430/420 和低高度横屏规则。</w:t>
      </w:r>
    </w:p>
    <w:p>
      <w:pPr>
        <w:pStyle w:val="ListBullet"/>
      </w:pPr>
      <w:r>
        <w:t>**PC冻结原则**：移动改动只能写在最大宽度媒体查询或移动专用样式内；不得改桌面基础选择器的几何、字号、色彩、层级或交互。提交前用 1366/1440/1920 三档截图与 DOM 几何对比；差异必须归因。</w:t>
      </w:r>
    </w:p>
    <w:p>
      <w:pPr>
        <w:pStyle w:val="Heading2"/>
      </w:pPr>
      <w:r>
        <w:t>5.1 Vue 组件逐项职责 / props / events / state</w:t>
      </w:r>
    </w:p>
    <w:p>
      <w:pPr>
        <w:pStyle w:val="Heading1"/>
      </w:pPr>
      <w:r>
        <w:t>6. 后端模块</w:t>
      </w:r>
    </w:p>
    <w:p>
      <w:pPr>
        <w:pStyle w:val="ListBullet"/>
      </w:pPr>
      <w:r>
        <w:t>`app/main.py`：FastAPI 工厂、CORS、422 输入回显脱敏、路由注册。</w:t>
      </w:r>
    </w:p>
    <w:p>
      <w:pPr>
        <w:pStyle w:val="ListBullet"/>
      </w:pPr>
      <w:r>
        <w:t>`app/routes/public.py`：健康、目录查询、检索、CPU兼容、AI推荐。</w:t>
      </w:r>
    </w:p>
    <w:p>
      <w:pPr>
        <w:pStyle w:val="ListBullet"/>
      </w:pPr>
      <w:r>
        <w:t>`app/routes/admin.py`：登录/会话、管理查询写入、导入、AI配置与规则。</w:t>
      </w:r>
    </w:p>
    <w:p>
      <w:pPr>
        <w:pStyle w:val="ListBullet"/>
      </w:pPr>
      <w:r>
        <w:t>`app/schemas.py`：Pydantic 输入输出、生命周期/业务标签枚举、2000字符上限、显式 null 规则。</w:t>
      </w:r>
    </w:p>
    <w:p>
      <w:pPr>
        <w:pStyle w:val="ListBullet"/>
      </w:pPr>
      <w:r>
        <w:t>`app/catalog.py`：active 查询、目录序列化、字段映射、型号/规格/GPU关系写服务、审计与事务。</w:t>
      </w:r>
    </w:p>
    <w:p>
      <w:pPr>
        <w:pStyle w:val="ListBullet"/>
      </w:pPr>
      <w:r>
        <w:t>`app/security.py`：密码摘要校验、HMAC 会话、Bearer 管理依赖、API Key hash 工具。</w:t>
      </w:r>
    </w:p>
    <w:p>
      <w:pPr>
        <w:pStyle w:val="ListBullet"/>
      </w:pPr>
      <w:r>
        <w:t>`app/importer.py`：Excel模板与预览、Markdown解析、字段字典校验、HTML/CPU批导工具。</w:t>
      </w:r>
    </w:p>
    <w:p>
      <w:pPr>
        <w:pStyle w:val="ListBullet"/>
      </w:pPr>
      <w:r>
        <w:t>`app/ai_service.py`：确定性需求解析、本地证据矩阵、Provider调用、并发/超时、无证据拒答。</w:t>
      </w:r>
    </w:p>
    <w:p>
      <w:pPr>
        <w:pStyle w:val="ListBullet"/>
      </w:pPr>
      <w:r>
        <w:t>`app/ai_agent_rule.py`（存在时）：固定路径 MD 的每次调用前读取、原子替换、固定名备份、补偿恢复、不可覆盖边界。</w:t>
      </w:r>
    </w:p>
    <w:p>
      <w:pPr>
        <w:pStyle w:val="ListBullet"/>
      </w:pPr>
      <w:r>
        <w:t>`app/models.py` / `db.py`：ORM 与会话。</w:t>
      </w:r>
    </w:p>
    <w:p>
      <w:pPr>
        <w:pStyle w:val="Heading1"/>
      </w:pPr>
      <w:r>
        <w:t>7. 数据库实际 ORM 关系</w:t>
      </w:r>
    </w:p>
    <w:p>
      <w:pPr>
        <w:pStyle w:val="NoSpacing"/>
      </w:pPr>
      <w:r>
        <w:rPr>
          <w:rFonts w:ascii="DejaVu Sans Mono" w:hAnsi="DejaVu Sans Mono"/>
          <w:sz w:val="14"/>
        </w:rPr>
        <w:t>erDiagram</w:t>
      </w:r>
    </w:p>
    <w:p>
      <w:pPr>
        <w:pStyle w:val="NoSpacing"/>
      </w:pPr>
      <w:r>
        <w:rPr>
          <w:rFonts w:ascii="DejaVu Sans Mono" w:hAnsi="DejaVu Sans Mono"/>
          <w:sz w:val="14"/>
        </w:rPr>
        <w:t xml:space="preserve">  BRANDS ||--o{ SERIES : brand_id</w:t>
      </w:r>
    </w:p>
    <w:p>
      <w:pPr>
        <w:pStyle w:val="NoSpacing"/>
      </w:pPr>
      <w:r>
        <w:rPr>
          <w:rFonts w:ascii="DejaVu Sans Mono" w:hAnsi="DejaVu Sans Mono"/>
          <w:sz w:val="14"/>
        </w:rPr>
        <w:t xml:space="preserve">  PRODUCT_TYPES ||--o{ SERIES : product_type_id</w:t>
      </w:r>
    </w:p>
    <w:p>
      <w:pPr>
        <w:pStyle w:val="NoSpacing"/>
      </w:pPr>
      <w:r>
        <w:rPr>
          <w:rFonts w:ascii="DejaVu Sans Mono" w:hAnsi="DejaVu Sans Mono"/>
          <w:sz w:val="14"/>
        </w:rPr>
        <w:t xml:space="preserve">  BRANDS ||--o{ MODELS : brand_id</w:t>
      </w:r>
    </w:p>
    <w:p>
      <w:pPr>
        <w:pStyle w:val="NoSpacing"/>
      </w:pPr>
      <w:r>
        <w:rPr>
          <w:rFonts w:ascii="DejaVu Sans Mono" w:hAnsi="DejaVu Sans Mono"/>
          <w:sz w:val="14"/>
        </w:rPr>
        <w:t xml:space="preserve">  PRODUCT_TYPES ||--o{ MODELS : product_type_id</w:t>
      </w:r>
    </w:p>
    <w:p>
      <w:pPr>
        <w:pStyle w:val="NoSpacing"/>
      </w:pPr>
      <w:r>
        <w:rPr>
          <w:rFonts w:ascii="DejaVu Sans Mono" w:hAnsi="DejaVu Sans Mono"/>
          <w:sz w:val="14"/>
        </w:rPr>
        <w:t xml:space="preserve">  SERIES ||--o{ MODELS : series_id</w:t>
      </w:r>
    </w:p>
    <w:p>
      <w:pPr>
        <w:pStyle w:val="NoSpacing"/>
      </w:pPr>
      <w:r>
        <w:rPr>
          <w:rFonts w:ascii="DejaVu Sans Mono" w:hAnsi="DejaVu Sans Mono"/>
          <w:sz w:val="14"/>
        </w:rPr>
        <w:t xml:space="preserve">  MODELS ||--o{ MODEL_SPEC_VALUES : model_id</w:t>
      </w:r>
    </w:p>
    <w:p>
      <w:pPr>
        <w:pStyle w:val="NoSpacing"/>
      </w:pPr>
      <w:r>
        <w:rPr>
          <w:rFonts w:ascii="DejaVu Sans Mono" w:hAnsi="DejaVu Sans Mono"/>
          <w:sz w:val="14"/>
        </w:rPr>
        <w:t xml:space="preserve">  SPEC_GROUPS ||--o{ SPEC_DEFINITIONS : group_id</w:t>
      </w:r>
    </w:p>
    <w:p>
      <w:pPr>
        <w:pStyle w:val="NoSpacing"/>
      </w:pPr>
      <w:r>
        <w:rPr>
          <w:rFonts w:ascii="DejaVu Sans Mono" w:hAnsi="DejaVu Sans Mono"/>
          <w:sz w:val="14"/>
        </w:rPr>
        <w:t xml:space="preserve">  SPEC_DEFINITIONS ||--o{ MODEL_SPEC_VALUES : spec_definition_id</w:t>
      </w:r>
    </w:p>
    <w:p>
      <w:pPr>
        <w:pStyle w:val="NoSpacing"/>
      </w:pPr>
      <w:r>
        <w:rPr>
          <w:rFonts w:ascii="DejaVu Sans Mono" w:hAnsi="DejaVu Sans Mono"/>
          <w:sz w:val="14"/>
        </w:rPr>
        <w:t xml:space="preserve">  MODELS ||--o{ MODEL_COMPATIBLE_GPUS : model_id</w:t>
      </w:r>
    </w:p>
    <w:p>
      <w:pPr>
        <w:pStyle w:val="NoSpacing"/>
      </w:pPr>
      <w:r>
        <w:rPr>
          <w:rFonts w:ascii="DejaVu Sans Mono" w:hAnsi="DejaVu Sans Mono"/>
          <w:sz w:val="14"/>
        </w:rPr>
        <w:t xml:space="preserve">  MODELS ||--o{ MODEL_COMPATIBLE_GPUS : gpu_model_id</w:t>
      </w:r>
    </w:p>
    <w:p>
      <w:pPr>
        <w:pStyle w:val="NoSpacing"/>
      </w:pPr>
      <w:r>
        <w:rPr>
          <w:rFonts w:ascii="DejaVu Sans Mono" w:hAnsi="DejaVu Sans Mono"/>
          <w:sz w:val="14"/>
        </w:rPr>
        <w:t xml:space="preserve">  MODELS ||--o{ MODEL_BUSINESS_TAGS : model_id</w:t>
      </w:r>
    </w:p>
    <w:p>
      <w:pPr>
        <w:pStyle w:val="NoSpacing"/>
      </w:pPr>
      <w:r>
        <w:rPr>
          <w:rFonts w:ascii="DejaVu Sans Mono" w:hAnsi="DejaVu Sans Mono"/>
          <w:sz w:val="14"/>
        </w:rPr>
        <w:t xml:space="preserve">  API_CLIENTS ||--o{ AUDIT_LOGS : api_client_id</w:t>
      </w:r>
    </w:p>
    <w:p>
      <w:r>
        <w:t>ORM 实际业务表：brands、product_types、series、models、model_business_tags、spec_groups、spec_definitions、model_spec_values、model_compatible_gpus、ai_provider_configs、cpu_compatibility、api_clients、audit_logs。物理库另含 Alembic 元数据；私有包 database/schema.sql 是物理表/约束最终证据，若与 ORM 不一致按迁移漂移处理。</w:t>
      </w:r>
    </w:p>
    <w:p>
      <w:pPr>
        <w:pStyle w:val="Heading1"/>
      </w:pPr>
      <w:r>
        <w:t>8. Alembic 0001–0012 迁移链</w:t>
      </w:r>
    </w:p>
    <w:p>
      <w:r>
        <w:t>链：0001_initial_schema → 0002_cpu_compatibility → 0003_gpu_slot_cooling → 0004_ai_config_compatible_gpu → 0005_gpu_rel_cleanup → 0006_gpu_parent_guard_import_trim_whitepaper → 0007_nf5468a7_cross_platform_cleanup → 0008_nf5468a7_cn_cpu_notes_cleanup → 0009_controlled_lifecycle_tags → 0010_field_dictionary_guard → 0011_merge_auto_fields → 0012_normalize_interface_fields。</w:t>
      </w:r>
    </w:p>
    <w:p>
      <w:r>
        <w:t>公开版保留 revision lineage，但生产数据修复迁移被改为 no-op/schema-only；只能从空库部署，绝不能用来升级私有生产库。</w:t>
      </w:r>
    </w:p>
    <w:p>
      <w:pPr>
        <w:pStyle w:val="Heading1"/>
      </w:pPr>
      <w:r>
        <w:t>9. AI 规则 / Provider / Key 边界</w:t>
      </w:r>
    </w:p>
    <w:p>
      <w:pPr>
        <w:pStyle w:val="ListBullet"/>
      </w:pPr>
      <w:r>
        <w:t>固定规则位置由 `AI_SELECTION_AGENT_RULE_PATH` 指向；私有运行包通常挂载 `config/AI_SELECTION_AGENT.md`，实际路径查 Compose/容器 inspect，不在文档复制内容。</w:t>
      </w:r>
    </w:p>
    <w:p>
      <w:pPr>
        <w:pStyle w:val="ListBullet"/>
      </w:pPr>
      <w:r>
        <w:t>每次 Provider 调用前读取规则；后端追加不可覆盖 system 边界。规则只能影响措辞、解释、风险提示，不能改变候选、条件结果、匹配状态、无证据拒答。</w:t>
      </w:r>
    </w:p>
    <w:p>
      <w:pPr>
        <w:pStyle w:val="ListBullet"/>
      </w:pPr>
      <w:r>
        <w:t>Provider 为 OpenAI-compatible `/chat/completions`；Base URL/Model 可在管理接口返回，Key 只返回 `has_api_key`，不得回显。</w:t>
      </w:r>
    </w:p>
    <w:p>
      <w:pPr>
        <w:pStyle w:val="ListBullet"/>
      </w:pPr>
      <w:r>
        <w:t>Key来源优先级和清空语义以 `_effective_ai()` 为准：已有 DB 行权威；空 cipher 表示无 Key，不回退环境。删除 Key 同时禁用 AI 并写审计。</w:t>
      </w:r>
    </w:p>
    <w:p>
      <w:pPr>
        <w:pStyle w:val="ListBullet"/>
      </w:pPr>
      <w:r>
        <w:t>当前 `api_key_cipher` 是基于部署 secret 的 XOR 可逆混淆，不是现代加密/密钥托管；属于高优先级技术债。</w:t>
      </w:r>
    </w:p>
    <w:p>
      <w:pPr>
        <w:pStyle w:val="Heading1"/>
      </w:pPr>
      <w:r>
        <w:t>10. Nginx 边界（公开版）</w:t>
      </w:r>
    </w:p>
    <w:p>
      <w:r>
        <w:t>公开版 Nginx 只含 SPA 和 /api/ 反代，并添加基础安全响应头；不含私有天仓、PDF代理、真实域名、TLS证书挂载或内部地址。若自行接入文档仓，必须单独设计 auth_request 矩阵并做未认证 401/302 验证。</w:t>
      </w:r>
    </w:p>
    <w:p>
      <w:pPr>
        <w:pStyle w:val="Heading1"/>
      </w:pPr>
      <w:r>
        <w:t>11. Docker 服务 / 端口 / 卷 / 网络</w:t>
      </w:r>
    </w:p>
    <w:p>
      <w:r>
        <w:t>未显式声明网络时 Compose 创建项目默认网络；数据库不应映射宿主公网端口。私有包还包含有效 Compose、容器/image/volume/network inspect 和离线镜像。</w:t>
      </w:r>
    </w:p>
    <w:p>
      <w:pPr>
        <w:pStyle w:val="Heading1"/>
      </w:pPr>
      <w:r>
        <w:t>12. API 清单与权限矩阵</w:t>
      </w:r>
    </w:p>
    <w:p>
      <w:r>
        <w:t>权限口径：Public=无管理依赖；Admin Bearer=函数参数 Depends(require_admin_session)；Admin Cookie=仅 Nginx 子请求；测试 probe 不属于生产 API。</w:t>
      </w:r>
    </w:p>
    <w:p>
      <w:r>
        <w:t>注意：security.py::require_api_client() 存在不等于当前路由实际挂载。以路由函数参数为准。</w:t>
      </w:r>
    </w:p>
    <w:p>
      <w:pPr>
        <w:pStyle w:val="Heading1"/>
      </w:pPr>
      <w:r>
        <w:t>13. 测试、构建与数量口径</w:t>
      </w:r>
    </w:p>
    <w:p>
      <w:pPr>
        <w:pStyle w:val="ListBullet"/>
      </w:pPr>
      <w:r>
        <w:t>后端：`cd backend &amp;&amp; python3 -m pytest -q`。</w:t>
      </w:r>
    </w:p>
    <w:p>
      <w:pPr>
        <w:pStyle w:val="ListBullet"/>
      </w:pPr>
      <w:r>
        <w:t>前端：`cd frontend &amp;&amp; npm ci &amp;&amp; npm test &amp;&amp; npm run build`。</w:t>
      </w:r>
    </w:p>
    <w:p>
      <w:pPr>
        <w:pStyle w:val="ListBullet"/>
      </w:pPr>
      <w:r>
        <w:t>类型/构建：`npm run build` 内含 `vue-tsc -b &amp;&amp; vite build`。</w:t>
      </w:r>
    </w:p>
    <w:p>
      <w:pPr>
        <w:pStyle w:val="ListBullet"/>
      </w:pPr>
      <w:r>
        <w:t>Compose：`docker compose config`；Python静态：`python3 -m compileall backend/app backend/alembic`。</w:t>
      </w:r>
    </w:p>
    <w:p>
      <w:pPr>
        <w:pStyle w:val="ListBullet"/>
      </w:pPr>
      <w:r>
        <w:t>路由/组件/迁移/服务数量来自机器清单；测试通过数量必须以本次随包 `verification/` 原始日志为准，不用历史口头数字。</w:t>
      </w:r>
    </w:p>
    <w:p>
      <w:pPr>
        <w:pStyle w:val="Heading1"/>
      </w:pPr>
      <w:r>
        <w:t>14. 开发、部署、升级、备份与回滚</w:t>
      </w:r>
    </w:p>
    <w:p>
      <w:pPr>
        <w:pStyle w:val="Heading2"/>
      </w:pPr>
      <w:r>
        <w:t>本地开发</w:t>
      </w:r>
    </w:p>
    <w:p>
      <w:pPr>
        <w:pStyle w:val="ListNumber"/>
      </w:pPr>
      <w:r>
        <w:t>从 `.env.example` 创建本地 `.env`，生成独立随机 secret。</w:t>
      </w:r>
    </w:p>
    <w:p>
      <w:pPr>
        <w:pStyle w:val="ListNumber"/>
      </w:pPr>
      <w:r>
        <w:t>后端安装 test extra，前端 `npm ci`；先跑测试再改。</w:t>
      </w:r>
    </w:p>
    <w:p>
      <w:pPr>
        <w:pStyle w:val="ListNumber"/>
      </w:pPr>
      <w:r>
        <w:t>只在空测试库跑迁移；私有生产 dump 只在隔离环境恢复。</w:t>
      </w:r>
    </w:p>
    <w:p>
      <w:pPr>
        <w:pStyle w:val="Heading2"/>
      </w:pPr>
      <w:r>
        <w:t>构建部署</w:t>
      </w:r>
    </w:p>
    <w:p>
      <w:pPr>
        <w:pStyle w:val="ListNumber"/>
      </w:pPr>
      <w:r>
        <w:t>备份 DB（custom dump + globals/schema）、规则 MD、配置、证书和上传/材料；生成 SHA。</w:t>
      </w:r>
    </w:p>
    <w:p>
      <w:pPr>
        <w:pStyle w:val="ListNumber"/>
      </w:pPr>
      <w:r>
        <w:t>`docker compose config` 审核最终渲染，不输出 secret。</w:t>
      </w:r>
    </w:p>
    <w:p>
      <w:pPr>
        <w:pStyle w:val="ListNumber"/>
      </w:pPr>
      <w:r>
        <w:t>`docker compose build`；记录 image ID/digest。</w:t>
      </w:r>
    </w:p>
    <w:p>
      <w:pPr>
        <w:pStyle w:val="ListNumber"/>
      </w:pPr>
      <w:r>
        <w:t>`docker compose up -d`；等待 db/api health。</w:t>
      </w:r>
    </w:p>
    <w:p>
      <w:pPr>
        <w:pStyle w:val="ListNumber"/>
      </w:pPr>
      <w:r>
        <w:t>私有迁移执行 `alembic upgrade head`；公开版只允许空库。</w:t>
      </w:r>
    </w:p>
    <w:p>
      <w:pPr>
        <w:pStyle w:val="ListNumber"/>
      </w:pPr>
      <w:r>
        <w:t>验证 health、公开浏览、Admin登录、读写、AI无证据拒答和日志。</w:t>
      </w:r>
    </w:p>
    <w:p>
      <w:pPr>
        <w:pStyle w:val="Heading2"/>
      </w:pPr>
      <w:r>
        <w:t>升级/回滚</w:t>
      </w:r>
    </w:p>
    <w:p>
      <w:pPr>
        <w:pStyle w:val="ListBullet"/>
      </w:pPr>
      <w:r>
        <w:t>升级前记录 Git SHA、工作树 patch、Alembic current/head、容器 inspect 和卷。先在 dump 克隆库演练 0001→0012/当前→head。</w:t>
      </w:r>
    </w:p>
    <w:p>
      <w:pPr>
        <w:pStyle w:val="ListBullet"/>
      </w:pPr>
      <w:r>
        <w:t>应用回滚优先切回旧 image/source + 恢复迁移前 DB dump；不能假定所有 downgrade 可无损。</w:t>
      </w:r>
    </w:p>
    <w:p>
      <w:pPr>
        <w:pStyle w:val="ListBullet"/>
      </w:pPr>
      <w:r>
        <w:t>规则 MD 保存有固定名 `.bak`，但不能替代包级备份。</w:t>
      </w:r>
    </w:p>
    <w:p>
      <w:pPr>
        <w:pStyle w:val="Heading1"/>
      </w:pPr>
      <w:r>
        <w:t>15. 日志与排障</w:t>
      </w:r>
    </w:p>
    <w:p>
      <w:pPr>
        <w:pStyle w:val="Heading1"/>
      </w:pPr>
      <w:r>
        <w:t>16. 已知风险 / 技术债</w:t>
      </w:r>
    </w:p>
    <w:p>
      <w:pPr>
        <w:pStyle w:val="ListNumber"/>
      </w:pPr>
      <w:r>
        <w:t>私有 Nginx 根级 PDF 资源路径未见 `auth_request`，需确认是否确属公开资源，否则统一保护。</w:t>
      </w:r>
    </w:p>
    <w:p>
      <w:pPr>
        <w:pStyle w:val="ListNumber"/>
      </w:pPr>
      <w:r>
        <w:t>管理密码仅 `sha256:` 单次摘要，无盐无工作因子，应迁移到 Argon2id/bcrypt/PBKDF2。</w:t>
      </w:r>
    </w:p>
    <w:p>
      <w:pPr>
        <w:pStyle w:val="ListNumber"/>
      </w:pPr>
      <w:r>
        <w:t>AI Key 的 XOR 是混淆而非加密，应迁入 Vault/KMS/系统密钥环并支持轮换。</w:t>
      </w:r>
    </w:p>
    <w:p>
      <w:pPr>
        <w:pStyle w:val="ListNumber"/>
      </w:pPr>
      <w:r>
        <w:t>登录响应同时返回 Bearer token；浏览器 JS持有 token，XSS 风险高于纯 HttpOnly Cookie。可评估管理 API 统一 Cookie+CSRF。</w:t>
      </w:r>
    </w:p>
    <w:p>
      <w:pPr>
        <w:pStyle w:val="ListNumber"/>
      </w:pPr>
      <w:r>
        <w:t>CORS 私有模板可能宽松；生产必须精确 origin。</w:t>
      </w:r>
    </w:p>
    <w:p>
      <w:pPr>
        <w:pStyle w:val="ListNumber"/>
      </w:pPr>
      <w:r>
        <w:t>导入循环是否整批原子取决于 `upsert_model` 内部 commit；需要持续用事务失败注入测试证明整批回滚。</w:t>
      </w:r>
    </w:p>
    <w:p>
      <w:pPr>
        <w:pStyle w:val="ListNumber"/>
      </w:pPr>
      <w:r>
        <w:t>ORM 与物理 schema/迁移需持续漂移检测；SQLite测试不能证明全部 PostgreSQL trigger/partial index。</w:t>
      </w:r>
    </w:p>
    <w:p>
      <w:pPr>
        <w:pStyle w:val="ListNumber"/>
      </w:pPr>
      <w:r>
        <w:t>大型 `ai_service.py` 规则密集，建议拆分 parser/evidence/ranker/provider 并建立属性测试。</w:t>
      </w:r>
    </w:p>
    <w:p>
      <w:pPr>
        <w:pStyle w:val="ListNumber"/>
      </w:pPr>
      <w:r>
        <w:t>私有树包含历史备份/输入/材料，体积大且敏感；公开树必须继续 allowlist 构建。</w:t>
      </w:r>
    </w:p>
    <w:p>
      <w:pPr>
        <w:pStyle w:val="Heading1"/>
      </w:pPr>
      <w:r>
        <w:t>17. 接手第一天 / 第一周</w:t>
      </w:r>
    </w:p>
    <w:p>
      <w:pPr>
        <w:pStyle w:val="Heading2"/>
      </w:pPr>
      <w:r>
        <w:t>第一天</w:t>
      </w:r>
    </w:p>
    <w:p>
      <w:pPr>
        <w:pStyle w:val="ListBullet"/>
      </w:pPr>
      <w:r>
        <w:t>核验归档 SHA、`SOURCE_INVENTORY.json` 和交接清单。</w:t>
      </w:r>
    </w:p>
    <w:p>
      <w:pPr>
        <w:pStyle w:val="ListBullet"/>
      </w:pPr>
      <w:r>
        <w:t>只读检查 Compose、容器、镜像、卷、网络、Git状态、Alembic current/head。</w:t>
      </w:r>
    </w:p>
    <w:p>
      <w:pPr>
        <w:pStyle w:val="ListBullet"/>
      </w:pPr>
      <w:r>
        <w:t>定位 `.env`/证书/规则 MD/DB dump，但不复制值到文档。</w:t>
      </w:r>
    </w:p>
    <w:p>
      <w:pPr>
        <w:pStyle w:val="ListBullet"/>
      </w:pPr>
      <w:r>
        <w:t>跑后端测试、前端测试/构建、Compose config。</w:t>
      </w:r>
    </w:p>
    <w:p>
      <w:pPr>
        <w:pStyle w:val="ListBullet"/>
      </w:pPr>
      <w:r>
        <w:t>走通公开浏览、Admin登录、一个预览不写流程和 AI 无证据拒答。</w:t>
      </w:r>
    </w:p>
    <w:p>
      <w:pPr>
        <w:pStyle w:val="ListBullet"/>
      </w:pPr>
      <w:r>
        <w:t>做一次隔离恢复并记录时长。</w:t>
      </w:r>
    </w:p>
    <w:p>
      <w:pPr>
        <w:pStyle w:val="Heading2"/>
      </w:pPr>
      <w:r>
        <w:t>第一周</w:t>
      </w:r>
    </w:p>
    <w:p>
      <w:pPr>
        <w:pStyle w:val="ListBullet"/>
      </w:pPr>
      <w:r>
        <w:t>建立 CI：compile/pytest/vitest/vue-tsc/vite build/secret scan/Compose/迁移空库。</w:t>
      </w:r>
    </w:p>
    <w:p>
      <w:pPr>
        <w:pStyle w:val="ListBullet"/>
      </w:pPr>
      <w:r>
        <w:t>建立生产备份、恢复演练、日志保留和告警。</w:t>
      </w:r>
    </w:p>
    <w:p>
      <w:pPr>
        <w:pStyle w:val="ListBullet"/>
      </w:pPr>
      <w:r>
        <w:t>整改密码 hash、AI Key 存储、Nginx PDF公开面和CORS。</w:t>
      </w:r>
    </w:p>
    <w:p>
      <w:pPr>
        <w:pStyle w:val="ListBullet"/>
      </w:pPr>
      <w:r>
        <w:t>为迁移链在真实 PostgreSQL 跑 upgrade/downgrade/restore 门禁。</w:t>
      </w:r>
    </w:p>
    <w:p>
      <w:pPr>
        <w:pStyle w:val="ListBullet"/>
      </w:pPr>
      <w:r>
        <w:t>将 PC冻结和手机/平板视口纳入 Playwright，阻断横向溢出与控制台错误。</w:t>
      </w:r>
    </w:p>
    <w:p>
      <w:pPr>
        <w:pStyle w:val="ListBullet"/>
      </w:pPr>
      <w:r>
        <w:t>书面确认公开版许可证、品牌/数据版权与发布边界。</w:t>
      </w:r>
    </w:p>
    <w:p>
      <w:pPr>
        <w:pStyle w:val="Heading1"/>
      </w:pPr>
      <w:r>
        <w:t>18. 机器核对与覆盖结论</w:t>
      </w:r>
    </w:p>
    <w:p>
      <w:pPr>
        <w:pStyle w:val="ListBullet"/>
      </w:pPr>
      <w:r>
        <w:t>Vue：文档表 `18` / 清单 `18`。</w:t>
      </w:r>
    </w:p>
    <w:p>
      <w:pPr>
        <w:pStyle w:val="ListBullet"/>
      </w:pPr>
      <w:r>
        <w:t>FastAPI：文档表 `42` / 清单 `42`（含测试 probe 时已标 Test only）。</w:t>
      </w:r>
    </w:p>
    <w:p>
      <w:pPr>
        <w:pStyle w:val="ListBullet"/>
      </w:pPr>
      <w:r>
        <w:t>Alembic：文档表 `12` / 清单 `12`，0001–0012 线性链。</w:t>
      </w:r>
    </w:p>
    <w:p>
      <w:pPr>
        <w:pStyle w:val="ListBullet"/>
      </w:pPr>
      <w:r>
        <w:t>Compose：文档表 `3` / 清单 `3`。</w:t>
      </w:r>
    </w:p>
    <w:p>
      <w:pPr>
        <w:pStyle w:val="ListBullet"/>
      </w:pPr>
      <w:r>
        <w:t>自动核对脚本：`tools/tenspur_source_inventory.py` 生成 JSON/MD；`tools/verify_handover_docs.py` 做集合覆盖与脱敏扫描。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SC" w:hAnsi="Noto Sans CJK S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