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Acme Financial Services — Employee Handbook</w:t>
      </w:r>
    </w:p>
    <w:p>
      <w:pPr>
        <w:pStyle w:val="Heading1"/>
      </w:pPr>
      <w:r>
        <w:t>Welcome</w:t>
      </w:r>
    </w:p>
    <w:p>
      <w:r>
        <w:t>This handbook applies to all full-time and part-time employees of Acme Financial Services ("Acme FS" or "the Company"), effective January 1, 2025. It summarizes company-wide policies; department-specific procedures are maintained separately by each department head.</w:t>
      </w:r>
    </w:p>
    <w:p>
      <w:pPr>
        <w:pStyle w:val="Heading1"/>
      </w:pPr>
      <w:r>
        <w:t>Employment Classification</w:t>
      </w:r>
    </w:p>
    <w:p>
      <w:r>
        <w:t>Acme FS classifies employees into three categories:</w:t>
      </w:r>
    </w:p>
    <w:p>
      <w:r>
        <w:t>Full-time: scheduled for 35 or more hours per week. Eligible for the full benefits package after a 90-day probationary period.</w:t>
      </w:r>
    </w:p>
    <w:p>
      <w:r>
        <w:t>Part-time: scheduled for fewer than 35 hours per week. Eligible for prorated benefits after 6 months of continuous service.</w:t>
      </w:r>
    </w:p>
    <w:p>
      <w:r>
        <w:t>Contractor: engaged through a statement of work, not eligible for employee benefits, and not covered by this handbook.</w:t>
      </w:r>
    </w:p>
    <w:p>
      <w:pPr>
        <w:pStyle w:val="Heading1"/>
      </w:pPr>
      <w:r>
        <w:t>Working Hours</w:t>
      </w:r>
    </w:p>
    <w:p>
      <w:r>
        <w:t>Standard core business hours are 9:00 AM to 5:00 PM local time, Monday through Friday, with a one-hour unpaid lunch break. Employees on flexible schedules must be reachable during the core collaboration window of 11:00 AM to 3:00 PM.</w:t>
      </w:r>
    </w:p>
    <w:p>
      <w:pPr>
        <w:pStyle w:val="Heading1"/>
      </w:pPr>
      <w:r>
        <w:t>Probationary Period</w:t>
      </w:r>
    </w:p>
    <w:p>
      <w:r>
        <w:t>New employees serve a 90-day probationary period during which either the employee or Acme FS may end employment with 5 business days' notice. Performance and fit are formally reviewed with the employee's manager at day 30, day 60, and day 90.</w:t>
      </w:r>
    </w:p>
    <w:p>
      <w:pPr>
        <w:pStyle w:val="Heading1"/>
      </w:pPr>
      <w:r>
        <w:t>Compensation and Pay Cycle</w:t>
      </w:r>
    </w:p>
    <w:p>
      <w:r>
        <w:t>Employees are paid on a bi-weekly cycle, with pay dates falling on alternating Fridays. Salaried employees' annual compensation is divided into 26 equal payments. Any pay discrepancy must be reported to Payroll within 10 business days of the affected pay date.</w:t>
      </w:r>
    </w:p>
    <w:p>
      <w:pPr>
        <w:pStyle w:val="Heading1"/>
      </w:pPr>
      <w:r>
        <w:t>Anti-Harassment and Non-Discrimination</w:t>
      </w:r>
    </w:p>
    <w:p>
      <w:r>
        <w:t>Acme FS prohibits discrimination or harassment based on race, color, religion, sex, national origin, age, disability, veteran status, sexual orientation, or gender identity. Employees who experience or witness a violation should report it to their manager, HR Business Partner, or through the confidential Ethics Hotline at 1-800-555-0199, available 24/7.</w:t>
      </w:r>
    </w:p>
    <w:p>
      <w:pPr>
        <w:pStyle w:val="Heading1"/>
      </w:pPr>
      <w:r>
        <w:t>Workplace Conduct</w:t>
      </w:r>
    </w:p>
    <w:p>
      <w:r>
        <w:t>Employees are expected to review and acknowledge the Code of Conduct annually. Violations are handled under Acme FS's progressive discipline process: verbal warning, written warning, final written warning, and termination, though serious violations (fraud, harassment, safety violations) may result in immediate termination without progressing through earlier steps.</w:t>
      </w:r>
    </w:p>
    <w:p>
      <w:pPr>
        <w:pStyle w:val="Heading1"/>
      </w:pPr>
      <w:r>
        <w:t>Employee Resources</w:t>
      </w:r>
    </w:p>
    <w:p>
      <w:r>
        <w:t>HR Business Partners: reachable via the internal HR portal or hr@acmefs.com</w:t>
      </w:r>
    </w:p>
    <w:p>
      <w:r>
        <w:t>IT Helpdesk: extension 4357 (HELP) or helpdesk@acmefs.com</w:t>
      </w:r>
    </w:p>
    <w:p>
      <w:r>
        <w:t>Employee Assistance Program (EAP): confidential counseling available at 1-800-555-0155</w:t>
      </w:r>
    </w:p>
    <w:p>
      <w:pPr>
        <w:pStyle w:val="Heading1"/>
      </w:pPr>
      <w:r>
        <w:t>Handbook Updates</w:t>
      </w:r>
    </w:p>
    <w:p>
      <w:r>
        <w:t>This handbook is reviewed annually by HR and Legal. Material changes are communicated to all employees at least 30 days before taking effect, except where required by law to take effect sooner.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