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BCD276"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Strategic Review of the Executive Summary</w:t>
      </w:r>
    </w:p>
    <w:p w14:paraId="1DE2B8DC"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b/>
          <w:bCs/>
          <w:sz w:val="24"/>
          <w:szCs w:val="24"/>
        </w:rPr>
        <w:t>Focus:</w:t>
      </w:r>
      <w:r w:rsidRPr="00A22363">
        <w:rPr>
          <w:rFonts w:ascii="Times New Roman" w:hAnsi="Times New Roman" w:cs="Times New Roman"/>
          <w:sz w:val="24"/>
          <w:szCs w:val="24"/>
        </w:rPr>
        <w:t xml:space="preserve"> Education &amp; Literacy Pillar and Governance Alignment</w:t>
      </w:r>
      <w:r w:rsidRPr="00A22363">
        <w:rPr>
          <w:rFonts w:ascii="Times New Roman" w:hAnsi="Times New Roman" w:cs="Times New Roman"/>
          <w:sz w:val="24"/>
          <w:szCs w:val="24"/>
        </w:rPr>
        <w:br/>
      </w:r>
      <w:r w:rsidRPr="00A22363">
        <w:rPr>
          <w:rFonts w:ascii="Times New Roman" w:hAnsi="Times New Roman" w:cs="Times New Roman"/>
          <w:b/>
          <w:bCs/>
          <w:sz w:val="24"/>
          <w:szCs w:val="24"/>
        </w:rPr>
        <w:t>Reviewer:</w:t>
      </w:r>
      <w:r w:rsidRPr="00A22363">
        <w:rPr>
          <w:rFonts w:ascii="Times New Roman" w:hAnsi="Times New Roman" w:cs="Times New Roman"/>
          <w:sz w:val="24"/>
          <w:szCs w:val="24"/>
        </w:rPr>
        <w:t xml:space="preserve"> </w:t>
      </w:r>
      <w:proofErr w:type="spellStart"/>
      <w:r w:rsidRPr="00A22363">
        <w:rPr>
          <w:rFonts w:ascii="Times New Roman" w:hAnsi="Times New Roman" w:cs="Times New Roman"/>
          <w:sz w:val="24"/>
          <w:szCs w:val="24"/>
        </w:rPr>
        <w:t>Dr.</w:t>
      </w:r>
      <w:proofErr w:type="spellEnd"/>
      <w:r w:rsidRPr="00A22363">
        <w:rPr>
          <w:rFonts w:ascii="Times New Roman" w:hAnsi="Times New Roman" w:cs="Times New Roman"/>
          <w:sz w:val="24"/>
          <w:szCs w:val="24"/>
        </w:rPr>
        <w:t xml:space="preserve"> </w:t>
      </w:r>
      <w:proofErr w:type="spellStart"/>
      <w:r w:rsidRPr="00A22363">
        <w:rPr>
          <w:rFonts w:ascii="Times New Roman" w:hAnsi="Times New Roman" w:cs="Times New Roman"/>
          <w:sz w:val="24"/>
          <w:szCs w:val="24"/>
        </w:rPr>
        <w:t>Maruvoorarasi</w:t>
      </w:r>
      <w:proofErr w:type="spellEnd"/>
      <w:r w:rsidRPr="00A22363">
        <w:rPr>
          <w:rFonts w:ascii="Times New Roman" w:hAnsi="Times New Roman" w:cs="Times New Roman"/>
          <w:sz w:val="24"/>
          <w:szCs w:val="24"/>
        </w:rPr>
        <w:br/>
      </w:r>
      <w:r w:rsidRPr="00A22363">
        <w:rPr>
          <w:rFonts w:ascii="Times New Roman" w:hAnsi="Times New Roman" w:cs="Times New Roman"/>
          <w:b/>
          <w:bCs/>
          <w:sz w:val="24"/>
          <w:szCs w:val="24"/>
        </w:rPr>
        <w:t>Context:</w:t>
      </w:r>
      <w:r w:rsidRPr="00A22363">
        <w:rPr>
          <w:rFonts w:ascii="Times New Roman" w:hAnsi="Times New Roman" w:cs="Times New Roman"/>
          <w:sz w:val="24"/>
          <w:szCs w:val="24"/>
        </w:rPr>
        <w:t xml:space="preserve"> Global AI Governance, Education, and Protection of Women &amp; Children</w:t>
      </w:r>
    </w:p>
    <w:p w14:paraId="1DDA880C"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pict w14:anchorId="35B192FF">
          <v:rect id="_x0000_i1079" style="width:0;height:1.5pt" o:hralign="center" o:hrstd="t" o:hr="t" fillcolor="#a0a0a0" stroked="f"/>
        </w:pict>
      </w:r>
    </w:p>
    <w:p w14:paraId="63A1E9B5"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1. Overall Assessment</w:t>
      </w:r>
    </w:p>
    <w:p w14:paraId="558FAB2E"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 xml:space="preserve">The Executive Summary presents a timely and well-grounded proposal that correctly frames AI misuse—particularly </w:t>
      </w:r>
      <w:proofErr w:type="spellStart"/>
      <w:r w:rsidRPr="00A22363">
        <w:rPr>
          <w:rFonts w:ascii="Times New Roman" w:hAnsi="Times New Roman" w:cs="Times New Roman"/>
          <w:sz w:val="24"/>
          <w:szCs w:val="24"/>
        </w:rPr>
        <w:t>deepfakes</w:t>
      </w:r>
      <w:proofErr w:type="spellEnd"/>
      <w:r w:rsidRPr="00A22363">
        <w:rPr>
          <w:rFonts w:ascii="Times New Roman" w:hAnsi="Times New Roman" w:cs="Times New Roman"/>
          <w:sz w:val="24"/>
          <w:szCs w:val="24"/>
        </w:rPr>
        <w:t xml:space="preserve">, non-consensual content, and algorithmic harm—as a </w:t>
      </w:r>
      <w:r w:rsidRPr="00A22363">
        <w:rPr>
          <w:rFonts w:ascii="Times New Roman" w:hAnsi="Times New Roman" w:cs="Times New Roman"/>
          <w:b/>
          <w:bCs/>
          <w:sz w:val="24"/>
          <w:szCs w:val="24"/>
        </w:rPr>
        <w:t>human rights, mental health, and governance challenge</w:t>
      </w:r>
      <w:r w:rsidRPr="00A22363">
        <w:rPr>
          <w:rFonts w:ascii="Times New Roman" w:hAnsi="Times New Roman" w:cs="Times New Roman"/>
          <w:sz w:val="24"/>
          <w:szCs w:val="24"/>
        </w:rPr>
        <w:t>. The emphasis on protecting women and children, combined with a multilateral governance architecture anchored in UN-linked bodies, provides strong international legitimacy.</w:t>
      </w:r>
    </w:p>
    <w:p w14:paraId="03A6E92B"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 xml:space="preserve">To enhance multilateral adoption and operational impact, the </w:t>
      </w:r>
      <w:r w:rsidRPr="00A22363">
        <w:rPr>
          <w:rFonts w:ascii="Times New Roman" w:hAnsi="Times New Roman" w:cs="Times New Roman"/>
          <w:b/>
          <w:bCs/>
          <w:sz w:val="24"/>
          <w:szCs w:val="24"/>
        </w:rPr>
        <w:t>Education &amp; Literacy pillar</w:t>
      </w:r>
      <w:r w:rsidRPr="00A22363">
        <w:rPr>
          <w:rFonts w:ascii="Times New Roman" w:hAnsi="Times New Roman" w:cs="Times New Roman"/>
          <w:sz w:val="24"/>
          <w:szCs w:val="24"/>
        </w:rPr>
        <w:t xml:space="preserve"> should be repositioned as </w:t>
      </w:r>
      <w:r w:rsidRPr="00A22363">
        <w:rPr>
          <w:rFonts w:ascii="Times New Roman" w:hAnsi="Times New Roman" w:cs="Times New Roman"/>
          <w:b/>
          <w:bCs/>
          <w:sz w:val="24"/>
          <w:szCs w:val="24"/>
        </w:rPr>
        <w:t>core governance infrastructure</w:t>
      </w:r>
      <w:r w:rsidRPr="00A22363">
        <w:rPr>
          <w:rFonts w:ascii="Times New Roman" w:hAnsi="Times New Roman" w:cs="Times New Roman"/>
          <w:sz w:val="24"/>
          <w:szCs w:val="24"/>
        </w:rPr>
        <w:t>, and its alignment with emerging global AI regulations should be made explicit.</w:t>
      </w:r>
    </w:p>
    <w:p w14:paraId="354BC7DA"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pict w14:anchorId="7861117B">
          <v:rect id="_x0000_i1080" style="width:0;height:1.5pt" o:hralign="center" o:hrstd="t" o:hr="t" fillcolor="#a0a0a0" stroked="f"/>
        </w:pict>
      </w:r>
    </w:p>
    <w:p w14:paraId="373EB6A2"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2. Global AI Regulations: Relevance to Education Systems</w:t>
      </w:r>
    </w:p>
    <w:p w14:paraId="7BF146C8"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 xml:space="preserve">AI governance is now structured across </w:t>
      </w:r>
      <w:r w:rsidRPr="00A22363">
        <w:rPr>
          <w:rFonts w:ascii="Times New Roman" w:hAnsi="Times New Roman" w:cs="Times New Roman"/>
          <w:b/>
          <w:bCs/>
          <w:sz w:val="24"/>
          <w:szCs w:val="24"/>
        </w:rPr>
        <w:t>graduated levels of legal authority</w:t>
      </w:r>
      <w:r w:rsidRPr="00A22363">
        <w:rPr>
          <w:rFonts w:ascii="Times New Roman" w:hAnsi="Times New Roman" w:cs="Times New Roman"/>
          <w:sz w:val="24"/>
          <w:szCs w:val="24"/>
        </w:rPr>
        <w:t>, all of which directly affect education systems:</w:t>
      </w:r>
    </w:p>
    <w:p w14:paraId="72355001" w14:textId="77777777" w:rsidR="00A22363" w:rsidRPr="00A22363" w:rsidRDefault="00A22363" w:rsidP="00A22363">
      <w:pPr>
        <w:numPr>
          <w:ilvl w:val="0"/>
          <w:numId w:val="10"/>
        </w:numPr>
        <w:rPr>
          <w:rFonts w:ascii="Times New Roman" w:hAnsi="Times New Roman" w:cs="Times New Roman"/>
          <w:sz w:val="24"/>
          <w:szCs w:val="24"/>
        </w:rPr>
      </w:pPr>
      <w:r w:rsidRPr="00A22363">
        <w:rPr>
          <w:rFonts w:ascii="Times New Roman" w:hAnsi="Times New Roman" w:cs="Times New Roman"/>
          <w:b/>
          <w:bCs/>
          <w:sz w:val="24"/>
          <w:szCs w:val="24"/>
        </w:rPr>
        <w:t>Binding legal frameworks (Level 1):</w:t>
      </w:r>
      <w:r w:rsidRPr="00A22363">
        <w:rPr>
          <w:rFonts w:ascii="Times New Roman" w:hAnsi="Times New Roman" w:cs="Times New Roman"/>
          <w:sz w:val="24"/>
          <w:szCs w:val="24"/>
        </w:rPr>
        <w:br/>
        <w:t>EU AI Act, Republic of Korea AI Basic Act, U.S. Executive Orders, and China’s Generative AI and Deep Synthesis regulations</w:t>
      </w:r>
      <w:r w:rsidRPr="00A22363">
        <w:rPr>
          <w:rFonts w:ascii="Times New Roman" w:hAnsi="Times New Roman" w:cs="Times New Roman"/>
          <w:sz w:val="24"/>
          <w:szCs w:val="24"/>
        </w:rPr>
        <w:br/>
        <w:t>→ These laws regulate AI systems used in education, assessment, monitoring, and child protection.</w:t>
      </w:r>
    </w:p>
    <w:p w14:paraId="024B1F31" w14:textId="77777777" w:rsidR="00A22363" w:rsidRPr="00A22363" w:rsidRDefault="00A22363" w:rsidP="00A22363">
      <w:pPr>
        <w:numPr>
          <w:ilvl w:val="0"/>
          <w:numId w:val="10"/>
        </w:numPr>
        <w:rPr>
          <w:rFonts w:ascii="Times New Roman" w:hAnsi="Times New Roman" w:cs="Times New Roman"/>
          <w:sz w:val="24"/>
          <w:szCs w:val="24"/>
        </w:rPr>
      </w:pPr>
      <w:r w:rsidRPr="00A22363">
        <w:rPr>
          <w:rFonts w:ascii="Times New Roman" w:hAnsi="Times New Roman" w:cs="Times New Roman"/>
          <w:b/>
          <w:bCs/>
          <w:sz w:val="24"/>
          <w:szCs w:val="24"/>
        </w:rPr>
        <w:t>Foundational governance frameworks (Level 2):</w:t>
      </w:r>
      <w:r w:rsidRPr="00A22363">
        <w:rPr>
          <w:rFonts w:ascii="Times New Roman" w:hAnsi="Times New Roman" w:cs="Times New Roman"/>
          <w:sz w:val="24"/>
          <w:szCs w:val="24"/>
        </w:rPr>
        <w:br/>
        <w:t>Singapore’s Model AI Governance Framework and UK Generative AI safety standards</w:t>
      </w:r>
      <w:r w:rsidRPr="00A22363">
        <w:rPr>
          <w:rFonts w:ascii="Times New Roman" w:hAnsi="Times New Roman" w:cs="Times New Roman"/>
          <w:sz w:val="24"/>
          <w:szCs w:val="24"/>
        </w:rPr>
        <w:br/>
        <w:t>→ These provide operational guidance that educational institutions can adopt in advance of binding enforcement.</w:t>
      </w:r>
    </w:p>
    <w:p w14:paraId="16F852C6" w14:textId="77777777" w:rsidR="00A22363" w:rsidRPr="00A22363" w:rsidRDefault="00A22363" w:rsidP="00A22363">
      <w:pPr>
        <w:numPr>
          <w:ilvl w:val="0"/>
          <w:numId w:val="10"/>
        </w:numPr>
        <w:rPr>
          <w:rFonts w:ascii="Times New Roman" w:hAnsi="Times New Roman" w:cs="Times New Roman"/>
          <w:sz w:val="24"/>
          <w:szCs w:val="24"/>
        </w:rPr>
      </w:pPr>
      <w:r w:rsidRPr="00A22363">
        <w:rPr>
          <w:rFonts w:ascii="Times New Roman" w:hAnsi="Times New Roman" w:cs="Times New Roman"/>
          <w:b/>
          <w:bCs/>
          <w:sz w:val="24"/>
          <w:szCs w:val="24"/>
        </w:rPr>
        <w:t>Soft law and international norms (Levels 3–4):</w:t>
      </w:r>
      <w:r w:rsidRPr="00A22363">
        <w:rPr>
          <w:rFonts w:ascii="Times New Roman" w:hAnsi="Times New Roman" w:cs="Times New Roman"/>
          <w:sz w:val="24"/>
          <w:szCs w:val="24"/>
        </w:rPr>
        <w:br/>
        <w:t>Responsible AI indices, UNESCO Recommendation on the Ethics of AI, and UN Scientific Panel initiatives</w:t>
      </w:r>
      <w:r w:rsidRPr="00A22363">
        <w:rPr>
          <w:rFonts w:ascii="Times New Roman" w:hAnsi="Times New Roman" w:cs="Times New Roman"/>
          <w:sz w:val="24"/>
          <w:szCs w:val="24"/>
        </w:rPr>
        <w:br/>
        <w:t>→ These shape expectations, benchmarking, and Global South alignment.</w:t>
      </w:r>
    </w:p>
    <w:p w14:paraId="4F8C43B5"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b/>
          <w:bCs/>
          <w:sz w:val="24"/>
          <w:szCs w:val="24"/>
        </w:rPr>
        <w:t>Strategic implication:</w:t>
      </w:r>
      <w:r w:rsidRPr="00A22363">
        <w:rPr>
          <w:rFonts w:ascii="Times New Roman" w:hAnsi="Times New Roman" w:cs="Times New Roman"/>
          <w:sz w:val="24"/>
          <w:szCs w:val="24"/>
        </w:rPr>
        <w:br/>
        <w:t xml:space="preserve">Education systems are among the </w:t>
      </w:r>
      <w:r w:rsidRPr="00A22363">
        <w:rPr>
          <w:rFonts w:ascii="Times New Roman" w:hAnsi="Times New Roman" w:cs="Times New Roman"/>
          <w:b/>
          <w:bCs/>
          <w:sz w:val="24"/>
          <w:szCs w:val="24"/>
        </w:rPr>
        <w:t>most exposed sectors under emerging AI regulation</w:t>
      </w:r>
      <w:r w:rsidRPr="00A22363">
        <w:rPr>
          <w:rFonts w:ascii="Times New Roman" w:hAnsi="Times New Roman" w:cs="Times New Roman"/>
          <w:sz w:val="24"/>
          <w:szCs w:val="24"/>
        </w:rPr>
        <w:t>, making AI literacy a governance necessity rather than an optional awareness activity.</w:t>
      </w:r>
    </w:p>
    <w:p w14:paraId="68087F73" w14:textId="77777777" w:rsidR="00A22363" w:rsidRPr="00A22363" w:rsidRDefault="00A22363" w:rsidP="00A22363">
      <w:pPr>
        <w:rPr>
          <w:rFonts w:ascii="Times New Roman" w:hAnsi="Times New Roman" w:cs="Times New Roman"/>
          <w:b/>
          <w:bCs/>
          <w:sz w:val="24"/>
          <w:szCs w:val="24"/>
        </w:rPr>
      </w:pPr>
      <w:bookmarkStart w:id="0" w:name="_GoBack"/>
      <w:bookmarkEnd w:id="0"/>
      <w:r w:rsidRPr="00A22363">
        <w:rPr>
          <w:rFonts w:ascii="Times New Roman" w:hAnsi="Times New Roman" w:cs="Times New Roman"/>
          <w:b/>
          <w:bCs/>
          <w:sz w:val="24"/>
          <w:szCs w:val="24"/>
        </w:rPr>
        <w:t>3. Translating the EU AI Act into Education Use Cases</w:t>
      </w:r>
    </w:p>
    <w:p w14:paraId="290E3E3D"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 xml:space="preserve">The EU AI Act offers a clear model for identifying </w:t>
      </w:r>
      <w:r w:rsidRPr="00A22363">
        <w:rPr>
          <w:rFonts w:ascii="Times New Roman" w:hAnsi="Times New Roman" w:cs="Times New Roman"/>
          <w:b/>
          <w:bCs/>
          <w:sz w:val="24"/>
          <w:szCs w:val="24"/>
        </w:rPr>
        <w:t>high-risk AI systems</w:t>
      </w:r>
      <w:r w:rsidRPr="00A22363">
        <w:rPr>
          <w:rFonts w:ascii="Times New Roman" w:hAnsi="Times New Roman" w:cs="Times New Roman"/>
          <w:sz w:val="24"/>
          <w:szCs w:val="24"/>
        </w:rPr>
        <w:t xml:space="preserve"> relevant to education:</w:t>
      </w:r>
    </w:p>
    <w:p w14:paraId="22766D5F"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lastRenderedPageBreak/>
        <w:t>3.1 Education and Vocational Training</w:t>
      </w:r>
    </w:p>
    <w:p w14:paraId="344EACBB"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High-risk AI includes systems that determine:</w:t>
      </w:r>
    </w:p>
    <w:p w14:paraId="494545E5" w14:textId="77777777" w:rsidR="00A22363" w:rsidRPr="00A22363" w:rsidRDefault="00A22363" w:rsidP="00A22363">
      <w:pPr>
        <w:numPr>
          <w:ilvl w:val="0"/>
          <w:numId w:val="11"/>
        </w:numPr>
        <w:rPr>
          <w:rFonts w:ascii="Times New Roman" w:hAnsi="Times New Roman" w:cs="Times New Roman"/>
          <w:sz w:val="24"/>
          <w:szCs w:val="24"/>
        </w:rPr>
      </w:pPr>
      <w:r w:rsidRPr="00A22363">
        <w:rPr>
          <w:rFonts w:ascii="Times New Roman" w:hAnsi="Times New Roman" w:cs="Times New Roman"/>
          <w:sz w:val="24"/>
          <w:szCs w:val="24"/>
        </w:rPr>
        <w:t>Access, admission, or assignment to institutions</w:t>
      </w:r>
    </w:p>
    <w:p w14:paraId="0197325E" w14:textId="77777777" w:rsidR="00A22363" w:rsidRPr="00A22363" w:rsidRDefault="00A22363" w:rsidP="00A22363">
      <w:pPr>
        <w:numPr>
          <w:ilvl w:val="0"/>
          <w:numId w:val="11"/>
        </w:numPr>
        <w:rPr>
          <w:rFonts w:ascii="Times New Roman" w:hAnsi="Times New Roman" w:cs="Times New Roman"/>
          <w:sz w:val="24"/>
          <w:szCs w:val="24"/>
        </w:rPr>
      </w:pPr>
      <w:r w:rsidRPr="00A22363">
        <w:rPr>
          <w:rFonts w:ascii="Times New Roman" w:hAnsi="Times New Roman" w:cs="Times New Roman"/>
          <w:sz w:val="24"/>
          <w:szCs w:val="24"/>
        </w:rPr>
        <w:t>Evaluation of learning outcomes and student progression</w:t>
      </w:r>
    </w:p>
    <w:p w14:paraId="20740143" w14:textId="77777777" w:rsidR="00A22363" w:rsidRPr="00A22363" w:rsidRDefault="00A22363" w:rsidP="00A22363">
      <w:pPr>
        <w:numPr>
          <w:ilvl w:val="0"/>
          <w:numId w:val="11"/>
        </w:numPr>
        <w:rPr>
          <w:rFonts w:ascii="Times New Roman" w:hAnsi="Times New Roman" w:cs="Times New Roman"/>
          <w:sz w:val="24"/>
          <w:szCs w:val="24"/>
        </w:rPr>
      </w:pPr>
      <w:r w:rsidRPr="00A22363">
        <w:rPr>
          <w:rFonts w:ascii="Times New Roman" w:hAnsi="Times New Roman" w:cs="Times New Roman"/>
          <w:sz w:val="24"/>
          <w:szCs w:val="24"/>
        </w:rPr>
        <w:t>Monitoring of student behaviour during examinations</w:t>
      </w:r>
    </w:p>
    <w:p w14:paraId="1D613B43"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b/>
          <w:bCs/>
          <w:sz w:val="24"/>
          <w:szCs w:val="24"/>
        </w:rPr>
        <w:t>Examples:</w:t>
      </w:r>
      <w:r w:rsidRPr="00A22363">
        <w:rPr>
          <w:rFonts w:ascii="Times New Roman" w:hAnsi="Times New Roman" w:cs="Times New Roman"/>
          <w:sz w:val="24"/>
          <w:szCs w:val="24"/>
        </w:rPr>
        <w:t xml:space="preserve"> Learning Management Systems, AI-assisted assessment tools, AI-based entrance examinations.</w:t>
      </w:r>
      <w:r w:rsidRPr="00A22363">
        <w:rPr>
          <w:rFonts w:ascii="Times New Roman" w:hAnsi="Times New Roman" w:cs="Times New Roman"/>
          <w:sz w:val="24"/>
          <w:szCs w:val="24"/>
        </w:rPr>
        <w:br/>
      </w:r>
      <w:r w:rsidRPr="00A22363">
        <w:rPr>
          <w:rFonts w:ascii="Times New Roman" w:hAnsi="Times New Roman" w:cs="Times New Roman"/>
          <w:b/>
          <w:bCs/>
          <w:sz w:val="24"/>
          <w:szCs w:val="24"/>
        </w:rPr>
        <w:t>Risk:</w:t>
      </w:r>
      <w:r w:rsidRPr="00A22363">
        <w:rPr>
          <w:rFonts w:ascii="Times New Roman" w:hAnsi="Times New Roman" w:cs="Times New Roman"/>
          <w:sz w:val="24"/>
          <w:szCs w:val="24"/>
        </w:rPr>
        <w:t xml:space="preserve"> Bias, exclusion, psychological stress, and opaque decision-making affecting children and vulnerable learners.</w:t>
      </w:r>
    </w:p>
    <w:p w14:paraId="35A03EC7"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3.2 Employment and Workforce Management</w:t>
      </w:r>
    </w:p>
    <w:p w14:paraId="5F952FA8"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AI used for:</w:t>
      </w:r>
    </w:p>
    <w:p w14:paraId="7952384A" w14:textId="77777777" w:rsidR="00A22363" w:rsidRPr="00A22363" w:rsidRDefault="00A22363" w:rsidP="00A22363">
      <w:pPr>
        <w:numPr>
          <w:ilvl w:val="0"/>
          <w:numId w:val="12"/>
        </w:numPr>
        <w:rPr>
          <w:rFonts w:ascii="Times New Roman" w:hAnsi="Times New Roman" w:cs="Times New Roman"/>
          <w:sz w:val="24"/>
          <w:szCs w:val="24"/>
        </w:rPr>
      </w:pPr>
      <w:r w:rsidRPr="00A22363">
        <w:rPr>
          <w:rFonts w:ascii="Times New Roman" w:hAnsi="Times New Roman" w:cs="Times New Roman"/>
          <w:sz w:val="24"/>
          <w:szCs w:val="24"/>
        </w:rPr>
        <w:t>Recruitment, evaluation, and monitoring of teachers and staff</w:t>
      </w:r>
    </w:p>
    <w:p w14:paraId="62465D2D"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b/>
          <w:bCs/>
          <w:sz w:val="24"/>
          <w:szCs w:val="24"/>
        </w:rPr>
        <w:t>Risk:</w:t>
      </w:r>
      <w:r w:rsidRPr="00A22363">
        <w:rPr>
          <w:rFonts w:ascii="Times New Roman" w:hAnsi="Times New Roman" w:cs="Times New Roman"/>
          <w:sz w:val="24"/>
          <w:szCs w:val="24"/>
        </w:rPr>
        <w:t xml:space="preserve"> Algorithmic opacity, gender bias, and threats to professional dignity—particularly impacting women educators.</w:t>
      </w:r>
    </w:p>
    <w:p w14:paraId="5AD22747"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3.3 Access to Essential Services</w:t>
      </w:r>
    </w:p>
    <w:p w14:paraId="4B39B691"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AI influencing:</w:t>
      </w:r>
    </w:p>
    <w:p w14:paraId="001DC879" w14:textId="77777777" w:rsidR="00A22363" w:rsidRPr="00A22363" w:rsidRDefault="00A22363" w:rsidP="00A22363">
      <w:pPr>
        <w:numPr>
          <w:ilvl w:val="0"/>
          <w:numId w:val="13"/>
        </w:numPr>
        <w:rPr>
          <w:rFonts w:ascii="Times New Roman" w:hAnsi="Times New Roman" w:cs="Times New Roman"/>
          <w:sz w:val="24"/>
          <w:szCs w:val="24"/>
        </w:rPr>
      </w:pPr>
      <w:r w:rsidRPr="00A22363">
        <w:rPr>
          <w:rFonts w:ascii="Times New Roman" w:hAnsi="Times New Roman" w:cs="Times New Roman"/>
          <w:sz w:val="24"/>
          <w:szCs w:val="24"/>
        </w:rPr>
        <w:t>Allocation of education budgets, salaries, pensions, and welfare-linked benefits</w:t>
      </w:r>
    </w:p>
    <w:p w14:paraId="11A07DBC"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b/>
          <w:bCs/>
          <w:sz w:val="24"/>
          <w:szCs w:val="24"/>
        </w:rPr>
        <w:t>Risk:</w:t>
      </w:r>
      <w:r w:rsidRPr="00A22363">
        <w:rPr>
          <w:rFonts w:ascii="Times New Roman" w:hAnsi="Times New Roman" w:cs="Times New Roman"/>
          <w:sz w:val="24"/>
          <w:szCs w:val="24"/>
        </w:rPr>
        <w:t xml:space="preserve"> Systemic inequity and long-term socio-economic harm if governance and oversight are weak.</w:t>
      </w:r>
    </w:p>
    <w:p w14:paraId="235CB1F5"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4. AI, Women &amp; Children: Protection and Emerging Harms</w:t>
      </w:r>
    </w:p>
    <w:p w14:paraId="3623D6CD"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AI has demonstrated positive potential in:</w:t>
      </w:r>
    </w:p>
    <w:p w14:paraId="17F4454D" w14:textId="77777777" w:rsidR="00A22363" w:rsidRPr="00A22363" w:rsidRDefault="00A22363" w:rsidP="00A22363">
      <w:pPr>
        <w:numPr>
          <w:ilvl w:val="0"/>
          <w:numId w:val="14"/>
        </w:numPr>
        <w:rPr>
          <w:rFonts w:ascii="Times New Roman" w:hAnsi="Times New Roman" w:cs="Times New Roman"/>
          <w:sz w:val="24"/>
          <w:szCs w:val="24"/>
        </w:rPr>
      </w:pPr>
      <w:r w:rsidRPr="00A22363">
        <w:rPr>
          <w:rFonts w:ascii="Times New Roman" w:hAnsi="Times New Roman" w:cs="Times New Roman"/>
          <w:sz w:val="24"/>
          <w:szCs w:val="24"/>
        </w:rPr>
        <w:t>Early detection of abuse</w:t>
      </w:r>
    </w:p>
    <w:p w14:paraId="111351C0" w14:textId="77777777" w:rsidR="00A22363" w:rsidRPr="00A22363" w:rsidRDefault="00A22363" w:rsidP="00A22363">
      <w:pPr>
        <w:numPr>
          <w:ilvl w:val="0"/>
          <w:numId w:val="14"/>
        </w:numPr>
        <w:rPr>
          <w:rFonts w:ascii="Times New Roman" w:hAnsi="Times New Roman" w:cs="Times New Roman"/>
          <w:sz w:val="24"/>
          <w:szCs w:val="24"/>
        </w:rPr>
      </w:pPr>
      <w:r w:rsidRPr="00A22363">
        <w:rPr>
          <w:rFonts w:ascii="Times New Roman" w:hAnsi="Times New Roman" w:cs="Times New Roman"/>
          <w:sz w:val="24"/>
          <w:szCs w:val="24"/>
        </w:rPr>
        <w:t>Safety alerts and crisis response</w:t>
      </w:r>
    </w:p>
    <w:p w14:paraId="2D33DDC3" w14:textId="77777777" w:rsidR="00A22363" w:rsidRPr="00A22363" w:rsidRDefault="00A22363" w:rsidP="00A22363">
      <w:pPr>
        <w:numPr>
          <w:ilvl w:val="0"/>
          <w:numId w:val="14"/>
        </w:numPr>
        <w:rPr>
          <w:rFonts w:ascii="Times New Roman" w:hAnsi="Times New Roman" w:cs="Times New Roman"/>
          <w:sz w:val="24"/>
          <w:szCs w:val="24"/>
        </w:rPr>
      </w:pPr>
      <w:r w:rsidRPr="00A22363">
        <w:rPr>
          <w:rFonts w:ascii="Times New Roman" w:hAnsi="Times New Roman" w:cs="Times New Roman"/>
          <w:sz w:val="24"/>
          <w:szCs w:val="24"/>
        </w:rPr>
        <w:t>Child protection and welfare platforms</w:t>
      </w:r>
    </w:p>
    <w:p w14:paraId="39CF3F5B"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However, significant risks persist:</w:t>
      </w:r>
    </w:p>
    <w:p w14:paraId="5EBE64C4" w14:textId="77777777" w:rsidR="00A22363" w:rsidRPr="00A22363" w:rsidRDefault="00A22363" w:rsidP="00A22363">
      <w:pPr>
        <w:numPr>
          <w:ilvl w:val="0"/>
          <w:numId w:val="15"/>
        </w:numPr>
        <w:rPr>
          <w:rFonts w:ascii="Times New Roman" w:hAnsi="Times New Roman" w:cs="Times New Roman"/>
          <w:sz w:val="24"/>
          <w:szCs w:val="24"/>
        </w:rPr>
      </w:pPr>
      <w:r w:rsidRPr="00A22363">
        <w:rPr>
          <w:rFonts w:ascii="Times New Roman" w:hAnsi="Times New Roman" w:cs="Times New Roman"/>
          <w:sz w:val="24"/>
          <w:szCs w:val="24"/>
        </w:rPr>
        <w:t>Gender bias embedded in training data</w:t>
      </w:r>
    </w:p>
    <w:p w14:paraId="492CA3D2" w14:textId="77777777" w:rsidR="00A22363" w:rsidRPr="00A22363" w:rsidRDefault="00A22363" w:rsidP="00A22363">
      <w:pPr>
        <w:numPr>
          <w:ilvl w:val="0"/>
          <w:numId w:val="15"/>
        </w:numPr>
        <w:rPr>
          <w:rFonts w:ascii="Times New Roman" w:hAnsi="Times New Roman" w:cs="Times New Roman"/>
          <w:sz w:val="24"/>
          <w:szCs w:val="24"/>
        </w:rPr>
      </w:pPr>
      <w:r w:rsidRPr="00A22363">
        <w:rPr>
          <w:rFonts w:ascii="Times New Roman" w:hAnsi="Times New Roman" w:cs="Times New Roman"/>
          <w:sz w:val="24"/>
          <w:szCs w:val="24"/>
        </w:rPr>
        <w:t>Underrepresentation of women in AI development</w:t>
      </w:r>
    </w:p>
    <w:p w14:paraId="5095895A" w14:textId="77777777" w:rsidR="00A22363" w:rsidRPr="00A22363" w:rsidRDefault="00A22363" w:rsidP="00A22363">
      <w:pPr>
        <w:numPr>
          <w:ilvl w:val="0"/>
          <w:numId w:val="15"/>
        </w:numPr>
        <w:rPr>
          <w:rFonts w:ascii="Times New Roman" w:hAnsi="Times New Roman" w:cs="Times New Roman"/>
          <w:sz w:val="24"/>
          <w:szCs w:val="24"/>
        </w:rPr>
      </w:pPr>
      <w:r w:rsidRPr="00A22363">
        <w:rPr>
          <w:rFonts w:ascii="Times New Roman" w:hAnsi="Times New Roman" w:cs="Times New Roman"/>
          <w:sz w:val="24"/>
          <w:szCs w:val="24"/>
        </w:rPr>
        <w:t>AI-generated Child Sexual Abuse Material (CSAM)</w:t>
      </w:r>
    </w:p>
    <w:p w14:paraId="13C32846" w14:textId="77777777" w:rsidR="00A22363" w:rsidRPr="00A22363" w:rsidRDefault="00A22363" w:rsidP="00A22363">
      <w:pPr>
        <w:numPr>
          <w:ilvl w:val="0"/>
          <w:numId w:val="15"/>
        </w:numPr>
        <w:rPr>
          <w:rFonts w:ascii="Times New Roman" w:hAnsi="Times New Roman" w:cs="Times New Roman"/>
          <w:sz w:val="24"/>
          <w:szCs w:val="24"/>
        </w:rPr>
      </w:pPr>
      <w:r w:rsidRPr="00A22363">
        <w:rPr>
          <w:rFonts w:ascii="Times New Roman" w:hAnsi="Times New Roman" w:cs="Times New Roman"/>
          <w:sz w:val="24"/>
          <w:szCs w:val="24"/>
        </w:rPr>
        <w:t>AI-driven grooming and synthetic sexual exploitation</w:t>
      </w:r>
    </w:p>
    <w:p w14:paraId="40ECD275"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b/>
          <w:bCs/>
          <w:sz w:val="24"/>
          <w:szCs w:val="24"/>
        </w:rPr>
        <w:t>Critical insight:</w:t>
      </w:r>
      <w:r w:rsidRPr="00A22363">
        <w:rPr>
          <w:rFonts w:ascii="Times New Roman" w:hAnsi="Times New Roman" w:cs="Times New Roman"/>
          <w:sz w:val="24"/>
          <w:szCs w:val="24"/>
        </w:rPr>
        <w:br/>
        <w:t>Educational and social platforms are frontline environments where these harms manifest, making schools and learning systems key sites of AI governance.</w:t>
      </w:r>
    </w:p>
    <w:p w14:paraId="75180FBE"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5. Strengthening the Education &amp; Literacy Pillar</w:t>
      </w:r>
    </w:p>
    <w:p w14:paraId="3720ED47"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lastRenderedPageBreak/>
        <w:t>I recommend reframing this pillar as:</w:t>
      </w:r>
    </w:p>
    <w:p w14:paraId="053B7D03"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b/>
          <w:bCs/>
          <w:sz w:val="24"/>
          <w:szCs w:val="24"/>
        </w:rPr>
        <w:t>AI Safety, Rights, and Resilience Literacy</w:t>
      </w:r>
    </w:p>
    <w:p w14:paraId="563782C0"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Key components should include:</w:t>
      </w:r>
    </w:p>
    <w:p w14:paraId="2A9FF577" w14:textId="77777777" w:rsidR="00A22363" w:rsidRPr="00A22363" w:rsidRDefault="00A22363" w:rsidP="00A22363">
      <w:pPr>
        <w:numPr>
          <w:ilvl w:val="0"/>
          <w:numId w:val="16"/>
        </w:numPr>
        <w:rPr>
          <w:rFonts w:ascii="Times New Roman" w:hAnsi="Times New Roman" w:cs="Times New Roman"/>
          <w:sz w:val="24"/>
          <w:szCs w:val="24"/>
        </w:rPr>
      </w:pPr>
      <w:r w:rsidRPr="00A22363">
        <w:rPr>
          <w:rFonts w:ascii="Times New Roman" w:hAnsi="Times New Roman" w:cs="Times New Roman"/>
          <w:sz w:val="24"/>
          <w:szCs w:val="24"/>
        </w:rPr>
        <w:t>Literacy on high-risk AI systems in education</w:t>
      </w:r>
    </w:p>
    <w:p w14:paraId="5598976B" w14:textId="77777777" w:rsidR="00A22363" w:rsidRPr="00A22363" w:rsidRDefault="00A22363" w:rsidP="00A22363">
      <w:pPr>
        <w:numPr>
          <w:ilvl w:val="0"/>
          <w:numId w:val="16"/>
        </w:numPr>
        <w:rPr>
          <w:rFonts w:ascii="Times New Roman" w:hAnsi="Times New Roman" w:cs="Times New Roman"/>
          <w:sz w:val="24"/>
          <w:szCs w:val="24"/>
        </w:rPr>
      </w:pPr>
      <w:r w:rsidRPr="00A22363">
        <w:rPr>
          <w:rFonts w:ascii="Times New Roman" w:hAnsi="Times New Roman" w:cs="Times New Roman"/>
          <w:sz w:val="24"/>
          <w:szCs w:val="24"/>
        </w:rPr>
        <w:t>Consent, data rights, and image protection</w:t>
      </w:r>
    </w:p>
    <w:p w14:paraId="59F5BEC2" w14:textId="77777777" w:rsidR="00A22363" w:rsidRPr="00A22363" w:rsidRDefault="00A22363" w:rsidP="00A22363">
      <w:pPr>
        <w:numPr>
          <w:ilvl w:val="0"/>
          <w:numId w:val="16"/>
        </w:numPr>
        <w:rPr>
          <w:rFonts w:ascii="Times New Roman" w:hAnsi="Times New Roman" w:cs="Times New Roman"/>
          <w:sz w:val="24"/>
          <w:szCs w:val="24"/>
        </w:rPr>
      </w:pPr>
      <w:r w:rsidRPr="00A22363">
        <w:rPr>
          <w:rFonts w:ascii="Times New Roman" w:hAnsi="Times New Roman" w:cs="Times New Roman"/>
          <w:sz w:val="24"/>
          <w:szCs w:val="24"/>
        </w:rPr>
        <w:t>Mental health and psychological resilience</w:t>
      </w:r>
    </w:p>
    <w:p w14:paraId="43A3FEFB" w14:textId="77777777" w:rsidR="00A22363" w:rsidRPr="00A22363" w:rsidRDefault="00A22363" w:rsidP="00A22363">
      <w:pPr>
        <w:numPr>
          <w:ilvl w:val="0"/>
          <w:numId w:val="16"/>
        </w:numPr>
        <w:rPr>
          <w:rFonts w:ascii="Times New Roman" w:hAnsi="Times New Roman" w:cs="Times New Roman"/>
          <w:sz w:val="24"/>
          <w:szCs w:val="24"/>
        </w:rPr>
      </w:pPr>
      <w:r w:rsidRPr="00A22363">
        <w:rPr>
          <w:rFonts w:ascii="Times New Roman" w:hAnsi="Times New Roman" w:cs="Times New Roman"/>
          <w:sz w:val="24"/>
          <w:szCs w:val="24"/>
        </w:rPr>
        <w:t>Capacity-building for educators, policymakers, journalists, and administrators</w:t>
      </w:r>
    </w:p>
    <w:p w14:paraId="0579A93F"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Education should function as:</w:t>
      </w:r>
    </w:p>
    <w:p w14:paraId="275E82FF" w14:textId="77777777" w:rsidR="00A22363" w:rsidRPr="00A22363" w:rsidRDefault="00A22363" w:rsidP="00A22363">
      <w:pPr>
        <w:numPr>
          <w:ilvl w:val="0"/>
          <w:numId w:val="17"/>
        </w:numPr>
        <w:rPr>
          <w:rFonts w:ascii="Times New Roman" w:hAnsi="Times New Roman" w:cs="Times New Roman"/>
          <w:sz w:val="24"/>
          <w:szCs w:val="24"/>
        </w:rPr>
      </w:pPr>
      <w:r w:rsidRPr="00A22363">
        <w:rPr>
          <w:rFonts w:ascii="Times New Roman" w:hAnsi="Times New Roman" w:cs="Times New Roman"/>
          <w:sz w:val="24"/>
          <w:szCs w:val="24"/>
        </w:rPr>
        <w:t xml:space="preserve">A </w:t>
      </w:r>
      <w:r w:rsidRPr="00A22363">
        <w:rPr>
          <w:rFonts w:ascii="Times New Roman" w:hAnsi="Times New Roman" w:cs="Times New Roman"/>
          <w:b/>
          <w:bCs/>
          <w:sz w:val="24"/>
          <w:szCs w:val="24"/>
        </w:rPr>
        <w:t>preventive governance mechanism</w:t>
      </w:r>
    </w:p>
    <w:p w14:paraId="6FD43172" w14:textId="77777777" w:rsidR="00A22363" w:rsidRPr="00A22363" w:rsidRDefault="00A22363" w:rsidP="00A22363">
      <w:pPr>
        <w:numPr>
          <w:ilvl w:val="0"/>
          <w:numId w:val="17"/>
        </w:numPr>
        <w:rPr>
          <w:rFonts w:ascii="Times New Roman" w:hAnsi="Times New Roman" w:cs="Times New Roman"/>
          <w:sz w:val="24"/>
          <w:szCs w:val="24"/>
        </w:rPr>
      </w:pPr>
      <w:r w:rsidRPr="00A22363">
        <w:rPr>
          <w:rFonts w:ascii="Times New Roman" w:hAnsi="Times New Roman" w:cs="Times New Roman"/>
          <w:sz w:val="24"/>
          <w:szCs w:val="24"/>
        </w:rPr>
        <w:t xml:space="preserve">A </w:t>
      </w:r>
      <w:r w:rsidRPr="00A22363">
        <w:rPr>
          <w:rFonts w:ascii="Times New Roman" w:hAnsi="Times New Roman" w:cs="Times New Roman"/>
          <w:b/>
          <w:bCs/>
          <w:sz w:val="24"/>
          <w:szCs w:val="24"/>
        </w:rPr>
        <w:t>compliance-enabling layer</w:t>
      </w:r>
    </w:p>
    <w:p w14:paraId="3A79E730" w14:textId="77777777" w:rsidR="00A22363" w:rsidRPr="00A22363" w:rsidRDefault="00A22363" w:rsidP="00A22363">
      <w:pPr>
        <w:numPr>
          <w:ilvl w:val="0"/>
          <w:numId w:val="17"/>
        </w:numPr>
        <w:rPr>
          <w:rFonts w:ascii="Times New Roman" w:hAnsi="Times New Roman" w:cs="Times New Roman"/>
          <w:sz w:val="24"/>
          <w:szCs w:val="24"/>
        </w:rPr>
      </w:pPr>
      <w:r w:rsidRPr="00A22363">
        <w:rPr>
          <w:rFonts w:ascii="Times New Roman" w:hAnsi="Times New Roman" w:cs="Times New Roman"/>
          <w:sz w:val="24"/>
          <w:szCs w:val="24"/>
        </w:rPr>
        <w:t xml:space="preserve">A </w:t>
      </w:r>
      <w:r w:rsidRPr="00A22363">
        <w:rPr>
          <w:rFonts w:ascii="Times New Roman" w:hAnsi="Times New Roman" w:cs="Times New Roman"/>
          <w:b/>
          <w:bCs/>
          <w:sz w:val="24"/>
          <w:szCs w:val="24"/>
        </w:rPr>
        <w:t>bridge between regulation and implementation</w:t>
      </w:r>
    </w:p>
    <w:p w14:paraId="2C7F5C43"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6. Governance Alignment and the Knowledge Pillar</w:t>
      </w:r>
    </w:p>
    <w:p w14:paraId="2D033535"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To strengthen coherence within the multilateral model:</w:t>
      </w:r>
    </w:p>
    <w:p w14:paraId="6F1CF4F0" w14:textId="77777777" w:rsidR="00A22363" w:rsidRPr="00A22363" w:rsidRDefault="00A22363" w:rsidP="00A22363">
      <w:pPr>
        <w:numPr>
          <w:ilvl w:val="0"/>
          <w:numId w:val="18"/>
        </w:numPr>
        <w:rPr>
          <w:rFonts w:ascii="Times New Roman" w:hAnsi="Times New Roman" w:cs="Times New Roman"/>
          <w:sz w:val="24"/>
          <w:szCs w:val="24"/>
        </w:rPr>
      </w:pPr>
      <w:r w:rsidRPr="00A22363">
        <w:rPr>
          <w:rFonts w:ascii="Times New Roman" w:hAnsi="Times New Roman" w:cs="Times New Roman"/>
          <w:sz w:val="24"/>
          <w:szCs w:val="24"/>
        </w:rPr>
        <w:t xml:space="preserve">The </w:t>
      </w:r>
      <w:r w:rsidRPr="00A22363">
        <w:rPr>
          <w:rFonts w:ascii="Times New Roman" w:hAnsi="Times New Roman" w:cs="Times New Roman"/>
          <w:b/>
          <w:bCs/>
          <w:sz w:val="24"/>
          <w:szCs w:val="24"/>
        </w:rPr>
        <w:t>Knowledge Pillar</w:t>
      </w:r>
      <w:r w:rsidRPr="00A22363">
        <w:rPr>
          <w:rFonts w:ascii="Times New Roman" w:hAnsi="Times New Roman" w:cs="Times New Roman"/>
          <w:sz w:val="24"/>
          <w:szCs w:val="24"/>
        </w:rPr>
        <w:t xml:space="preserve"> should be explicitly defined as the </w:t>
      </w:r>
      <w:r w:rsidRPr="00A22363">
        <w:rPr>
          <w:rFonts w:ascii="Times New Roman" w:hAnsi="Times New Roman" w:cs="Times New Roman"/>
          <w:b/>
          <w:bCs/>
          <w:sz w:val="24"/>
          <w:szCs w:val="24"/>
        </w:rPr>
        <w:t>evidence-to-policy translation mechanism</w:t>
      </w:r>
      <w:r w:rsidRPr="00A22363">
        <w:rPr>
          <w:rFonts w:ascii="Times New Roman" w:hAnsi="Times New Roman" w:cs="Times New Roman"/>
          <w:sz w:val="24"/>
          <w:szCs w:val="24"/>
        </w:rPr>
        <w:t>.</w:t>
      </w:r>
    </w:p>
    <w:p w14:paraId="44ED8E5A" w14:textId="77777777" w:rsidR="00A22363" w:rsidRPr="00A22363" w:rsidRDefault="00A22363" w:rsidP="00A22363">
      <w:pPr>
        <w:numPr>
          <w:ilvl w:val="0"/>
          <w:numId w:val="18"/>
        </w:numPr>
        <w:rPr>
          <w:rFonts w:ascii="Times New Roman" w:hAnsi="Times New Roman" w:cs="Times New Roman"/>
          <w:sz w:val="24"/>
          <w:szCs w:val="24"/>
        </w:rPr>
      </w:pPr>
      <w:r w:rsidRPr="00A22363">
        <w:rPr>
          <w:rFonts w:ascii="Times New Roman" w:hAnsi="Times New Roman" w:cs="Times New Roman"/>
          <w:sz w:val="24"/>
          <w:szCs w:val="24"/>
        </w:rPr>
        <w:t>Its role should include:</w:t>
      </w:r>
    </w:p>
    <w:p w14:paraId="687AF393" w14:textId="77777777" w:rsidR="00A22363" w:rsidRPr="00A22363" w:rsidRDefault="00A22363" w:rsidP="00A22363">
      <w:pPr>
        <w:numPr>
          <w:ilvl w:val="1"/>
          <w:numId w:val="18"/>
        </w:numPr>
        <w:rPr>
          <w:rFonts w:ascii="Times New Roman" w:hAnsi="Times New Roman" w:cs="Times New Roman"/>
          <w:sz w:val="24"/>
          <w:szCs w:val="24"/>
        </w:rPr>
      </w:pPr>
      <w:r w:rsidRPr="00A22363">
        <w:rPr>
          <w:rFonts w:ascii="Times New Roman" w:hAnsi="Times New Roman" w:cs="Times New Roman"/>
          <w:sz w:val="24"/>
          <w:szCs w:val="24"/>
        </w:rPr>
        <w:t>Systematic reviews on AI harms affecting women and children</w:t>
      </w:r>
    </w:p>
    <w:p w14:paraId="4FDF4949" w14:textId="77777777" w:rsidR="00A22363" w:rsidRPr="00A22363" w:rsidRDefault="00A22363" w:rsidP="00A22363">
      <w:pPr>
        <w:numPr>
          <w:ilvl w:val="1"/>
          <w:numId w:val="18"/>
        </w:numPr>
        <w:rPr>
          <w:rFonts w:ascii="Times New Roman" w:hAnsi="Times New Roman" w:cs="Times New Roman"/>
          <w:sz w:val="24"/>
          <w:szCs w:val="24"/>
        </w:rPr>
      </w:pPr>
      <w:r w:rsidRPr="00A22363">
        <w:rPr>
          <w:rFonts w:ascii="Times New Roman" w:hAnsi="Times New Roman" w:cs="Times New Roman"/>
          <w:sz w:val="24"/>
          <w:szCs w:val="24"/>
        </w:rPr>
        <w:t>Policy briefs supporting UN, UNESCO, ITU, and ODET processes</w:t>
      </w:r>
    </w:p>
    <w:p w14:paraId="440B4B2A" w14:textId="77777777" w:rsidR="00A22363" w:rsidRPr="00A22363" w:rsidRDefault="00A22363" w:rsidP="00A22363">
      <w:pPr>
        <w:numPr>
          <w:ilvl w:val="1"/>
          <w:numId w:val="18"/>
        </w:numPr>
        <w:rPr>
          <w:rFonts w:ascii="Times New Roman" w:hAnsi="Times New Roman" w:cs="Times New Roman"/>
          <w:sz w:val="24"/>
          <w:szCs w:val="24"/>
        </w:rPr>
      </w:pPr>
      <w:r w:rsidRPr="00A22363">
        <w:rPr>
          <w:rFonts w:ascii="Times New Roman" w:hAnsi="Times New Roman" w:cs="Times New Roman"/>
          <w:sz w:val="24"/>
          <w:szCs w:val="24"/>
        </w:rPr>
        <w:t>Governance guidance for education systems implementing AI regulations</w:t>
      </w:r>
    </w:p>
    <w:p w14:paraId="004F5557"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 xml:space="preserve">Education &amp; Literacy should be positioned as a </w:t>
      </w:r>
      <w:r w:rsidRPr="00A22363">
        <w:rPr>
          <w:rFonts w:ascii="Times New Roman" w:hAnsi="Times New Roman" w:cs="Times New Roman"/>
          <w:b/>
          <w:bCs/>
          <w:sz w:val="24"/>
          <w:szCs w:val="24"/>
        </w:rPr>
        <w:t>cross-cutting pillar</w:t>
      </w:r>
      <w:r w:rsidRPr="00A22363">
        <w:rPr>
          <w:rFonts w:ascii="Times New Roman" w:hAnsi="Times New Roman" w:cs="Times New Roman"/>
          <w:sz w:val="24"/>
          <w:szCs w:val="24"/>
        </w:rPr>
        <w:t xml:space="preserve"> supporting regulation, enforcement, monitoring, and public trust.</w:t>
      </w:r>
    </w:p>
    <w:p w14:paraId="00881D0C" w14:textId="77777777" w:rsidR="00A22363" w:rsidRPr="00A22363" w:rsidRDefault="00A22363" w:rsidP="00A22363">
      <w:pPr>
        <w:rPr>
          <w:rFonts w:ascii="Times New Roman" w:hAnsi="Times New Roman" w:cs="Times New Roman"/>
          <w:b/>
          <w:bCs/>
          <w:sz w:val="24"/>
          <w:szCs w:val="24"/>
        </w:rPr>
      </w:pPr>
      <w:r w:rsidRPr="00A22363">
        <w:rPr>
          <w:rFonts w:ascii="Times New Roman" w:hAnsi="Times New Roman" w:cs="Times New Roman"/>
          <w:b/>
          <w:bCs/>
          <w:sz w:val="24"/>
          <w:szCs w:val="24"/>
        </w:rPr>
        <w:t>7. Concluding Strategic Note</w:t>
      </w:r>
    </w:p>
    <w:p w14:paraId="00CF0E89"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As AI regulation becomes increasingly enforceable worldwide, education systems will be among the most affected sectors. Embedding AI literacy within governance frameworks is essential to protect women and children, ensure fairness, and sustain public confidence.</w:t>
      </w:r>
    </w:p>
    <w:p w14:paraId="226D4197" w14:textId="77777777" w:rsidR="00A22363" w:rsidRPr="00A22363" w:rsidRDefault="00A22363" w:rsidP="00A22363">
      <w:pPr>
        <w:rPr>
          <w:rFonts w:ascii="Times New Roman" w:hAnsi="Times New Roman" w:cs="Times New Roman"/>
          <w:sz w:val="24"/>
          <w:szCs w:val="24"/>
        </w:rPr>
      </w:pPr>
      <w:r w:rsidRPr="00A22363">
        <w:rPr>
          <w:rFonts w:ascii="Times New Roman" w:hAnsi="Times New Roman" w:cs="Times New Roman"/>
          <w:sz w:val="24"/>
          <w:szCs w:val="24"/>
        </w:rPr>
        <w:t xml:space="preserve">Strengthened in this way, the Education &amp; Literacy pillar becomes </w:t>
      </w:r>
      <w:r w:rsidRPr="00A22363">
        <w:rPr>
          <w:rFonts w:ascii="Times New Roman" w:hAnsi="Times New Roman" w:cs="Times New Roman"/>
          <w:b/>
          <w:bCs/>
          <w:sz w:val="24"/>
          <w:szCs w:val="24"/>
        </w:rPr>
        <w:t>foundational governance infrastructure</w:t>
      </w:r>
      <w:r w:rsidRPr="00A22363">
        <w:rPr>
          <w:rFonts w:ascii="Times New Roman" w:hAnsi="Times New Roman" w:cs="Times New Roman"/>
          <w:sz w:val="24"/>
          <w:szCs w:val="24"/>
        </w:rPr>
        <w:t>, not a supplementary initiative.</w:t>
      </w:r>
    </w:p>
    <w:p w14:paraId="5AA3F8FD" w14:textId="356B2493" w:rsidR="00D754C3" w:rsidRPr="00A22363" w:rsidRDefault="00D754C3" w:rsidP="00A22363">
      <w:pPr>
        <w:rPr>
          <w:rFonts w:ascii="Times New Roman" w:hAnsi="Times New Roman" w:cs="Times New Roman"/>
          <w:sz w:val="24"/>
          <w:szCs w:val="24"/>
        </w:rPr>
      </w:pPr>
    </w:p>
    <w:sectPr w:rsidR="00D754C3" w:rsidRPr="00A2236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C791CA" w14:textId="77777777" w:rsidR="00A22363" w:rsidRDefault="00A22363" w:rsidP="00A22363">
      <w:pPr>
        <w:spacing w:after="0" w:line="240" w:lineRule="auto"/>
      </w:pPr>
      <w:r>
        <w:separator/>
      </w:r>
    </w:p>
  </w:endnote>
  <w:endnote w:type="continuationSeparator" w:id="0">
    <w:p w14:paraId="74841736" w14:textId="77777777" w:rsidR="00A22363" w:rsidRDefault="00A22363" w:rsidP="00A22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3530637"/>
      <w:docPartObj>
        <w:docPartGallery w:val="Page Numbers (Bottom of Page)"/>
        <w:docPartUnique/>
      </w:docPartObj>
    </w:sdtPr>
    <w:sdtEndPr>
      <w:rPr>
        <w:noProof/>
      </w:rPr>
    </w:sdtEndPr>
    <w:sdtContent>
      <w:p w14:paraId="078E26C6" w14:textId="7FA6508B" w:rsidR="00A22363" w:rsidRDefault="00A223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A05191" w14:textId="77777777" w:rsidR="00A22363" w:rsidRDefault="00A22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45B87C" w14:textId="77777777" w:rsidR="00A22363" w:rsidRDefault="00A22363" w:rsidP="00A22363">
      <w:pPr>
        <w:spacing w:after="0" w:line="240" w:lineRule="auto"/>
      </w:pPr>
      <w:r>
        <w:separator/>
      </w:r>
    </w:p>
  </w:footnote>
  <w:footnote w:type="continuationSeparator" w:id="0">
    <w:p w14:paraId="355BBC78" w14:textId="77777777" w:rsidR="00A22363" w:rsidRDefault="00A22363" w:rsidP="00A22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5745989"/>
      <w:docPartObj>
        <w:docPartGallery w:val="Page Numbers (Top of Page)"/>
        <w:docPartUnique/>
      </w:docPartObj>
    </w:sdtPr>
    <w:sdtEndPr>
      <w:rPr>
        <w:noProof/>
      </w:rPr>
    </w:sdtEndPr>
    <w:sdtContent>
      <w:p w14:paraId="21E731CE" w14:textId="512850C1" w:rsidR="00A22363" w:rsidRDefault="00A2236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203E051" w14:textId="77777777" w:rsidR="00A22363" w:rsidRDefault="00A22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71869"/>
    <w:multiLevelType w:val="multilevel"/>
    <w:tmpl w:val="4CC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27875"/>
    <w:multiLevelType w:val="multilevel"/>
    <w:tmpl w:val="E53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C1A19"/>
    <w:multiLevelType w:val="multilevel"/>
    <w:tmpl w:val="E4E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366B8"/>
    <w:multiLevelType w:val="multilevel"/>
    <w:tmpl w:val="FFEE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37336"/>
    <w:multiLevelType w:val="multilevel"/>
    <w:tmpl w:val="749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2094F"/>
    <w:multiLevelType w:val="multilevel"/>
    <w:tmpl w:val="BBA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447AB"/>
    <w:multiLevelType w:val="multilevel"/>
    <w:tmpl w:val="472A8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7470B"/>
    <w:multiLevelType w:val="multilevel"/>
    <w:tmpl w:val="4AC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C1020"/>
    <w:multiLevelType w:val="multilevel"/>
    <w:tmpl w:val="9E2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84134"/>
    <w:multiLevelType w:val="multilevel"/>
    <w:tmpl w:val="3F868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94861"/>
    <w:multiLevelType w:val="multilevel"/>
    <w:tmpl w:val="CCD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B2AA8"/>
    <w:multiLevelType w:val="multilevel"/>
    <w:tmpl w:val="6DE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C2909"/>
    <w:multiLevelType w:val="multilevel"/>
    <w:tmpl w:val="D1D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96D22"/>
    <w:multiLevelType w:val="multilevel"/>
    <w:tmpl w:val="0578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A200C"/>
    <w:multiLevelType w:val="multilevel"/>
    <w:tmpl w:val="61E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A1E9D"/>
    <w:multiLevelType w:val="multilevel"/>
    <w:tmpl w:val="3FE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A7E18"/>
    <w:multiLevelType w:val="multilevel"/>
    <w:tmpl w:val="661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9335D"/>
    <w:multiLevelType w:val="multilevel"/>
    <w:tmpl w:val="63A2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10"/>
  </w:num>
  <w:num w:numId="4">
    <w:abstractNumId w:val="3"/>
  </w:num>
  <w:num w:numId="5">
    <w:abstractNumId w:val="12"/>
  </w:num>
  <w:num w:numId="6">
    <w:abstractNumId w:val="1"/>
  </w:num>
  <w:num w:numId="7">
    <w:abstractNumId w:val="11"/>
  </w:num>
  <w:num w:numId="8">
    <w:abstractNumId w:val="0"/>
  </w:num>
  <w:num w:numId="9">
    <w:abstractNumId w:val="6"/>
  </w:num>
  <w:num w:numId="10">
    <w:abstractNumId w:val="2"/>
  </w:num>
  <w:num w:numId="11">
    <w:abstractNumId w:val="14"/>
  </w:num>
  <w:num w:numId="12">
    <w:abstractNumId w:val="16"/>
  </w:num>
  <w:num w:numId="13">
    <w:abstractNumId w:val="17"/>
  </w:num>
  <w:num w:numId="14">
    <w:abstractNumId w:val="8"/>
  </w:num>
  <w:num w:numId="15">
    <w:abstractNumId w:val="7"/>
  </w:num>
  <w:num w:numId="16">
    <w:abstractNumId w:val="15"/>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63"/>
    <w:rsid w:val="00A22363"/>
    <w:rsid w:val="00AD5D3B"/>
    <w:rsid w:val="00D75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1F2E"/>
  <w15:chartTrackingRefBased/>
  <w15:docId w15:val="{97EBC960-264E-425C-AA6F-11924E67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23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363"/>
  </w:style>
  <w:style w:type="paragraph" w:styleId="Footer">
    <w:name w:val="footer"/>
    <w:basedOn w:val="Normal"/>
    <w:link w:val="FooterChar"/>
    <w:uiPriority w:val="99"/>
    <w:unhideWhenUsed/>
    <w:rsid w:val="00A22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559674">
      <w:bodyDiv w:val="1"/>
      <w:marLeft w:val="0"/>
      <w:marRight w:val="0"/>
      <w:marTop w:val="0"/>
      <w:marBottom w:val="0"/>
      <w:divBdr>
        <w:top w:val="none" w:sz="0" w:space="0" w:color="auto"/>
        <w:left w:val="none" w:sz="0" w:space="0" w:color="auto"/>
        <w:bottom w:val="none" w:sz="0" w:space="0" w:color="auto"/>
        <w:right w:val="none" w:sz="0" w:space="0" w:color="auto"/>
      </w:divBdr>
      <w:divsChild>
        <w:div w:id="1977374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224887">
      <w:bodyDiv w:val="1"/>
      <w:marLeft w:val="0"/>
      <w:marRight w:val="0"/>
      <w:marTop w:val="0"/>
      <w:marBottom w:val="0"/>
      <w:divBdr>
        <w:top w:val="none" w:sz="0" w:space="0" w:color="auto"/>
        <w:left w:val="none" w:sz="0" w:space="0" w:color="auto"/>
        <w:bottom w:val="none" w:sz="0" w:space="0" w:color="auto"/>
        <w:right w:val="none" w:sz="0" w:space="0" w:color="auto"/>
      </w:divBdr>
      <w:divsChild>
        <w:div w:id="1643805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2026-01-31T03:57:00Z</dcterms:created>
  <dcterms:modified xsi:type="dcterms:W3CDTF">2026-01-31T04:02:00Z</dcterms:modified>
</cp:coreProperties>
</file>