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Министерство образования и науки Российской Федерации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Федеральное государственное бюджетное образовательное учреждение профессионального образования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Владимирский государственный университет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имени А.Г. и Н.Г. Столетовых (ВлГУ)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Колледж инновационных технологий и предпринимательства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76"/>
        <w:ind w:right="0" w:left="0" w:firstLine="851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851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851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851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851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851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ПРАКТИЧЕСКАЯ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Тема: ЗАДАЧИ И РЕСУРСЫ В MS Project</w:t>
      </w:r>
    </w:p>
    <w:p>
      <w:pPr>
        <w:spacing w:before="0" w:after="160" w:line="276"/>
        <w:ind w:right="0" w:left="0" w:firstLine="851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дисциплине</w:t>
      </w:r>
    </w:p>
    <w:p>
      <w:pPr>
        <w:spacing w:before="0" w:after="160" w:line="276"/>
        <w:ind w:right="0" w:left="0" w:firstLine="851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УПРАВЛЕНИЕ ПРОЕКТАМИ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76"/>
        <w:ind w:right="0" w:left="0" w:firstLine="851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851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851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851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Выполнил:</w:t>
      </w:r>
    </w:p>
    <w:p>
      <w:pPr>
        <w:spacing w:before="0" w:after="160" w:line="276"/>
        <w:ind w:right="0" w:left="0" w:firstLine="851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Ст.гр.Иссп-117</w:t>
        <w:br/>
        <w:t xml:space="preserve">Овчинников Е.А.</w:t>
      </w:r>
    </w:p>
    <w:p>
      <w:pPr>
        <w:spacing w:before="0" w:after="160" w:line="276"/>
        <w:ind w:right="0" w:left="0" w:firstLine="851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Принял:</w:t>
      </w:r>
    </w:p>
    <w:p>
      <w:pPr>
        <w:spacing w:before="0" w:after="160" w:line="276"/>
        <w:ind w:right="0" w:left="0" w:firstLine="851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Глушнева Д.Д.</w:t>
      </w:r>
    </w:p>
    <w:p>
      <w:pPr>
        <w:spacing w:before="0" w:after="160" w:line="276"/>
        <w:ind w:right="0" w:left="0" w:firstLine="851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851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851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0" w:firstLine="851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76"/>
        <w:ind w:right="0" w:left="2689" w:firstLine="85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Владимир, 2019 г.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Цель: изучить принципы анализа и оптимизации плана проекта в MS Project.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Ход работы: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Добавили таблицу с фиксированными затратами(рис.1)</w:t>
      </w: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auto" w:val="clear"/>
        </w:rPr>
        <w:br/>
      </w:r>
      <w:r>
        <w:object w:dxaOrig="7264" w:dyaOrig="5793">
          <v:rect xmlns:o="urn:schemas-microsoft-com:office:office" xmlns:v="urn:schemas-microsoft-com:vml" id="rectole0000000000" style="width:363.200000pt;height:289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Таблица фиксированными затратами(рис.1)</w:t>
      </w: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auto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Лист ресурсов(рис.2)</w:t>
      </w:r>
      <w:r>
        <w:rPr>
          <w:rFonts w:ascii="Calibri" w:hAnsi="Calibri" w:cs="Calibri" w:eastAsia="Calibri"/>
          <w:color w:val="000000"/>
          <w:spacing w:val="0"/>
          <w:position w:val="0"/>
          <w:sz w:val="27"/>
          <w:shd w:fill="auto" w:val="clear"/>
        </w:rPr>
        <w:br/>
      </w:r>
      <w:r>
        <w:object w:dxaOrig="7566" w:dyaOrig="2981">
          <v:rect xmlns:o="urn:schemas-microsoft-com:office:office" xmlns:v="urn:schemas-microsoft-com:vml" id="rectole0000000001" style="width:378.300000pt;height:149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ab/>
        <w:tab/>
        <w:tab/>
        <w:tab/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Лист ресурсов(рис.2)</w:t>
      </w: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Создали конфликт ресурсов(рис.3)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7819" w:dyaOrig="5082">
          <v:rect xmlns:o="urn:schemas-microsoft-com:office:office" xmlns:v="urn:schemas-microsoft-com:vml" id="rectole0000000002" style="width:390.950000pt;height:254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Конфликт ресурсов(рис.3)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  <w:br/>
      </w:r>
    </w:p>
    <w:p>
      <w:pPr>
        <w:tabs>
          <w:tab w:val="left" w:pos="1849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Исправление конфликта(рис.4)</w:t>
        <w:br/>
      </w:r>
      <w:r>
        <w:object w:dxaOrig="7616" w:dyaOrig="4394">
          <v:rect xmlns:o="urn:schemas-microsoft-com:office:office" xmlns:v="urn:schemas-microsoft-com:vml" id="rectole0000000003" style="width:380.800000pt;height:219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1849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Исправленные конфликты(рис.4)</w:t>
        <w:br/>
      </w:r>
    </w:p>
    <w:p>
      <w:pPr>
        <w:tabs>
          <w:tab w:val="left" w:pos="1849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Выделение цветом подзадачи для печати(рис.5)</w:t>
        <w:br/>
      </w:r>
      <w:r>
        <w:object w:dxaOrig="7684" w:dyaOrig="4306">
          <v:rect xmlns:o="urn:schemas-microsoft-com:office:office" xmlns:v="urn:schemas-microsoft-com:vml" id="rectole0000000004" style="width:384.200000pt;height:215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ab/>
        <w:tab/>
        <w:t xml:space="preserve">Подзадачи выделенные цветом(рис.5)</w:t>
      </w:r>
    </w:p>
    <w:p>
      <w:pPr>
        <w:tabs>
          <w:tab w:val="left" w:pos="1849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1849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Вывод: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 изучил принципы анализа и оптимизации плана проекта в MS Project.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