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252"/>
          <w:tab w:val="right" w:leader="none" w:pos="8504"/>
          <w:tab w:val="left" w:leader="none" w:pos="5424"/>
        </w:tabs>
        <w:rPr/>
      </w:pPr>
      <w:r w:rsidDel="00000000" w:rsidR="00000000" w:rsidRPr="00000000">
        <w:rPr/>
        <w:drawing>
          <wp:inline distB="0" distT="0" distL="0" distR="0">
            <wp:extent cx="2491740" cy="58674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38329" l="0" r="0" t="3804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58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right="-568" w:firstLine="720"/>
        <w:rPr>
          <w:rFonts w:ascii="Arial Narrow" w:cs="Arial Narrow" w:eastAsia="Arial Narrow" w:hAnsi="Arial Narrow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right="-568" w:firstLine="720"/>
        <w:rPr>
          <w:rFonts w:ascii="Arial Narrow" w:cs="Arial Narrow" w:eastAsia="Arial Narrow" w:hAnsi="Arial Narrow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right="-568" w:firstLine="720"/>
        <w:rPr>
          <w:rFonts w:ascii="Arial Narrow" w:cs="Arial Narrow" w:eastAsia="Arial Narrow" w:hAnsi="Arial Narrow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right="-568" w:firstLine="720"/>
        <w:rPr>
          <w:rFonts w:ascii="Arial Narrow" w:cs="Arial Narrow" w:eastAsia="Arial Narrow" w:hAnsi="Arial Narrow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56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right="-56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w:pict>
          <v:shape id="_x0000_i1026" style="width:69pt;height:69pt" type="#_x0000_t75">
            <v:imagedata r:href="rId2" r:id="rId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PLANO DE ACESSIBILIDADES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{{request_type}}</w:t>
      </w:r>
    </w:p>
    <w:p w:rsidR="00000000" w:rsidDel="00000000" w:rsidP="00000000" w:rsidRDefault="00000000" w:rsidRPr="00000000" w14:paraId="0000000F">
      <w:pPr>
        <w:spacing w:after="120" w:lineRule="auto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(com base n.º 2 do Artigo 14.º do RJUE, na sua atual redação)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360" w:lineRule="auto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DE OBRAS DE CONSTRUÇÃO DE {{construction_type}}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{{construction_address}}</w:t>
      </w:r>
    </w:p>
    <w:p w:rsidR="00000000" w:rsidDel="00000000" w:rsidP="00000000" w:rsidRDefault="00000000" w:rsidRPr="00000000" w14:paraId="00000013">
      <w:pPr>
        <w:spacing w:line="360" w:lineRule="auto"/>
        <w:ind w:right="-56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right="-568"/>
        <w:jc w:val="center"/>
        <w:rPr>
          <w:rFonts w:ascii="Arial Black" w:cs="Arial Black" w:eastAsia="Arial Black" w:hAnsi="Arial Black"/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REQUERENTE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{{requester_name}}</w:t>
      </w:r>
    </w:p>
    <w:p w:rsidR="00000000" w:rsidDel="00000000" w:rsidP="00000000" w:rsidRDefault="00000000" w:rsidRPr="00000000" w14:paraId="0000001C">
      <w:pPr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NIF. {{requester_nif}}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AUTOR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{{author_name}}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OASRS. {{author_registration}}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{{date}}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ÌNDICE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120" w:lineRule="auto"/>
        <w:ind w:left="1440" w:hanging="360"/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Peças Escritas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Memória Descritiva e Justificativa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20" w:line="360" w:lineRule="auto"/>
        <w:ind w:left="1440" w:hanging="360"/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Peças Desenhadas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Desenho n.º “</w:t>
      </w:r>
      <w:r w:rsidDel="00000000" w:rsidR="00000000" w:rsidRPr="00000000">
        <w:rPr>
          <w:rFonts w:ascii="Century Gothic" w:cs="Century Gothic" w:eastAsia="Century Gothic" w:hAnsi="Century Gothic"/>
          <w:color w:val="404040"/>
          <w:sz w:val="22"/>
          <w:szCs w:val="22"/>
          <w:rtl w:val="0"/>
        </w:rPr>
        <w:t xml:space="preserve">P.A.01”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– Plano de Acessibilidades, escala 1/100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MEMÓRIA DESCRITIVA E JUSTIFICATIVA</w:t>
      </w:r>
    </w:p>
    <w:p w:rsidR="00000000" w:rsidDel="00000000" w:rsidP="00000000" w:rsidRDefault="00000000" w:rsidRPr="00000000" w14:paraId="00000059">
      <w:pPr>
        <w:jc w:val="center"/>
        <w:rPr>
          <w:rFonts w:ascii="Century Gothic" w:cs="Century Gothic" w:eastAsia="Century Gothic" w:hAnsi="Century Gothic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Century Gothic" w:cs="Century Gothic" w:eastAsia="Century Gothic" w:hAnsi="Century Gothic"/>
          <w:b w:val="1"/>
          <w:color w:val="40404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04040"/>
          <w:sz w:val="24"/>
          <w:szCs w:val="24"/>
          <w:rtl w:val="0"/>
        </w:rPr>
        <w:t xml:space="preserve">Plano de Acessibilidades</w:t>
      </w:r>
    </w:p>
    <w:p w:rsidR="00000000" w:rsidDel="00000000" w:rsidP="00000000" w:rsidRDefault="00000000" w:rsidRPr="00000000" w14:paraId="0000005B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INTRODUÇÃO</w:t>
      </w:r>
    </w:p>
    <w:p w:rsidR="00000000" w:rsidDel="00000000" w:rsidP="00000000" w:rsidRDefault="00000000" w:rsidRPr="00000000" w14:paraId="0000005E">
      <w:pPr>
        <w:spacing w:after="12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A presente memória refere-se à descrição das soluções de detalhe métrico, técnico e construtivo, demonstrando o cumprimento das disposições aplicáveis no caso concreto, definidas no </w:t>
      </w:r>
      <w:hyperlink r:id="rId12">
        <w:r w:rsidDel="00000000" w:rsidR="00000000" w:rsidRPr="00000000">
          <w:rPr>
            <w:rFonts w:ascii="Century Gothic" w:cs="Century Gothic" w:eastAsia="Century Gothic" w:hAnsi="Century Gothic"/>
            <w:sz w:val="22"/>
            <w:szCs w:val="22"/>
            <w:rtl w:val="0"/>
          </w:rPr>
          <w:t xml:space="preserve">Decreto-Lei n.º 163/2006 de 8 de agosto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, na sua redação atual, onde é regulado o espaço construído no sentido de o tornar acessível a todos, nomeadamente a pessoas com mobilidade condicionada. Trata-se da definição dos procedimentos construtivos para dar resposta ao regime das acessibilidades.</w:t>
      </w:r>
    </w:p>
    <w:p w:rsidR="00000000" w:rsidDel="00000000" w:rsidP="00000000" w:rsidRDefault="00000000" w:rsidRPr="00000000" w14:paraId="0000005F">
      <w:pPr>
        <w:spacing w:after="12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Procura-se explicitar as opções tomadas em função do compromisso entre o desenho e o cumprimento das normas descritas em anexo do referido Decreto-Lei. As soluções abordam o espaço público adjacente, nomeadamente a via pública adjacente, os percursos desde este arruamento público até à entrada principal da moradia, assim como o percurso desde o estacionamento até ao pavimento da entrada principal.</w:t>
      </w:r>
    </w:p>
    <w:p w:rsidR="00000000" w:rsidDel="00000000" w:rsidP="00000000" w:rsidRDefault="00000000" w:rsidRPr="00000000" w14:paraId="00000060">
      <w:pPr>
        <w:spacing w:after="12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Foi estudado o espaço interior, no sentido de dar resposta às exigências da legislação sobre as acessibilidades.</w:t>
      </w:r>
    </w:p>
    <w:p w:rsidR="00000000" w:rsidDel="00000000" w:rsidP="00000000" w:rsidRDefault="00000000" w:rsidRPr="00000000" w14:paraId="00000061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after="120"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 presente projeto de uma habitação ({{construction_type2}} {{construction_type3}}), procurou a conformidade com o disposto no Decreto-Lei n.º 163/2006, de 8 de agosto, na sua redação atual, nomeadamente no que consta na Secção 3.3 (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2"/>
          <w:szCs w:val="22"/>
          <w:rtl w:val="0"/>
        </w:rPr>
        <w:t xml:space="preserve">Edifícios de Habitação – habitações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) do Capítulo 3.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hd w:fill="ffffff" w:val="clear"/>
        <w:spacing w:before="280" w:line="276" w:lineRule="auto"/>
        <w:ind w:left="720" w:hanging="360"/>
        <w:jc w:val="both"/>
        <w:rPr>
          <w:rFonts w:ascii="Century Gothic" w:cs="Century Gothic" w:eastAsia="Century Gothic" w:hAnsi="Century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ESPAÇO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Na área de intervenção, o espaço público deverá cumprir os requisitos da acessibilidade definidos no Capítulo I, secção 1.1 das “Normas técnicas para melhoria da acessibilidade das pessoas com mobilidade condicionada” do referido Decreto-Lei, nomeadamente quanto à continuidade, à ligação ao lote construído e à largura mínima livre medida ao nível do pavimento, definida na secção 4.3.</w:t>
      </w:r>
    </w:p>
    <w:p w:rsidR="00000000" w:rsidDel="00000000" w:rsidP="00000000" w:rsidRDefault="00000000" w:rsidRPr="00000000" w14:paraId="00000065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Não se prevê elementos que obstruam uma altura mínima livre de 2,40m, tal o especificado no ponto 4.5.1, assim como objetos salientes colocados nos muros que ponham em causa a largura e a altura mínimas livres. Não se verifica a aplicação do especificado na secção 4.6 por não se prever objetos salientes.</w:t>
      </w:r>
    </w:p>
    <w:p w:rsidR="00000000" w:rsidDel="00000000" w:rsidP="00000000" w:rsidRDefault="00000000" w:rsidRPr="00000000" w14:paraId="00000066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Em relação aos revestimentos dos pisos, este deverá ser estável, durável, firme e contínuo (juntas das peças não deverão ter profundidades ou ressaltos superiores a 0,005m), conforme exigido na secção 4.7. O pavimento deverá permitir ainda uma rápida drenagem das águas pluviais. No presente projeto, entende-se que a materialidade proposta cumpre com os requisitos indicados e não prevê ressaltos no piso do interior da edificação que comprometam a continuidade do pavimento, pondo em causa as condições de acessibilidade do mesmo.</w:t>
      </w:r>
    </w:p>
    <w:p w:rsidR="00000000" w:rsidDel="00000000" w:rsidP="00000000" w:rsidRDefault="00000000" w:rsidRPr="00000000" w14:paraId="00000067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No que concerne aos restantes requisitos deste parâmetro, não se prevê escadarias ou outros elementos que exijam cuidados específicos.</w:t>
      </w:r>
    </w:p>
    <w:p w:rsidR="00000000" w:rsidDel="00000000" w:rsidP="00000000" w:rsidRDefault="00000000" w:rsidRPr="00000000" w14:paraId="00000068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hd w:fill="ffffff" w:val="clear"/>
        <w:spacing w:before="280" w:line="276" w:lineRule="auto"/>
        <w:ind w:left="720" w:hanging="360"/>
        <w:jc w:val="both"/>
        <w:rPr>
          <w:rFonts w:ascii="Century Gothic" w:cs="Century Gothic" w:eastAsia="Century Gothic" w:hAnsi="Century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PERCURSO ACESSÍVEL – ARRUAMENTO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PÚBLICO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 E ENTRADA PRINCIPAL DA MORADIA</w:t>
      </w:r>
    </w:p>
    <w:p w:rsidR="00000000" w:rsidDel="00000000" w:rsidP="00000000" w:rsidRDefault="00000000" w:rsidRPr="00000000" w14:paraId="0000006A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Em relação às áreas privativas exteriores, a proposta foi elaborada em função do especificado na secção 2.1, quanto à criação de pelo menos um percurso acessível que proporcione o “</w:t>
      </w:r>
      <w:r w:rsidDel="00000000" w:rsidR="00000000" w:rsidRPr="00000000">
        <w:rPr>
          <w:rFonts w:ascii="Century Gothic" w:cs="Century Gothic" w:eastAsia="Century Gothic" w:hAnsi="Century Gothic"/>
          <w:i w:val="1"/>
          <w:color w:val="000000"/>
          <w:sz w:val="22"/>
          <w:szCs w:val="22"/>
          <w:rtl w:val="0"/>
        </w:rPr>
        <w:t xml:space="preserve">acesso seguro e confortável das pessoas com mobilidade condicionada entre a via pública, o local de entrada/saída principal e todos os espaços interiores e exteriores que o constituem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”. De uma forma geral, os percursos acessíveis aqui descritos foram equacionados em função das disposições definidas no Capítulo 4 do anexo da referida legislação.</w:t>
      </w:r>
    </w:p>
    <w:p w:rsidR="00000000" w:rsidDel="00000000" w:rsidP="00000000" w:rsidRDefault="00000000" w:rsidRPr="00000000" w14:paraId="0000006B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 Dadas as características do terreno, assim como a cota de soleira definida, o percurso exige a alternância de cotas, com um vencimento em altura de 0,21cm. Não sendo possível marcar um percurso direto, sem alternância de cotas, até à respetiva entrada principal, será executada através de degraus perfeitamente regulamentares. Paralelamente, prevê-se condições espaciais e técnicas para a eventual instalação de uma rampa, com inclinação inferior a 6% e uma largura superior a 0,90 m, representada nas peças desenhadas do presente plano de acessibilidades.</w:t>
      </w:r>
    </w:p>
    <w:p w:rsidR="00000000" w:rsidDel="00000000" w:rsidP="00000000" w:rsidRDefault="00000000" w:rsidRPr="00000000" w14:paraId="0000006C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As plataformas na base e no topo da rampa possuem dimensões medidas na direção do movimento superiores ao especificado no ponto 2.5.4, sendo que na base é garantido espaço para rotação de 360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, dado que se trata da plataforma de entrada e as restantes normas exigíveis nos restantes pontos da respetiva legislação.</w:t>
      </w:r>
    </w:p>
    <w:p w:rsidR="00000000" w:rsidDel="00000000" w:rsidP="00000000" w:rsidRDefault="00000000" w:rsidRPr="00000000" w14:paraId="0000006D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 percurso acessível que procuramos materializar será comum a indivíduos sem mobilidade condicionada, garantindo uma largura livre nunca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inferior a 1,50m e com as áreas de transição possíveis de serem demarcadas para uma rotação de 360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 arruamento pelo qual se coloca o portão de entrada / automóvel e que permite o acesso à entrada principal, terá um ressalto nunca superior a 0,02m e com respectiva aresta boleada com um raio de 0,02 m.</w:t>
      </w:r>
    </w:p>
    <w:p w:rsidR="00000000" w:rsidDel="00000000" w:rsidP="00000000" w:rsidRDefault="00000000" w:rsidRPr="00000000" w14:paraId="0000006F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Os revestimentos dos pisos terão condições de resistência e durabilidade que entendemos respeitar o especificado na secção 4.7, nomeadamente no equilíbrio dos reflexos das superfícies que devem localizar em valores compreendidos entre 15% e 40%, com cores nem muito claras nem muito escuras, tal o definido no ponto 4.7.2. As placas serão colocadas de forma a garantir continuidade com os outros materiais de revestimento do pavimento, nomeadamente no percurso acessível, não sendo previsto ressaltos no piso superiores a 0,005 m. Não é prevista qualquer inclinação transversal à direção do percurso acessível.</w:t>
      </w:r>
    </w:p>
    <w:p w:rsidR="00000000" w:rsidDel="00000000" w:rsidP="00000000" w:rsidRDefault="00000000" w:rsidRPr="00000000" w14:paraId="00000070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 portão de entrada da habitação para peões terá uma largura útil mínima de {{accessibility_width}} m, medida quando a respetiva folha se encontrar em ângulo de abertura de 90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, pelo que se garante zonas livres de manobra especificadas no ponto 4.9.6. O portão terá puxadores do tipo muleta tubular, aplicados em ambas as faces, colocados a 0,90m de altura em relação à cota de soleira e afastados da ombreira 0,06 m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, tal como o especificado nos pontos 4.9.9 e 4.9.10. A força necessária para fazer operar a porta, puxar ou empurrar, deve respeitar o especificado no ponto 4.9.13 do citado Decreto-Lei, ou seja, não deve ser superior a 22N, exceto as portas corta-fogo onde o valor pode ser superior.</w:t>
      </w:r>
    </w:p>
    <w:p w:rsidR="00000000" w:rsidDel="00000000" w:rsidP="00000000" w:rsidRDefault="00000000" w:rsidRPr="00000000" w14:paraId="00000071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À entrada na moradia, o espaço de chegada garante área para definição de uma zona de rotação de 360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, tal o especificado no ponto 2.2.1. Este espaço tem uma altura livre superior a 2,4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0m, respeitando o ponto 4.5.1. Por seu lado, a porta de entrada tem uma altura mínima útil de {{accessibility_height}} m, {{accessibility_comparison}} a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o especificado no ponto 4.9.2 De referir que as soleiras não ultrapassam 0,02 m de altura, sendo o vértice visível boleado com um raio de curvatura de 0,02 m, dentro do exigido na secção 4.8.</w:t>
      </w:r>
    </w:p>
    <w:p w:rsidR="00000000" w:rsidDel="00000000" w:rsidP="00000000" w:rsidRDefault="00000000" w:rsidRPr="00000000" w14:paraId="00000072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As ombreiras da porta da entrada principal respeitam os espaços mínimos exigíveis, possuindo zonas de manobra especificadas no ponto 4.9.6. De uma forma geral, a porta possui zona de manobra desobstruída com as dimensões estipuladas no ponto 4.9.6. A dimensão dos espaços exteriores de acesso à porta principal da moradia tem condições para a inscrição de zonas de manobra para a rotação de 360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, ou seja, a inscrição de um círculo de 1,50 m de diâmetro, tal o exige o ponto 2.2.1. A largura útil da porta será de pelo menos 1,00 m, tal o especifica o ponto 2.2.3.</w:t>
      </w:r>
    </w:p>
    <w:p w:rsidR="00000000" w:rsidDel="00000000" w:rsidP="00000000" w:rsidRDefault="00000000" w:rsidRPr="00000000" w14:paraId="00000073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No que concerne às restantes especificações deste parâmetro, prevê-se, se necessário, a colocação de marcas de segurança em forma circular sobre os grandes panos envidraçados, colocados no centro e a 1,35 m de altura em relação à cota de soleira, respeitando o especificado no ponto 4.9.14.</w:t>
      </w:r>
    </w:p>
    <w:p w:rsidR="00000000" w:rsidDel="00000000" w:rsidP="00000000" w:rsidRDefault="00000000" w:rsidRPr="00000000" w14:paraId="00000074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Em conclusão, acreditamos que o percurso materializado entre o portão de entrada e a entrada principal no fogo respeita satisfatoriamente os requisitos da acessibilidade.</w:t>
      </w:r>
    </w:p>
    <w:p w:rsidR="00000000" w:rsidDel="00000000" w:rsidP="00000000" w:rsidRDefault="00000000" w:rsidRPr="00000000" w14:paraId="00000075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after="120" w:lineRule="auto"/>
        <w:jc w:val="both"/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hd w:fill="ffffff" w:val="clear"/>
        <w:spacing w:after="280" w:before="280" w:lineRule="auto"/>
        <w:ind w:left="720" w:hanging="360"/>
        <w:jc w:val="both"/>
        <w:rPr>
          <w:rFonts w:ascii="Century Gothic" w:cs="Century Gothic" w:eastAsia="Century Gothic" w:hAnsi="Century Gothic"/>
          <w:b w:val="1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PERCURSO ACESSÍVEL NO INTERIOR DA HABITAÇÃO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Em conformidade com o disposto no ponto 3.3.7 e sendo a habitação proposta de tipologia {{construction_type3}} é organizada em {{accessiblitity_floors}}, o projeto apresenta uma cozinha / sala, instalação sanitária e quarto acessível {{accessibility_how_many_floors}}.</w:t>
      </w:r>
    </w:p>
    <w:p w:rsidR="00000000" w:rsidDel="00000000" w:rsidP="00000000" w:rsidRDefault="00000000" w:rsidRPr="00000000" w14:paraId="00000079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Sem descurar da adequabilidade acima referida, o projeto apresenta nas restantes compartimentações principais a conformidade com as seguintes normas técnicas que passamos a sintetizar.</w:t>
      </w:r>
    </w:p>
    <w:p w:rsidR="00000000" w:rsidDel="00000000" w:rsidP="00000000" w:rsidRDefault="00000000" w:rsidRPr="00000000" w14:paraId="0000007A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80" w:before="280" w:lineRule="auto"/>
        <w:jc w:val="both"/>
        <w:rPr>
          <w:rFonts w:ascii="Century Gothic" w:cs="Century Gothic" w:eastAsia="Century Gothic" w:hAnsi="Century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Cozinha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A cozinha terá espaço para a marcação de zonas de rotação de 360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, sem a obstrução do mobiliário.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A distância entre bancadas ou entre as bancadas e as paredes possui o valor mínimo regulamentar de 1,20m.</w:t>
      </w:r>
    </w:p>
    <w:p w:rsidR="00000000" w:rsidDel="00000000" w:rsidP="00000000" w:rsidRDefault="00000000" w:rsidRPr="00000000" w14:paraId="0000007D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. As portas terão os espaços de manobra exigíveis e serão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dotadas de puxadores do tipo muleta tubular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, afastados das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respectivas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ombreiras 0,06 m e colocados a 0,90 m de altura em relação ao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respectivo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pavimento. As portas interiores terão uma largura livre de pelo menos 0,77 m, medida quando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as respectivas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folhas se encontrarem abertas a 90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As portas exteriores possuirão soleiras com ressaltos não superiores a 0,02 m, sendo as arestas boleadas.</w:t>
      </w:r>
    </w:p>
    <w:p w:rsidR="00000000" w:rsidDel="00000000" w:rsidP="00000000" w:rsidRDefault="00000000" w:rsidRPr="00000000" w14:paraId="0000007E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Percursos no Interior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Os percursos no interior das habitações respeitarão a largura mínima de 1,10 m especificada no ponto 3.3.2. </w:t>
      </w:r>
    </w:p>
    <w:p w:rsidR="00000000" w:rsidDel="00000000" w:rsidP="00000000" w:rsidRDefault="00000000" w:rsidRPr="00000000" w14:paraId="00000081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Os corredores internos do fogo terão pelo menos 1,20 m de largura (ponto 2.3.1), existindo zonas com largura superior que permite a marcação de zonas de manobra para a rotação ou mudança de direção (ponto 2.3.3), não existindo uma extensão superior a 10,00 m.</w:t>
      </w:r>
    </w:p>
    <w:p w:rsidR="00000000" w:rsidDel="00000000" w:rsidP="00000000" w:rsidRDefault="00000000" w:rsidRPr="00000000" w14:paraId="00000082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Instalação Sanitária</w:t>
        <w:tab/>
      </w:r>
    </w:p>
    <w:p w:rsidR="00000000" w:rsidDel="00000000" w:rsidP="00000000" w:rsidRDefault="00000000" w:rsidRPr="00000000" w14:paraId="00000084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Na instalação sanitária geral será respeitado o especificado na secção 2.9. A disposição das peças sanitárias, lavatório, sanita e duche, garantem zonas livres de permanência junto à sanita e do duche, tal como especificado na secção 4.1, assim como área para a marcação de uma zona de manobra para rotação de 360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Esta zona de manobra não é afetada pelo movimento de abertura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da porta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de acesso.</w:t>
      </w:r>
    </w:p>
    <w:p w:rsidR="00000000" w:rsidDel="00000000" w:rsidP="00000000" w:rsidRDefault="00000000" w:rsidRPr="00000000" w14:paraId="00000085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Está prevista a capacidade de colocação de barras de apoio, tanto na sanita, como no duche, conforme o especificado no 2.9.4 e no 2.9.7, respetivamente. Previu-se também a possibilidade de colocação de um acento sobre o duche conforme o especificado 2.9.7. As paredes adjacentes à sanita e ao duche deverão ter qualidades construtivas para a possível aplicação de barras de apoio, conforme o especificado nos pontos 2.9.4 e 2.9.7, respetivamente.</w:t>
      </w:r>
    </w:p>
    <w:p w:rsidR="00000000" w:rsidDel="00000000" w:rsidP="00000000" w:rsidRDefault="00000000" w:rsidRPr="00000000" w14:paraId="00000086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Nesta instalação sanitária, o lavatório tem como altura adotada 0,90 m. Contudo, o lavatório proposto respeita a zona livre de alcance lateral definida pelo ponto 4.2.2 para pessoas de mobilidade condicionada.</w:t>
      </w:r>
    </w:p>
    <w:p w:rsidR="00000000" w:rsidDel="00000000" w:rsidP="00000000" w:rsidRDefault="00000000" w:rsidRPr="00000000" w14:paraId="00000087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A base de duche, conforme peça desenhada, permitirá a entrada de pessoas com mobilidade condicionada, sendo esta nivelada com o pavimento do compartimento, de acordo com o disposto no n.º 1 do ponto 2.9.8.</w:t>
      </w:r>
    </w:p>
    <w:p w:rsidR="00000000" w:rsidDel="00000000" w:rsidP="00000000" w:rsidRDefault="00000000" w:rsidRPr="00000000" w14:paraId="00000088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after="120" w:lineRule="auto"/>
        <w:jc w:val="both"/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after="120" w:lineRule="auto"/>
        <w:jc w:val="both"/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after="120" w:lineRule="auto"/>
        <w:jc w:val="both"/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after="120" w:lineRule="auto"/>
        <w:jc w:val="both"/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Área Exterior de Lazer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 espaço exterior de lazer da moradia terá acesso a pessoas com mobilidade condicionada, nomeadamente através da zona da sala, sendo possível aceder à zona do telheiro. Os materiais aplicados no revestimento resistentes e sem previsão para 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ressaltos no piso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superior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a 0,005 m.</w:t>
      </w:r>
    </w:p>
    <w:p w:rsidR="00000000" w:rsidDel="00000000" w:rsidP="00000000" w:rsidRDefault="00000000" w:rsidRPr="00000000" w14:paraId="0000008D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NOTA CONCLUSIVA</w:t>
      </w:r>
    </w:p>
    <w:p w:rsidR="00000000" w:rsidDel="00000000" w:rsidP="00000000" w:rsidRDefault="00000000" w:rsidRPr="00000000" w14:paraId="00000091">
      <w:pPr>
        <w:pStyle w:val="Heading5"/>
        <w:spacing w:line="276" w:lineRule="auto"/>
        <w:rPr>
          <w:rFonts w:ascii="Century Gothic" w:cs="Century Gothic" w:eastAsia="Century Gothic" w:hAnsi="Century Gothic"/>
          <w:sz w:val="21"/>
          <w:szCs w:val="21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Em tudo o que se encontrar omisso nesta memória descritiva, serão tomadas em conta todas as regras que estão previstas na legislação aplicável.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{{location}}, {{date}}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Técnica,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{{author_name}}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Arquiteta - OA 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{{author_registration}}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18"/>
          <w:szCs w:val="18"/>
          <w:rtl w:val="0"/>
        </w:rPr>
        <w:t xml:space="preserve">Código de validação para verificação das competências: {{oa_ref_number}}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even"/>
      <w:pgSz w:h="16840" w:w="11907" w:orient="portrait"/>
      <w:pgMar w:bottom="1418" w:top="1395" w:left="1701" w:right="1134" w:header="425" w:footer="40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imes New Roman"/>
  <w:font w:name="Courier New"/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Arial Black">
    <w:embedRegular w:fontKey="{00000000-0000-0000-0000-000000000000}" r:id="rId11" w:subsetted="0"/>
  </w:font>
  <w:font w:name="Century Gothic">
    <w:embedRegular w:fontKey="{00000000-0000-0000-0000-000000000000}" r:id="rId12" w:subsetted="0"/>
    <w:embedBold w:fontKey="{00000000-0000-0000-0000-000000000000}" r:id="rId13" w:subsetted="0"/>
    <w:embedItalic w:fontKey="{00000000-0000-0000-0000-000000000000}" r:id="rId14" w:subsetted="0"/>
    <w:embedBoldItalic w:fontKey="{00000000-0000-0000-0000-000000000000}" r:id="rId15" w:subsetted="0"/>
  </w:font>
  <w:font w:name="Questrial">
    <w:embedRegular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spacing w:line="360" w:lineRule="auto"/>
      <w:jc w:val="both"/>
      <w:rPr>
        <w:rFonts w:ascii="Arial" w:cs="Arial" w:eastAsia="Arial" w:hAnsi="Arial"/>
        <w:b w:val="1"/>
        <w:sz w:val="14"/>
        <w:szCs w:val="14"/>
      </w:rPr>
    </w:pPr>
    <w:r w:rsidDel="00000000" w:rsidR="00000000" w:rsidRPr="00000000">
      <w:rPr>
        <w:rFonts w:ascii="Arial" w:cs="Arial" w:eastAsia="Arial" w:hAnsi="Arial"/>
        <w:b w:val="1"/>
        <w:sz w:val="14"/>
        <w:szCs w:val="14"/>
        <w:rtl w:val="0"/>
      </w:rPr>
      <w:t xml:space="preserve">____________________________________________________________________________________________________________________</w:t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64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2041687</wp:posOffset>
          </wp:positionH>
          <wp:positionV relativeFrom="paragraph">
            <wp:posOffset>28575</wp:posOffset>
          </wp:positionV>
          <wp:extent cx="1677353" cy="396931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5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1677353" cy="39693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16"/>
        <w:szCs w:val="16"/>
        <w:rtl w:val="0"/>
      </w:rPr>
      <w:tab/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spacing w:line="360" w:lineRule="auto"/>
      <w:jc w:val="both"/>
      <w:rPr/>
    </w:pPr>
    <w:r w:rsidDel="00000000" w:rsidR="00000000" w:rsidRPr="00000000">
      <w:rPr>
        <w:rFonts w:ascii="Arial" w:cs="Arial" w:eastAsia="Arial" w:hAnsi="Arial"/>
        <w:color w:val="808080"/>
        <w:sz w:val="14"/>
        <w:szCs w:val="14"/>
        <w:rtl w:val="0"/>
      </w:rPr>
      <w:tab/>
    </w:r>
    <w:r w:rsidDel="00000000" w:rsidR="00000000" w:rsidRPr="00000000">
      <w:rPr>
        <w:rFonts w:ascii="Questrial" w:cs="Questrial" w:eastAsia="Questrial" w:hAnsi="Questrial"/>
        <w:color w:val="808080"/>
        <w:sz w:val="14"/>
        <w:szCs w:val="14"/>
        <w:rtl w:val="0"/>
      </w:rPr>
      <w:tab/>
      <w:t xml:space="preserve">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spacing w:line="360" w:lineRule="auto"/>
      <w:jc w:val="both"/>
      <w:rPr>
        <w:rFonts w:ascii="Century Gothic" w:cs="Century Gothic" w:eastAsia="Century Gothic" w:hAnsi="Century Gothic"/>
        <w:color w:val="808080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16"/>
        <w:szCs w:val="16"/>
        <w:u w:val="none"/>
        <w:shd w:fill="auto" w:val="clear"/>
        <w:vertAlign w:val="baseline"/>
      </w:rPr>
    </w:pPr>
    <w:bookmarkStart w:colFirst="0" w:colLast="0" w:name="_heading=h.cb4tp52yr41" w:id="0"/>
    <w:bookmarkEnd w:id="0"/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62626"/>
        <w:sz w:val="18"/>
        <w:szCs w:val="18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</w:t>
      <w:tab/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262626"/>
        <w:sz w:val="18"/>
        <w:szCs w:val="18"/>
        <w:u w:val="none"/>
        <w:shd w:fill="auto" w:val="clear"/>
        <w:vertAlign w:val="baseline"/>
        <w:rtl w:val="0"/>
      </w:rPr>
      <w:t xml:space="preserve">                                         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404040"/>
        <w:sz w:val="16"/>
        <w:szCs w:val="16"/>
        <w:u w:val="none"/>
        <w:shd w:fill="auto" w:val="clear"/>
        <w:vertAlign w:val="baseline"/>
        <w:rtl w:val="0"/>
      </w:rPr>
      <w:t xml:space="preserve">PLANO DE ACESSIBILIDADES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pict>
        <v:shape id="_x0000_s1041" style="position:absolute;left:0;text-align:left;margin-left:433.05pt;margin-top:6.55pt;width:22.65pt;height:22.65pt;z-index:-251659264;mso-position-horizontal:absolute;mso-position-vertical:absolute;mso-position-horizontal-relative:margin;mso-position-vertical-relative:text;" wrapcoords="-720 0 -720 20880 21600 20880 21600 0 -720 0" type="#_x0000_t75">
          <v:imagedata blacklevel="22938f" gain="19661f" grayscale="t" r:href="rId4" r:id="rId3"/>
          <w10:wrap type="tight"/>
        </v:shape>
      </w:pict>
    </w:r>
  </w:p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  <w:rtl w:val="0"/>
      </w:rPr>
      <w:t xml:space="preserve">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40404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               </w:t>
    </w:r>
    <w:r w:rsidDel="00000000" w:rsidR="00000000" w:rsidRPr="00000000">
      <w:rPr>
        <w:rFonts w:ascii="Century Gothic" w:cs="Century Gothic" w:eastAsia="Century Gothic" w:hAnsi="Century Gothic"/>
        <w:b w:val="1"/>
        <w:color w:val="404040"/>
        <w:sz w:val="16"/>
        <w:szCs w:val="16"/>
        <w:rtl w:val="0"/>
      </w:rPr>
      <w:t xml:space="preserve">{{request_type}}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62626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404040"/>
        <w:sz w:val="16"/>
        <w:szCs w:val="16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          </w:t>
    </w:r>
    <w:r w:rsidDel="00000000" w:rsidR="00000000" w:rsidRPr="00000000">
      <w:rPr>
        <w:rFonts w:ascii="Century Gothic" w:cs="Century Gothic" w:eastAsia="Century Gothic" w:hAnsi="Century Gothic"/>
        <w:color w:val="262626"/>
        <w:sz w:val="16"/>
        <w:szCs w:val="16"/>
        <w:rtl w:val="0"/>
      </w:rPr>
      <w:t xml:space="preserve">{{construction_type}}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480" w:lineRule="auto"/>
      <w:ind w:left="2160" w:firstLine="250"/>
      <w:jc w:val="both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line="360" w:lineRule="auto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line="360" w:lineRule="auto"/>
      <w:ind w:left="2160" w:firstLine="720"/>
      <w:jc w:val="both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both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spacing w:line="360" w:lineRule="auto"/>
      <w:jc w:val="both"/>
    </w:pPr>
    <w:rPr>
      <w:sz w:val="36"/>
      <w:szCs w:val="36"/>
    </w:rPr>
  </w:style>
  <w:style w:type="paragraph" w:styleId="Heading6">
    <w:name w:val="heading 6"/>
    <w:basedOn w:val="Normal"/>
    <w:next w:val="Normal"/>
    <w:pPr>
      <w:keepNext w:val="1"/>
      <w:spacing w:line="360" w:lineRule="auto"/>
      <w:jc w:val="both"/>
    </w:pPr>
    <w:rPr>
      <w:b w:val="1"/>
      <w:color w:val="ff000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480" w:lineRule="auto"/>
      <w:ind w:left="2160" w:firstLine="250"/>
      <w:jc w:val="both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line="360" w:lineRule="auto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line="360" w:lineRule="auto"/>
      <w:ind w:left="2160" w:firstLine="720"/>
      <w:jc w:val="both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both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spacing w:line="360" w:lineRule="auto"/>
      <w:jc w:val="both"/>
    </w:pPr>
    <w:rPr>
      <w:sz w:val="36"/>
      <w:szCs w:val="36"/>
    </w:rPr>
  </w:style>
  <w:style w:type="paragraph" w:styleId="Heading6">
    <w:name w:val="heading 6"/>
    <w:basedOn w:val="Normal"/>
    <w:next w:val="Normal"/>
    <w:pPr>
      <w:keepNext w:val="1"/>
      <w:spacing w:line="360" w:lineRule="auto"/>
      <w:jc w:val="both"/>
    </w:pPr>
    <w:rPr>
      <w:b w:val="1"/>
      <w:color w:val="ff000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F39FA"/>
    <w:rPr>
      <w:lang w:eastAsia="pt-PT" w:val="pt-PT"/>
    </w:rPr>
  </w:style>
  <w:style w:type="paragraph" w:styleId="Heading1">
    <w:name w:val="heading 1"/>
    <w:basedOn w:val="Normal"/>
    <w:next w:val="Normal"/>
    <w:qFormat w:val="1"/>
    <w:pPr>
      <w:keepNext w:val="1"/>
      <w:spacing w:line="480" w:lineRule="auto"/>
      <w:ind w:left="2160" w:firstLine="250"/>
      <w:jc w:val="both"/>
      <w:outlineLvl w:val="0"/>
    </w:pPr>
    <w:rPr>
      <w:sz w:val="40"/>
      <w:lang w:val="en-US"/>
    </w:rPr>
  </w:style>
  <w:style w:type="paragraph" w:styleId="Heading2">
    <w:name w:val="heading 2"/>
    <w:basedOn w:val="Normal"/>
    <w:next w:val="Normal"/>
    <w:qFormat w:val="1"/>
    <w:pPr>
      <w:keepNext w:val="1"/>
      <w:spacing w:line="360" w:lineRule="auto"/>
      <w:jc w:val="both"/>
      <w:outlineLvl w:val="1"/>
    </w:pPr>
    <w:rPr>
      <w:b w:val="1"/>
    </w:rPr>
  </w:style>
  <w:style w:type="paragraph" w:styleId="Heading3">
    <w:name w:val="heading 3"/>
    <w:basedOn w:val="Normal"/>
    <w:next w:val="Normal"/>
    <w:qFormat w:val="1"/>
    <w:pPr>
      <w:keepNext w:val="1"/>
      <w:spacing w:line="360" w:lineRule="auto"/>
      <w:ind w:left="2160" w:firstLine="720"/>
      <w:jc w:val="both"/>
      <w:outlineLvl w:val="2"/>
    </w:pPr>
    <w:rPr>
      <w:b w:val="1"/>
      <w:sz w:val="22"/>
    </w:rPr>
  </w:style>
  <w:style w:type="paragraph" w:styleId="Heading4">
    <w:name w:val="heading 4"/>
    <w:basedOn w:val="Normal"/>
    <w:next w:val="Normal"/>
    <w:qFormat w:val="1"/>
    <w:pPr>
      <w:keepNext w:val="1"/>
      <w:jc w:val="both"/>
      <w:outlineLvl w:val="3"/>
    </w:pPr>
    <w:rPr>
      <w:b w:val="1"/>
      <w:sz w:val="22"/>
    </w:rPr>
  </w:style>
  <w:style w:type="paragraph" w:styleId="Heading5">
    <w:name w:val="heading 5"/>
    <w:basedOn w:val="Normal"/>
    <w:next w:val="Normal"/>
    <w:qFormat w:val="1"/>
    <w:pPr>
      <w:keepNext w:val="1"/>
      <w:spacing w:line="360" w:lineRule="auto"/>
      <w:jc w:val="both"/>
      <w:outlineLvl w:val="4"/>
    </w:pPr>
    <w:rPr>
      <w:sz w:val="36"/>
    </w:rPr>
  </w:style>
  <w:style w:type="paragraph" w:styleId="Heading6">
    <w:name w:val="heading 6"/>
    <w:basedOn w:val="Normal"/>
    <w:next w:val="Normal"/>
    <w:qFormat w:val="1"/>
    <w:pPr>
      <w:keepNext w:val="1"/>
      <w:spacing w:line="360" w:lineRule="auto"/>
      <w:jc w:val="both"/>
      <w:outlineLvl w:val="5"/>
    </w:pPr>
    <w:rPr>
      <w:b w:val="1"/>
      <w:color w:val="ff0000"/>
      <w:sz w:val="22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rPr>
      <w:lang w:val="en-US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lang w:val="en-US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  <w:sz w:val="22"/>
      <w:lang w:val="en-US"/>
    </w:rPr>
  </w:style>
  <w:style w:type="paragraph" w:styleId="BodyText">
    <w:name w:val="Body Text"/>
    <w:basedOn w:val="Normal"/>
    <w:pPr>
      <w:tabs>
        <w:tab w:val="left" w:pos="0"/>
      </w:tabs>
      <w:spacing w:line="360" w:lineRule="auto"/>
      <w:jc w:val="both"/>
    </w:pPr>
    <w:rPr>
      <w:sz w:val="22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sz w:val="22"/>
    </w:rPr>
  </w:style>
  <w:style w:type="paragraph" w:styleId="BalloonText">
    <w:name w:val="Balloon Text"/>
    <w:basedOn w:val="Normal"/>
    <w:semiHidden w:val="1"/>
    <w:rsid w:val="008709D2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915E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Indent2">
    <w:name w:val="Body Text Indent 2"/>
    <w:basedOn w:val="Normal"/>
    <w:rsid w:val="00FB5FE5"/>
    <w:pPr>
      <w:spacing w:after="120" w:line="480" w:lineRule="auto"/>
      <w:ind w:left="283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7C5FFC"/>
    <w:pPr>
      <w:keepLines w:val="1"/>
      <w:spacing w:before="480" w:line="276" w:lineRule="auto"/>
      <w:ind w:left="0" w:firstLine="0"/>
      <w:jc w:val="left"/>
      <w:outlineLvl w:val="9"/>
    </w:pPr>
    <w:rPr>
      <w:rFonts w:ascii="Cambria" w:hAnsi="Cambria"/>
      <w:b w:val="1"/>
      <w:bCs w:val="1"/>
      <w:color w:val="365f91"/>
      <w:sz w:val="28"/>
      <w:szCs w:val="28"/>
      <w:lang w:eastAsia="en-US" w:val="pt-PT"/>
    </w:rPr>
  </w:style>
  <w:style w:type="paragraph" w:styleId="TOC1">
    <w:name w:val="toc 1"/>
    <w:basedOn w:val="Normal"/>
    <w:next w:val="Normal"/>
    <w:autoRedefine w:val="1"/>
    <w:uiPriority w:val="39"/>
    <w:rsid w:val="007C5FFC"/>
  </w:style>
  <w:style w:type="character" w:styleId="Hyperlink">
    <w:name w:val="Hyperlink"/>
    <w:uiPriority w:val="99"/>
    <w:unhideWhenUsed w:val="1"/>
    <w:rsid w:val="007C5FFC"/>
    <w:rPr>
      <w:color w:val="0000ff"/>
      <w:u w:val="single"/>
    </w:rPr>
  </w:style>
  <w:style w:type="paragraph" w:styleId="Default" w:customStyle="1">
    <w:name w:val="Default"/>
    <w:rsid w:val="00586150"/>
    <w:pPr>
      <w:autoSpaceDE w:val="0"/>
      <w:autoSpaceDN w:val="0"/>
      <w:adjustRightInd w:val="0"/>
    </w:pPr>
    <w:rPr>
      <w:rFonts w:ascii="Calibri" w:cs="Calibri" w:eastAsia="Calibri" w:hAnsi="Calibri"/>
      <w:color w:val="000000"/>
      <w:sz w:val="24"/>
      <w:szCs w:val="24"/>
      <w:lang w:val="pt-PT"/>
    </w:rPr>
  </w:style>
  <w:style w:type="paragraph" w:styleId="Subtitle">
    <w:name w:val="Subtitle"/>
    <w:basedOn w:val="Normal"/>
    <w:next w:val="Normal"/>
    <w:link w:val="SubtitleChar"/>
    <w:rsid w:val="00B55D49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SubtitleChar" w:customStyle="1">
    <w:name w:val="Subtitle Char"/>
    <w:link w:val="Subtitle"/>
    <w:rsid w:val="00B55D49"/>
    <w:rPr>
      <w:rFonts w:ascii="Georgia" w:cs="Georgia" w:eastAsia="Georgia" w:hAnsi="Georgia"/>
      <w:i w:val="1"/>
      <w:color w:val="666666"/>
      <w:sz w:val="48"/>
      <w:szCs w:val="48"/>
    </w:rPr>
  </w:style>
  <w:style w:type="character" w:styleId="HeaderChar" w:customStyle="1">
    <w:name w:val="Header Char"/>
    <w:link w:val="Header"/>
    <w:rsid w:val="00B55D49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customXml" Target="../customXML/item1.xml"/><Relationship Id="rId13" Type="http://schemas.openxmlformats.org/officeDocument/2006/relationships/header" Target="header1.xml"/><Relationship Id="rId12" Type="http://schemas.openxmlformats.org/officeDocument/2006/relationships/hyperlink" Target="http://www.pcd.pt/biblioteca/.doc/DL_163_2006.pdf" TargetMode="External"/><Relationship Id="rId1" Type="http://schemas.openxmlformats.org/officeDocument/2006/relationships/image" Target="media/image1.jpg"/><Relationship Id="rId2" Type="http://schemas.openxmlformats.org/officeDocument/2006/relationships/image" Target="https://image.freepik.com/icones-gratis/simbolo-deficiencia_318-27585.jpg" TargetMode="External"/><Relationship Id="rId9" Type="http://schemas.openxmlformats.org/officeDocument/2006/relationships/styles" Target="styles.xm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ArialBlack-regular.ttf"/><Relationship Id="rId10" Type="http://schemas.openxmlformats.org/officeDocument/2006/relationships/font" Target="fonts/NotoSansSymbols-bold.ttf"/><Relationship Id="rId13" Type="http://schemas.openxmlformats.org/officeDocument/2006/relationships/font" Target="fonts/CenturyGothic-bold.ttf"/><Relationship Id="rId12" Type="http://schemas.openxmlformats.org/officeDocument/2006/relationships/font" Target="fonts/CenturyGothic-regular.ttf"/><Relationship Id="rId9" Type="http://schemas.openxmlformats.org/officeDocument/2006/relationships/font" Target="fonts/NotoSansSymbols-regular.ttf"/><Relationship Id="rId15" Type="http://schemas.openxmlformats.org/officeDocument/2006/relationships/font" Target="fonts/CenturyGothic-boldItalic.ttf"/><Relationship Id="rId14" Type="http://schemas.openxmlformats.org/officeDocument/2006/relationships/font" Target="fonts/CenturyGothic-italic.ttf"/><Relationship Id="rId16" Type="http://schemas.openxmlformats.org/officeDocument/2006/relationships/font" Target="fonts/Questrial-regular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5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1.jpg"/><Relationship Id="rId4" Type="http://schemas.openxmlformats.org/officeDocument/2006/relationships/image" Target="https://image.freepik.com/icones-gratis/simbolo-deficiencia_318-2758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w0bHxIt0cT8NWixR7r9rHfxISQ==">CgMxLjAyDWguY2I0dHA1MnlyNDE4AHIhMW01Q2dDUXlGZEtUMFZmQXE0REhsbVVnTVJUVC1FYnF0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2025-03-28T18:58:00Z</dcterms:created>
  <dc:creator>Daniela Grosso, arqª</dc:creator>
</cp:coreProperties>
</file>