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38"/>
          <w:szCs w:val="38"/>
        </w:rPr>
        <w:t xml:space="preserve">AlphaPlaybook — Conviction Tagging Rubric</w:t>
      </w:r>
    </w:p>
    <w:p>
      <w:pPr>
        <w:spacing w:after="60"/>
      </w:pPr>
      <w:r>
        <w:rPr>
          <w:rFonts w:ascii="Calibri" w:cs="Calibri" w:eastAsia="Calibri" w:hAnsi="Calibri"/>
          <w:i/>
          <w:iCs/>
          <w:color w:val="6B6B6B"/>
          <w:sz w:val="20"/>
          <w:szCs w:val="20"/>
        </w:rPr>
        <w:t xml:space="preserve">How to read conviction from transcripts — the Monday tagging spec. Frequency ≠ conviction.</w:t>
      </w:r>
    </w:p>
    <w:p>
      <w:pPr>
        <w:spacing w:after="160"/>
      </w:pPr>
      <w:r>
        <w:rPr>
          <w:rFonts w:ascii="Calibri" w:cs="Calibri" w:eastAsia="Calibri" w:hAnsi="Calibri"/>
          <w:i/>
          <w:iCs/>
          <w:color w:val="B4622F"/>
          <w:sz w:val="17"/>
          <w:szCs w:val="17"/>
        </w:rPr>
        <w:t xml:space="preserve">Runs paste-to-chat: paste a transcript, the model emits one JSON object per segment per this rubric, Charlie audits/overrides, tags land in conviction_tags -&gt; theme_engine.</w:t>
      </w:r>
    </w:p>
    <w:p>
      <w:pPr>
        <w:pBdr>
          <w:bottom w:val="single" w:color="D8D2CA" w:sz="6"/>
        </w:pBdr>
        <w:spacing w:after="120" w:before="40"/>
      </w:pPr>
      <w:r>
        <w:rPr>
          <w:sz w:val="2"/>
          <w:szCs w:val="2"/>
        </w:rPr>
        <w:t xml:space="preserve"/>
      </w:r>
    </w:p>
    <w:p>
      <w:pPr>
        <w:pStyle w:val="Heading1"/>
        <w:spacing w:after="120" w:before="260"/>
      </w:pPr>
      <w:r>
        <w:rPr>
          <w:rFonts w:ascii="Calibri" w:cs="Calibri" w:eastAsia="Calibri" w:hAnsi="Calibri"/>
          <w:b/>
          <w:bCs/>
          <w:color w:val="B4622F"/>
          <w:sz w:val="28"/>
          <w:szCs w:val="28"/>
        </w:rPr>
        <w:t xml:space="preserve">Why this exists</w:t>
      </w:r>
    </w:p>
    <w:p>
      <w:pPr>
        <w:spacing w:after="120" w:line="276"/>
      </w:pPr>
      <w:r>
        <w:rPr>
          <w:rFonts w:ascii="Calibri" w:cs="Calibri" w:eastAsia="Calibri" w:hAnsi="Calibri"/>
          <w:color w:val="1A1A1A"/>
          <w:sz w:val="20"/>
          <w:szCs w:val="20"/>
        </w:rPr>
        <w:t xml:space="preserve">Keyword counting measures what a voice </w:t>
      </w:r>
      <w:r>
        <w:rPr>
          <w:rFonts w:ascii="Calibri" w:cs="Calibri" w:eastAsia="Calibri" w:hAnsi="Calibri"/>
          <w:i/>
          <w:iCs/>
          <w:color w:val="1A1A1A"/>
          <w:sz w:val="20"/>
          <w:szCs w:val="20"/>
        </w:rPr>
        <w:t xml:space="preserve">talks about</w:t>
      </w:r>
      <w:r>
        <w:rPr>
          <w:rFonts w:ascii="Calibri" w:cs="Calibri" w:eastAsia="Calibri" w:hAnsi="Calibri"/>
          <w:color w:val="1A1A1A"/>
          <w:sz w:val="20"/>
          <w:szCs w:val="20"/>
        </w:rPr>
        <w:t xml:space="preserve">, not what he </w:t>
      </w:r>
      <w:r>
        <w:rPr>
          <w:rFonts w:ascii="Calibri" w:cs="Calibri" w:eastAsia="Calibri" w:hAnsi="Calibri"/>
          <w:i/>
          <w:iCs/>
          <w:color w:val="1A1A1A"/>
          <w:sz w:val="20"/>
          <w:szCs w:val="20"/>
        </w:rPr>
        <w:t xml:space="preserve">believes</w:t>
      </w:r>
      <w:r>
        <w:rPr>
          <w:rFonts w:ascii="Calibri" w:cs="Calibri" w:eastAsia="Calibri" w:hAnsi="Calibri"/>
          <w:color w:val="1A1A1A"/>
          <w:sz w:val="20"/>
          <w:szCs w:val="20"/>
        </w:rPr>
        <w:t xml:space="preserve"> or how strongly. Someone can mention silver 50x while cautioning it, or name ASML once with total certainty. Worse, settled convictions (ASML monopoly, power “the best”) generate almost NO airtime because they’re not in question — so airtime systematically under-weights the surest bets. This rubric reads direction, strength, and trajectory instead of counting words.</w:t>
      </w:r>
    </w:p>
    <w:p>
      <w:pPr>
        <w:pStyle w:val="Heading1"/>
        <w:spacing w:after="120" w:before="260"/>
      </w:pPr>
      <w:r>
        <w:rPr>
          <w:rFonts w:ascii="Calibri" w:cs="Calibri" w:eastAsia="Calibri" w:hAnsi="Calibri"/>
          <w:b/>
          <w:bCs/>
          <w:color w:val="B4622F"/>
          <w:sz w:val="28"/>
          <w:szCs w:val="28"/>
        </w:rPr>
        <w:t xml:space="preserve">Step 1 — Segment</w:t>
      </w:r>
    </w:p>
    <w:p>
      <w:pPr>
        <w:spacing w:after="120" w:line="276"/>
      </w:pPr>
      <w:r>
        <w:rPr>
          <w:rFonts w:ascii="Calibri" w:cs="Calibri" w:eastAsia="Calibri" w:hAnsi="Calibri"/>
          <w:color w:val="1A1A1A"/>
          <w:sz w:val="20"/>
          <w:szCs w:val="20"/>
        </w:rPr>
        <w:t xml:space="preserve">Chunk the transcript into topic-coherent segments (~3–10 sentences on one idea). </w:t>
      </w:r>
      <w:r>
        <w:rPr>
          <w:rFonts w:ascii="Calibri" w:cs="Calibri" w:eastAsia="Calibri" w:hAnsi="Calibri"/>
          <w:b/>
          <w:bCs/>
          <w:color w:val="1A1A1A"/>
          <w:sz w:val="20"/>
          <w:szCs w:val="20"/>
        </w:rPr>
        <w:t xml:space="preserve">Critical:</w:t>
      </w:r>
      <w:r>
        <w:rPr>
          <w:rFonts w:ascii="Calibri" w:cs="Calibri" w:eastAsia="Calibri" w:hAnsi="Calibri"/>
          <w:color w:val="1A1A1A"/>
          <w:sz w:val="20"/>
          <w:szCs w:val="20"/>
        </w:rPr>
        <w:t xml:space="preserve"> keep an </w:t>
      </w:r>
      <w:r>
        <w:rPr>
          <w:rFonts w:ascii="Calibri" w:cs="Calibri" w:eastAsia="Calibri" w:hAnsi="Calibri"/>
          <w:i/>
          <w:iCs/>
          <w:color w:val="1A1A1A"/>
          <w:sz w:val="20"/>
          <w:szCs w:val="20"/>
        </w:rPr>
        <w:t xml:space="preserve">arc</w:t>
      </w:r>
      <w:r>
        <w:rPr>
          <w:rFonts w:ascii="Calibri" w:cs="Calibri" w:eastAsia="Calibri" w:hAnsi="Calibri"/>
          <w:color w:val="1A1A1A"/>
          <w:sz w:val="20"/>
          <w:szCs w:val="20"/>
        </w:rPr>
        <w:t xml:space="preserve"> in one segment. “I got out of Micron… buying some back” must stay together or the reader sees “exiting” and misses the reversal.</w:t>
      </w:r>
    </w:p>
    <w:p>
      <w:pPr>
        <w:pStyle w:val="Heading1"/>
        <w:spacing w:after="120" w:before="260"/>
      </w:pPr>
      <w:r>
        <w:rPr>
          <w:rFonts w:ascii="Calibri" w:cs="Calibri" w:eastAsia="Calibri" w:hAnsi="Calibri"/>
          <w:b/>
          <w:bCs/>
          <w:color w:val="B4622F"/>
          <w:sz w:val="28"/>
          <w:szCs w:val="28"/>
        </w:rPr>
        <w:t xml:space="preserve">Step 2 — Emit per-segment JSON</w:t>
      </w:r>
    </w:p>
    <w:p>
      <w:pPr>
        <w:pBdr>
          <w:left w:val="single" w:color="B4622F" w:sz="18"/>
        </w:pBdr>
        <w:shd w:fill="F2EEE8" w:val="clear"/>
        <w:spacing w:after="120" w:before="60"/>
      </w:pPr>
      <w:r>
        <w:rPr>
          <w:rFonts w:ascii="Consolas" w:cs="Consolas" w:eastAsia="Consolas" w:hAnsi="Consolas"/>
          <w:color w:val="1A1A1A"/>
          <w:sz w:val="17"/>
          <w:szCs w:val="17"/>
        </w:rPr>
        <w:t xml:space="preserve">{</w:t>
      </w:r>
      <w:r>
        <w:rPr>
          <w:rFonts w:ascii="Consolas" w:cs="Consolas" w:eastAsia="Consolas" w:hAnsi="Consolas"/>
          <w:color w:val="1A1A1A"/>
          <w:sz w:val="17"/>
          <w:szCs w:val="17"/>
        </w:rPr>
        <w:br/>
        <w:t xml:space="preserve">  "theme": "AI Compute",</w:t>
      </w:r>
      <w:r>
        <w:rPr>
          <w:rFonts w:ascii="Consolas" w:cs="Consolas" w:eastAsia="Consolas" w:hAnsi="Consolas"/>
          <w:color w:val="1A1A1A"/>
          <w:sz w:val="17"/>
          <w:szCs w:val="17"/>
        </w:rPr>
        <w:br/>
        <w:t xml:space="preserve">  "pillar": "Memory",          // null if not compute</w:t>
      </w:r>
      <w:r>
        <w:rPr>
          <w:rFonts w:ascii="Consolas" w:cs="Consolas" w:eastAsia="Consolas" w:hAnsi="Consolas"/>
          <w:color w:val="1A1A1A"/>
          <w:sz w:val="17"/>
          <w:szCs w:val="17"/>
        </w:rPr>
        <w:br/>
        <w:t xml:space="preserve">  "tickers": ["MU","SKHY"],</w:t>
      </w:r>
      <w:r>
        <w:rPr>
          <w:rFonts w:ascii="Consolas" w:cs="Consolas" w:eastAsia="Consolas" w:hAnsi="Consolas"/>
          <w:color w:val="1A1A1A"/>
          <w:sz w:val="17"/>
          <w:szCs w:val="17"/>
        </w:rPr>
        <w:br/>
        <w:t xml:space="preserve">  "direction": "advocacy",     // advocacy | neutral | caution</w:t>
      </w:r>
      <w:r>
        <w:rPr>
          <w:rFonts w:ascii="Consolas" w:cs="Consolas" w:eastAsia="Consolas" w:hAnsi="Consolas"/>
          <w:color w:val="1A1A1A"/>
          <w:sz w:val="17"/>
          <w:szCs w:val="17"/>
        </w:rPr>
        <w:br/>
        <w:t xml:space="preserve">  "conviction": 0.90,          // 0-1, per rubric below</w:t>
      </w:r>
      <w:r>
        <w:rPr>
          <w:rFonts w:ascii="Consolas" w:cs="Consolas" w:eastAsia="Consolas" w:hAnsi="Consolas"/>
          <w:color w:val="1A1A1A"/>
          <w:sz w:val="17"/>
          <w:szCs w:val="17"/>
        </w:rPr>
        <w:br/>
        <w:t xml:space="preserve">  "temporality": "reversing",  // see temporality table</w:t>
      </w:r>
      <w:r>
        <w:rPr>
          <w:rFonts w:ascii="Consolas" w:cs="Consolas" w:eastAsia="Consolas" w:hAnsi="Consolas"/>
          <w:color w:val="1A1A1A"/>
          <w:sz w:val="17"/>
          <w:szCs w:val="17"/>
        </w:rPr>
        <w:br/>
        <w:t xml:space="preserve">  "beneficiary_theme": "AI Compute",  // where DEMAND lands</w:t>
      </w:r>
      <w:r>
        <w:rPr>
          <w:rFonts w:ascii="Consolas" w:cs="Consolas" w:eastAsia="Consolas" w:hAnsi="Consolas"/>
          <w:color w:val="1A1A1A"/>
          <w:sz w:val="17"/>
          <w:szCs w:val="17"/>
        </w:rPr>
        <w:br/>
        <w:t xml:space="preserve">  "airtime": 0.18,             // share of transcript this occupies</w:t>
      </w:r>
      <w:r>
        <w:rPr>
          <w:rFonts w:ascii="Consolas" w:cs="Consolas" w:eastAsia="Consolas" w:hAnsi="Consolas"/>
          <w:color w:val="1A1A1A"/>
          <w:sz w:val="17"/>
          <w:szCs w:val="17"/>
        </w:rPr>
        <w:br/>
        <w:t xml:space="preserve">  "causal_claim": "shortage &gt;2030 -&gt; DRAM prices up -&gt; MU",</w:t>
      </w:r>
      <w:r>
        <w:rPr>
          <w:rFonts w:ascii="Consolas" w:cs="Consolas" w:eastAsia="Consolas" w:hAnsi="Consolas"/>
          <w:color w:val="1A1A1A"/>
          <w:sz w:val="17"/>
          <w:szCs w:val="17"/>
        </w:rPr>
        <w:br/>
        <w:t xml:space="preserve">  "quote": "buying some back...Micron the biggest one"</w:t>
      </w:r>
      <w:r>
        <w:rPr>
          <w:rFonts w:ascii="Consolas" w:cs="Consolas" w:eastAsia="Consolas" w:hAnsi="Consolas"/>
          <w:color w:val="1A1A1A"/>
          <w:sz w:val="17"/>
          <w:szCs w:val="17"/>
        </w:rPr>
        <w:br/>
        <w:t xml:space="preserve">}</w:t>
      </w:r>
    </w:p>
    <w:p>
      <w:pPr>
        <w:pStyle w:val="Heading1"/>
        <w:spacing w:after="120" w:before="260"/>
      </w:pPr>
      <w:r>
        <w:rPr>
          <w:rFonts w:ascii="Calibri" w:cs="Calibri" w:eastAsia="Calibri" w:hAnsi="Calibri"/>
          <w:b/>
          <w:bCs/>
          <w:color w:val="B4622F"/>
          <w:sz w:val="28"/>
          <w:szCs w:val="28"/>
        </w:rPr>
        <w:t xml:space="preserve">The conviction score (0–1)</w:t>
      </w:r>
    </w:p>
    <w:p>
      <w:pPr>
        <w:spacing w:after="120" w:line="276"/>
      </w:pPr>
      <w:r>
        <w:rPr>
          <w:rFonts w:ascii="Calibri" w:cs="Calibri" w:eastAsia="Calibri" w:hAnsi="Calibri"/>
          <w:color w:val="1A1A1A"/>
          <w:sz w:val="20"/>
          <w:szCs w:val="20"/>
        </w:rPr>
        <w:t xml:space="preserve">Each component cites its quote so the score is auditable. Sum the weighted components:</w:t>
      </w:r>
    </w:p>
    <w:tbl>
      <w:tblPr>
        <w:tblW w:type="dxa" w:w="8400"/>
        <w:tblBorders>
          <w:top w:val="single" w:color="D8D2CA" w:sz="4"/>
          <w:left w:val="single" w:color="D8D2CA" w:sz="4"/>
          <w:bottom w:val="single" w:color="D8D2CA" w:sz="4"/>
          <w:right w:val="single" w:color="D8D2CA" w:sz="4"/>
          <w:insideH w:val="single" w:color="D8D2CA" w:sz="4"/>
          <w:insideV w:val="single" w:color="D8D2CA" w:sz="4"/>
        </w:tblBorders>
      </w:tblPr>
      <w:tblGrid>
        <w:gridCol w:w="2400"/>
        <w:gridCol w:w="1000"/>
        <w:gridCol w:w="5000"/>
      </w:tblGrid>
      <w:tr>
        <w:trPr>
          <w:tblHeader/>
        </w:trPr>
        <w:tc>
          <w:tcPr>
            <w:tcW w:type="dxa" w:w="2400"/>
            <w:shd w:fill="1A1A1A" w:val="clear"/>
            <w:tcMar>
              <w:top w:type="dxa" w:w="55"/>
              <w:left w:type="dxa" w:w="85"/>
              <w:bottom w:type="dxa" w:w="55"/>
              <w:right w:type="dxa" w:w="85"/>
            </w:tcMar>
          </w:tcPr>
          <w:p>
            <w:pPr>
              <w:spacing w:after="0" w:line="248"/>
            </w:pPr>
            <w:r>
              <w:rPr>
                <w:rFonts w:ascii="Calibri" w:cs="Calibri" w:eastAsia="Calibri" w:hAnsi="Calibri"/>
                <w:b/>
                <w:bCs/>
                <w:color w:val="FFFFFF"/>
                <w:sz w:val="17"/>
                <w:szCs w:val="17"/>
              </w:rPr>
              <w:t xml:space="preserve">signal</w:t>
            </w:r>
          </w:p>
        </w:tc>
        <w:tc>
          <w:tcPr>
            <w:tcW w:type="dxa" w:w="1000"/>
            <w:shd w:fill="1A1A1A" w:val="clear"/>
            <w:tcMar>
              <w:top w:type="dxa" w:w="55"/>
              <w:left w:type="dxa" w:w="85"/>
              <w:bottom w:type="dxa" w:w="55"/>
              <w:right w:type="dxa" w:w="85"/>
            </w:tcMar>
          </w:tcPr>
          <w:p>
            <w:pPr>
              <w:spacing w:after="0" w:line="248"/>
            </w:pPr>
            <w:r>
              <w:rPr>
                <w:rFonts w:ascii="Calibri" w:cs="Calibri" w:eastAsia="Calibri" w:hAnsi="Calibri"/>
                <w:b/>
                <w:bCs/>
                <w:color w:val="FFFFFF"/>
                <w:sz w:val="17"/>
                <w:szCs w:val="17"/>
              </w:rPr>
              <w:t xml:space="preserve">weight</w:t>
            </w:r>
          </w:p>
        </w:tc>
        <w:tc>
          <w:tcPr>
            <w:tcW w:type="dxa" w:w="5000"/>
            <w:shd w:fill="1A1A1A" w:val="clear"/>
            <w:tcMar>
              <w:top w:type="dxa" w:w="55"/>
              <w:left w:type="dxa" w:w="85"/>
              <w:bottom w:type="dxa" w:w="55"/>
              <w:right w:type="dxa" w:w="85"/>
            </w:tcMar>
          </w:tcPr>
          <w:p>
            <w:pPr>
              <w:spacing w:after="0" w:line="248"/>
            </w:pPr>
            <w:r>
              <w:rPr>
                <w:rFonts w:ascii="Calibri" w:cs="Calibri" w:eastAsia="Calibri" w:hAnsi="Calibri"/>
                <w:b/>
                <w:bCs/>
                <w:color w:val="FFFFFF"/>
                <w:sz w:val="17"/>
                <w:szCs w:val="17"/>
              </w:rPr>
              <w:t xml:space="preserve">what raises it</w:t>
            </w:r>
          </w:p>
        </w:tc>
      </w:tr>
      <w:tr>
        <w:trPr>
          <w:tblHeader w:val="false"/>
        </w:trPr>
        <w:tc>
          <w:tcPr>
            <w:tcW w:type="dxa" w:w="24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Position disclosure</w:t>
            </w:r>
          </w:p>
        </w:tc>
        <w:tc>
          <w:tcPr>
            <w:tcW w:type="dxa" w:w="10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0.35</w:t>
            </w:r>
          </w:p>
        </w:tc>
        <w:tc>
          <w:tcPr>
            <w:tcW w:type="dxa" w:w="50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“I own / I’m adding / my biggest position” = high. Mention without ownership = low.</w:t>
            </w:r>
          </w:p>
        </w:tc>
      </w:tr>
      <w:tr>
        <w:trPr>
          <w:tblHeader w:val="false"/>
        </w:trPr>
        <w:tc>
          <w:tcPr>
            <w:tcW w:type="dxa" w:w="24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Certainty language</w:t>
            </w:r>
          </w:p>
        </w:tc>
        <w:tc>
          <w:tcPr>
            <w:tcW w:type="dxa" w:w="10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0.25</w:t>
            </w:r>
          </w:p>
        </w:tc>
        <w:tc>
          <w:tcPr>
            <w:tcW w:type="dxa" w:w="50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absolutes (“the best,” “way too cheap,” “no question”) up; genuine hedges (“might, not sure, we’ll see”) down. NB: “I think” is often conviction, not a hedge — read what follows.</w:t>
            </w:r>
          </w:p>
        </w:tc>
      </w:tr>
      <w:tr>
        <w:trPr>
          <w:tblHeader w:val="false"/>
        </w:trPr>
        <w:tc>
          <w:tcPr>
            <w:tcW w:type="dxa" w:w="24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Causal articulation</w:t>
            </w:r>
          </w:p>
        </w:tc>
        <w:tc>
          <w:tcPr>
            <w:tcW w:type="dxa" w:w="10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0.20</w:t>
            </w:r>
          </w:p>
        </w:tc>
        <w:tc>
          <w:tcPr>
            <w:tcW w:type="dxa" w:w="50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states a MECHANISM (agents→tokens→memory) = high; names a ticker with no “why” = low.</w:t>
            </w:r>
          </w:p>
        </w:tc>
      </w:tr>
      <w:tr>
        <w:trPr>
          <w:tblHeader w:val="false"/>
        </w:trPr>
        <w:tc>
          <w:tcPr>
            <w:tcW w:type="dxa" w:w="24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Persistence</w:t>
            </w:r>
          </w:p>
        </w:tc>
        <w:tc>
          <w:tcPr>
            <w:tcW w:type="dxa" w:w="10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0.10</w:t>
            </w:r>
          </w:p>
        </w:tc>
        <w:tc>
          <w:tcPr>
            <w:tcW w:type="dxa" w:w="50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“I’ve been saying this for months / still holding.”</w:t>
            </w:r>
          </w:p>
        </w:tc>
      </w:tr>
      <w:tr>
        <w:trPr>
          <w:tblHeader w:val="false"/>
        </w:trPr>
        <w:tc>
          <w:tcPr>
            <w:tcW w:type="dxa" w:w="24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Contrarian framing</w:t>
            </w:r>
          </w:p>
        </w:tc>
        <w:tc>
          <w:tcPr>
            <w:tcW w:type="dxa" w:w="10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0.10</w:t>
            </w:r>
          </w:p>
        </w:tc>
        <w:tc>
          <w:tcPr>
            <w:tcW w:type="dxa" w:w="50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“everyone’s bearish but…” — conviction against consensus scores highest.</w:t>
            </w:r>
          </w:p>
        </w:tc>
      </w:tr>
    </w:tbl>
    <w:p>
      <w:pPr>
        <w:pStyle w:val="Heading1"/>
        <w:spacing w:after="120" w:before="260"/>
      </w:pPr>
      <w:r>
        <w:rPr>
          <w:rFonts w:ascii="Calibri" w:cs="Calibri" w:eastAsia="Calibri" w:hAnsi="Calibri"/>
          <w:b/>
          <w:bCs/>
          <w:color w:val="B4622F"/>
          <w:sz w:val="28"/>
          <w:szCs w:val="28"/>
        </w:rPr>
        <w:t xml:space="preserve">Direction (the sign)</w:t>
      </w:r>
    </w:p>
    <w:p>
      <w:pPr>
        <w:spacing w:after="120" w:line="276"/>
      </w:pPr>
      <w:r>
        <w:rPr>
          <w:rFonts w:ascii="Calibri" w:cs="Calibri" w:eastAsia="Calibri" w:hAnsi="Calibri"/>
          <w:b/>
          <w:bCs/>
          <w:color w:val="1A1A1A"/>
          <w:sz w:val="20"/>
          <w:szCs w:val="20"/>
        </w:rPr>
        <w:t xml:space="preserve">advocacy = +1</w:t>
      </w:r>
      <w:r>
        <w:rPr>
          <w:rFonts w:ascii="Calibri" w:cs="Calibri" w:eastAsia="Calibri" w:hAnsi="Calibri"/>
          <w:color w:val="1A1A1A"/>
          <w:sz w:val="20"/>
          <w:szCs w:val="20"/>
        </w:rPr>
        <w:t xml:space="preserve"> (buying/bullish) · </w:t>
      </w:r>
      <w:r>
        <w:rPr>
          <w:rFonts w:ascii="Calibri" w:cs="Calibri" w:eastAsia="Calibri" w:hAnsi="Calibri"/>
          <w:b/>
          <w:bCs/>
          <w:color w:val="1A1A1A"/>
          <w:sz w:val="20"/>
          <w:szCs w:val="20"/>
        </w:rPr>
        <w:t xml:space="preserve">neutral = 0</w:t>
      </w:r>
      <w:r>
        <w:rPr>
          <w:rFonts w:ascii="Calibri" w:cs="Calibri" w:eastAsia="Calibri" w:hAnsi="Calibri"/>
          <w:color w:val="1A1A1A"/>
          <w:sz w:val="20"/>
          <w:szCs w:val="20"/>
        </w:rPr>
        <w:t xml:space="preserve"> (discussing, held-not-advocated) · </w:t>
      </w:r>
      <w:r>
        <w:rPr>
          <w:rFonts w:ascii="Calibri" w:cs="Calibri" w:eastAsia="Calibri" w:hAnsi="Calibri"/>
          <w:b/>
          <w:bCs/>
          <w:color w:val="1A1A1A"/>
          <w:sz w:val="20"/>
          <w:szCs w:val="20"/>
        </w:rPr>
        <w:t xml:space="preserve">caution = −1</w:t>
      </w:r>
      <w:r>
        <w:rPr>
          <w:rFonts w:ascii="Calibri" w:cs="Calibri" w:eastAsia="Calibri" w:hAnsi="Calibri"/>
          <w:color w:val="1A1A1A"/>
          <w:sz w:val="20"/>
          <w:szCs w:val="20"/>
        </w:rPr>
        <w:t xml:space="preserve"> (“gone too far,” trimming). Direction MULTIPLIES into Layer A — a cautioned theme gets NEGATIVE intensity even with heavy airtime. This is the core fix.</w:t>
      </w:r>
    </w:p>
    <w:p>
      <w:pPr>
        <w:pStyle w:val="Heading1"/>
        <w:spacing w:after="120" w:before="260"/>
      </w:pPr>
      <w:r>
        <w:rPr>
          <w:rFonts w:ascii="Calibri" w:cs="Calibri" w:eastAsia="Calibri" w:hAnsi="Calibri"/>
          <w:b/>
          <w:bCs/>
          <w:color w:val="B4622F"/>
          <w:sz w:val="28"/>
          <w:szCs w:val="28"/>
        </w:rPr>
        <w:t xml:space="preserve">Temporality (the trajectory — Layer B)</w:t>
      </w:r>
    </w:p>
    <w:tbl>
      <w:tblPr>
        <w:tblW w:type="dxa" w:w="8400"/>
        <w:tblBorders>
          <w:top w:val="single" w:color="D8D2CA" w:sz="4"/>
          <w:left w:val="single" w:color="D8D2CA" w:sz="4"/>
          <w:bottom w:val="single" w:color="D8D2CA" w:sz="4"/>
          <w:right w:val="single" w:color="D8D2CA" w:sz="4"/>
          <w:insideH w:val="single" w:color="D8D2CA" w:sz="4"/>
          <w:insideV w:val="single" w:color="D8D2CA" w:sz="4"/>
        </w:tblBorders>
      </w:tblPr>
      <w:tblGrid>
        <w:gridCol w:w="2200"/>
        <w:gridCol w:w="6200"/>
      </w:tblGrid>
      <w:tr>
        <w:trPr>
          <w:tblHeader/>
        </w:trPr>
        <w:tc>
          <w:tcPr>
            <w:tcW w:type="dxa" w:w="2200"/>
            <w:shd w:fill="1A1A1A" w:val="clear"/>
            <w:tcMar>
              <w:top w:type="dxa" w:w="55"/>
              <w:left w:type="dxa" w:w="85"/>
              <w:bottom w:type="dxa" w:w="55"/>
              <w:right w:type="dxa" w:w="85"/>
            </w:tcMar>
          </w:tcPr>
          <w:p>
            <w:pPr>
              <w:spacing w:after="0" w:line="248"/>
            </w:pPr>
            <w:r>
              <w:rPr>
                <w:rFonts w:ascii="Calibri" w:cs="Calibri" w:eastAsia="Calibri" w:hAnsi="Calibri"/>
                <w:b/>
                <w:bCs/>
                <w:color w:val="FFFFFF"/>
                <w:sz w:val="17"/>
                <w:szCs w:val="17"/>
              </w:rPr>
              <w:t xml:space="preserve">value</w:t>
            </w:r>
          </w:p>
        </w:tc>
        <w:tc>
          <w:tcPr>
            <w:tcW w:type="dxa" w:w="6200"/>
            <w:shd w:fill="1A1A1A" w:val="clear"/>
            <w:tcMar>
              <w:top w:type="dxa" w:w="55"/>
              <w:left w:type="dxa" w:w="85"/>
              <w:bottom w:type="dxa" w:w="55"/>
              <w:right w:type="dxa" w:w="85"/>
            </w:tcMar>
          </w:tcPr>
          <w:p>
            <w:pPr>
              <w:spacing w:after="0" w:line="248"/>
            </w:pPr>
            <w:r>
              <w:rPr>
                <w:rFonts w:ascii="Calibri" w:cs="Calibri" w:eastAsia="Calibri" w:hAnsi="Calibri"/>
                <w:b/>
                <w:bCs/>
                <w:color w:val="FFFFFF"/>
                <w:sz w:val="17"/>
                <w:szCs w:val="17"/>
              </w:rPr>
              <w:t xml:space="preserve">meaning — and signal strength</w:t>
            </w:r>
          </w:p>
        </w:tc>
      </w:tr>
      <w:tr>
        <w:trPr>
          <w:tblHeader w:val="false"/>
        </w:trPr>
        <w:tc>
          <w:tcPr>
            <w:tcW w:type="dxa" w:w="22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initiating</w:t>
            </w:r>
          </w:p>
        </w:tc>
        <w:tc>
          <w:tcPr>
            <w:tcW w:type="dxa" w:w="62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new advocacy on something not previously held. HIGH signal (inflection).</w:t>
            </w:r>
          </w:p>
        </w:tc>
      </w:tr>
      <w:tr>
        <w:trPr>
          <w:tblHeader w:val="false"/>
        </w:trPr>
        <w:tc>
          <w:tcPr>
            <w:tcW w:type="dxa" w:w="22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escalating</w:t>
            </w:r>
          </w:p>
        </w:tc>
        <w:tc>
          <w:tcPr>
            <w:tcW w:type="dxa" w:w="62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watching → buying, or adding. Building conviction.</w:t>
            </w:r>
          </w:p>
        </w:tc>
      </w:tr>
      <w:tr>
        <w:trPr>
          <w:tblHeader w:val="false"/>
        </w:trPr>
        <w:tc>
          <w:tcPr>
            <w:tcW w:type="dxa" w:w="22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holding</w:t>
            </w:r>
          </w:p>
        </w:tc>
        <w:tc>
          <w:tcPr>
            <w:tcW w:type="dxa" w:w="62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steady position, no change. Background.</w:t>
            </w:r>
          </w:p>
        </w:tc>
      </w:tr>
      <w:tr>
        <w:trPr>
          <w:tblHeader w:val="false"/>
        </w:trPr>
        <w:tc>
          <w:tcPr>
            <w:tcW w:type="dxa" w:w="22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trimming</w:t>
            </w:r>
          </w:p>
        </w:tc>
        <w:tc>
          <w:tcPr>
            <w:tcW w:type="dxa" w:w="62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reducing / cautioning. De-escalation.</w:t>
            </w:r>
          </w:p>
        </w:tc>
      </w:tr>
      <w:tr>
        <w:trPr>
          <w:tblHeader w:val="false"/>
        </w:trPr>
        <w:tc>
          <w:tcPr>
            <w:tcW w:type="dxa" w:w="22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exiting</w:t>
            </w:r>
          </w:p>
        </w:tc>
        <w:tc>
          <w:tcPr>
            <w:tcW w:type="dxa" w:w="6200"/>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selling out. Negative inflection.</w:t>
            </w:r>
          </w:p>
        </w:tc>
      </w:tr>
      <w:tr>
        <w:trPr>
          <w:tblHeader w:val="false"/>
        </w:trPr>
        <w:tc>
          <w:tcPr>
            <w:tcW w:type="dxa" w:w="22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reversing</w:t>
            </w:r>
          </w:p>
        </w:tc>
        <w:tc>
          <w:tcPr>
            <w:tcW w:type="dxa" w:w="6200"/>
            <w:shd w:fill="F2EEE8" w:val="clear"/>
            <w:tcMar>
              <w:top w:type="dxa" w:w="55"/>
              <w:left w:type="dxa" w:w="85"/>
              <w:bottom w:type="dxa" w:w="55"/>
              <w:right w:type="dxa" w:w="85"/>
            </w:tcMar>
          </w:tcPr>
          <w:p>
            <w:pPr>
              <w:spacing w:after="0" w:line="248"/>
            </w:pPr>
            <w:r>
              <w:rPr>
                <w:rFonts w:ascii="Calibri" w:cs="Calibri" w:eastAsia="Calibri" w:hAnsi="Calibri"/>
                <w:b w:val="false"/>
                <w:bCs w:val="false"/>
                <w:color w:val="1A1A1A"/>
                <w:sz w:val="17"/>
                <w:szCs w:val="17"/>
              </w:rPr>
              <w:t xml:space="preserve">sold→re-entering (or vice versa). HIGHEST signal — a changed mind (e.g. memory re-entry).</w:t>
            </w:r>
          </w:p>
        </w:tc>
      </w:tr>
    </w:tbl>
    <w:p>
      <w:pPr>
        <w:spacing w:after="120" w:line="276"/>
      </w:pPr>
      <w:r>
        <w:rPr>
          <w:rFonts w:ascii="Calibri" w:cs="Calibri" w:eastAsia="Calibri" w:hAnsi="Calibri"/>
          <w:color w:val="1A1A1A"/>
          <w:sz w:val="20"/>
          <w:szCs w:val="20"/>
        </w:rPr>
        <w:t xml:space="preserve">The week’s </w:t>
      </w:r>
      <w:r>
        <w:rPr>
          <w:rFonts w:ascii="Consolas" w:cs="Consolas" w:eastAsia="Consolas" w:hAnsi="Consolas"/>
          <w:color w:val="1A1A1A"/>
          <w:sz w:val="20"/>
          <w:szCs w:val="20"/>
        </w:rPr>
        <w:t xml:space="preserve">reversing</w:t>
      </w:r>
      <w:r>
        <w:rPr>
          <w:rFonts w:ascii="Calibri" w:cs="Calibri" w:eastAsia="Calibri" w:hAnsi="Calibri"/>
          <w:color w:val="1A1A1A"/>
          <w:sz w:val="20"/>
          <w:szCs w:val="20"/>
        </w:rPr>
        <w:t xml:space="preserve"> + </w:t>
      </w:r>
      <w:r>
        <w:rPr>
          <w:rFonts w:ascii="Consolas" w:cs="Consolas" w:eastAsia="Consolas" w:hAnsi="Consolas"/>
          <w:color w:val="1A1A1A"/>
          <w:sz w:val="20"/>
          <w:szCs w:val="20"/>
        </w:rPr>
        <w:t xml:space="preserve">initiating</w:t>
      </w:r>
      <w:r>
        <w:rPr>
          <w:rFonts w:ascii="Calibri" w:cs="Calibri" w:eastAsia="Calibri" w:hAnsi="Calibri"/>
          <w:color w:val="1A1A1A"/>
          <w:sz w:val="20"/>
          <w:szCs w:val="20"/>
        </w:rPr>
        <w:t xml:space="preserve"> segments ARE the macro-trend dashboard — they surface inflections automatically.</w:t>
      </w:r>
    </w:p>
    <w:p>
      <w:pPr>
        <w:pStyle w:val="Heading1"/>
        <w:spacing w:after="120" w:before="260"/>
      </w:pPr>
      <w:r>
        <w:rPr>
          <w:rFonts w:ascii="Calibri" w:cs="Calibri" w:eastAsia="Calibri" w:hAnsi="Calibri"/>
          <w:b/>
          <w:bCs/>
          <w:color w:val="B4622F"/>
          <w:sz w:val="28"/>
          <w:szCs w:val="28"/>
        </w:rPr>
        <w:t xml:space="preserve">The beneficiary rule (critical)</w:t>
      </w:r>
    </w:p>
    <w:p>
      <w:pPr>
        <w:spacing w:after="120" w:line="276"/>
      </w:pPr>
      <w:r>
        <w:rPr>
          <w:rFonts w:ascii="Calibri" w:cs="Calibri" w:eastAsia="Calibri" w:hAnsi="Calibri"/>
          <w:color w:val="1A1A1A"/>
          <w:sz w:val="20"/>
          <w:szCs w:val="20"/>
        </w:rPr>
        <w:t xml:space="preserve">Attribute airtime to the theme that </w:t>
      </w:r>
      <w:r>
        <w:rPr>
          <w:rFonts w:ascii="Calibri" w:cs="Calibri" w:eastAsia="Calibri" w:hAnsi="Calibri"/>
          <w:b/>
          <w:bCs/>
          <w:color w:val="1A1A1A"/>
          <w:sz w:val="20"/>
          <w:szCs w:val="20"/>
        </w:rPr>
        <w:t xml:space="preserve">BENEFITS</w:t>
      </w:r>
      <w:r>
        <w:rPr>
          <w:rFonts w:ascii="Calibri" w:cs="Calibri" w:eastAsia="Calibri" w:hAnsi="Calibri"/>
          <w:color w:val="1A1A1A"/>
          <w:sz w:val="20"/>
          <w:szCs w:val="20"/>
        </w:rPr>
        <w:t xml:space="preserve">, not the surface topic. Agent / humanoid / self-driving </w:t>
      </w:r>
      <w:r>
        <w:rPr>
          <w:rFonts w:ascii="Calibri" w:cs="Calibri" w:eastAsia="Calibri" w:hAnsi="Calibri"/>
          <w:i/>
          <w:iCs/>
          <w:color w:val="1A1A1A"/>
          <w:sz w:val="20"/>
          <w:szCs w:val="20"/>
        </w:rPr>
        <w:t xml:space="preserve">demand</w:t>
      </w:r>
      <w:r>
        <w:rPr>
          <w:rFonts w:ascii="Calibri" w:cs="Calibri" w:eastAsia="Calibri" w:hAnsi="Calibri"/>
          <w:color w:val="1A1A1A"/>
          <w:sz w:val="20"/>
          <w:szCs w:val="20"/>
        </w:rPr>
        <w:t xml:space="preserve"> talk credits </w:t>
      </w:r>
      <w:r>
        <w:rPr>
          <w:rFonts w:ascii="Calibri" w:cs="Calibri" w:eastAsia="Calibri" w:hAnsi="Calibri"/>
          <w:b/>
          <w:bCs/>
          <w:color w:val="1A1A1A"/>
          <w:sz w:val="20"/>
          <w:szCs w:val="20"/>
        </w:rPr>
        <w:t xml:space="preserve">AI Compute</w:t>
      </w:r>
      <w:r>
        <w:rPr>
          <w:rFonts w:ascii="Calibri" w:cs="Calibri" w:eastAsia="Calibri" w:hAnsi="Calibri"/>
          <w:color w:val="1A1A1A"/>
          <w:sz w:val="20"/>
          <w:szCs w:val="20"/>
        </w:rPr>
        <w:t xml:space="preserve"> (more agents = more tokens = more chips/power/memory), via </w:t>
      </w:r>
      <w:r>
        <w:rPr>
          <w:rFonts w:ascii="Consolas" w:cs="Consolas" w:eastAsia="Consolas" w:hAnsi="Consolas"/>
          <w:color w:val="1A1A1A"/>
          <w:sz w:val="20"/>
          <w:szCs w:val="20"/>
        </w:rPr>
        <w:t xml:space="preserve">beneficiary_theme</w:t>
      </w:r>
      <w:r>
        <w:rPr>
          <w:rFonts w:ascii="Calibri" w:cs="Calibri" w:eastAsia="Calibri" w:hAnsi="Calibri"/>
          <w:color w:val="1A1A1A"/>
          <w:sz w:val="20"/>
          <w:szCs w:val="20"/>
        </w:rPr>
        <w:t xml:space="preserve">. Only platform-side content (who monetizes the agents — Meta/Apple/Google products) is true AI Application evidence.</w:t>
      </w:r>
    </w:p>
    <w:p>
      <w:pPr>
        <w:pStyle w:val="Heading1"/>
        <w:spacing w:after="120" w:before="260"/>
      </w:pPr>
      <w:r>
        <w:rPr>
          <w:rFonts w:ascii="Calibri" w:cs="Calibri" w:eastAsia="Calibri" w:hAnsi="Calibri"/>
          <w:b/>
          <w:bCs/>
          <w:color w:val="B4622F"/>
          <w:sz w:val="28"/>
          <w:szCs w:val="28"/>
        </w:rPr>
        <w:t xml:space="preserve">How tags feed the engine</w:t>
      </w:r>
    </w:p>
    <w:p>
      <w:pPr>
        <w:pStyle w:val="ListParagraph"/>
        <w:numPr>
          <w:ilvl w:val="0"/>
          <w:numId w:val="1"/>
        </w:numPr>
        <w:spacing w:after="70" w:line="268"/>
      </w:pPr>
      <w:r>
        <w:rPr>
          <w:rFonts w:ascii="Calibri" w:cs="Calibri" w:eastAsia="Calibri" w:hAnsi="Calibri"/>
          <w:b/>
          <w:bCs/>
          <w:color w:val="1A1A1A"/>
          <w:sz w:val="20"/>
          <w:szCs w:val="20"/>
        </w:rPr>
        <w:t xml:space="preserve">Layer A (theme intensity)</w:t>
      </w:r>
      <w:r>
        <w:rPr>
          <w:rFonts w:ascii="Calibri" w:cs="Calibri" w:eastAsia="Calibri" w:hAnsi="Calibri"/>
          <w:color w:val="1A1A1A"/>
          <w:sz w:val="20"/>
          <w:szCs w:val="20"/>
        </w:rPr>
        <w:t xml:space="preserve"> = Σ(airtime × direction_sign × conviction), credited to beneficiary_theme. One “way too cheap / biggest add” segment outweighs fifty passing mentions.</w:t>
      </w:r>
    </w:p>
    <w:p>
      <w:pPr>
        <w:pStyle w:val="ListParagraph"/>
        <w:numPr>
          <w:ilvl w:val="0"/>
          <w:numId w:val="1"/>
        </w:numPr>
        <w:spacing w:after="70" w:line="268"/>
      </w:pPr>
      <w:r>
        <w:rPr>
          <w:rFonts w:ascii="Calibri" w:cs="Calibri" w:eastAsia="Calibri" w:hAnsi="Calibri"/>
          <w:b/>
          <w:bCs/>
          <w:color w:val="1A1A1A"/>
          <w:sz w:val="20"/>
          <w:szCs w:val="20"/>
        </w:rPr>
        <w:t xml:space="preserve">Layer B (persistence)</w:t>
      </w:r>
      <w:r>
        <w:rPr>
          <w:rFonts w:ascii="Calibri" w:cs="Calibri" w:eastAsia="Calibri" w:hAnsi="Calibri"/>
          <w:color w:val="1A1A1A"/>
          <w:sz w:val="20"/>
          <w:szCs w:val="20"/>
        </w:rPr>
        <w:t xml:space="preserve"> = temporality across weeks. initiating→holding→escalating = a building trend earning full persistence; a one-week spike decays.</w:t>
      </w:r>
    </w:p>
    <w:p>
      <w:pPr>
        <w:pStyle w:val="ListParagraph"/>
        <w:numPr>
          <w:ilvl w:val="0"/>
          <w:numId w:val="1"/>
        </w:numPr>
        <w:spacing w:after="70" w:line="268"/>
      </w:pPr>
      <w:r>
        <w:rPr>
          <w:rFonts w:ascii="Calibri" w:cs="Calibri" w:eastAsia="Calibri" w:hAnsi="Calibri"/>
          <w:b/>
          <w:bCs/>
          <w:color w:val="1A1A1A"/>
          <w:sz w:val="20"/>
          <w:szCs w:val="20"/>
        </w:rPr>
        <w:t xml:space="preserve">Pillar backbone</w:t>
      </w:r>
      <w:r>
        <w:rPr>
          <w:rFonts w:ascii="Calibri" w:cs="Calibri" w:eastAsia="Calibri" w:hAnsi="Calibri"/>
          <w:color w:val="1A1A1A"/>
          <w:sz w:val="20"/>
          <w:szCs w:val="20"/>
        </w:rPr>
        <w:t xml:space="preserve"> is SEPARATE — severity × stage (no-vol), from severity_probe + stage reads. Tags only supply the conviction TILT on pillars, since settled pillars (chips) have ~0 airtime.</w:t>
      </w:r>
    </w:p>
    <w:p>
      <w:pPr>
        <w:pBdr>
          <w:bottom w:val="single" w:color="D8D2CA" w:sz="6"/>
        </w:pBdr>
        <w:spacing w:after="120" w:before="40"/>
      </w:pPr>
      <w:r>
        <w:rPr>
          <w:sz w:val="2"/>
          <w:szCs w:val="2"/>
        </w:rPr>
        <w:t xml:space="preserve"/>
      </w:r>
    </w:p>
    <w:p>
      <w:pPr>
        <w:spacing w:after="120" w:line="276"/>
      </w:pPr>
      <w:r>
        <w:rPr>
          <w:rFonts w:ascii="Calibri" w:cs="Calibri" w:eastAsia="Calibri" w:hAnsi="Calibri"/>
          <w:i/>
          <w:iCs/>
          <w:color w:val="6B6B6B"/>
          <w:sz w:val="20"/>
          <w:szCs w:val="20"/>
        </w:rPr>
        <w:t xml:space="preserve">Discipline: every conviction score must trace to its quote. Runs live but instrumented — model scores logged so the calibration trail accrues; Charlie overrides via conviction_audited. The ±4%/week theme limiter is the circuit-breaker against a bad tagging run.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2026-07-15T13:21:25.090Z</dcterms:created>
  <dcterms:modified xsi:type="dcterms:W3CDTF">2026-07-15T13:21:25.112Z</dcterms:modified>
</cp:coreProperties>
</file>

<file path=docProps/custom.xml><?xml version="1.0" encoding="utf-8"?>
<Properties xmlns="http://schemas.openxmlformats.org/officeDocument/2006/custom-properties" xmlns:vt="http://schemas.openxmlformats.org/officeDocument/2006/docPropsVTypes"/>
</file>