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600" w:beforeAutospacing="0" w:after="0" w:afterAutospacing="0"/>
        <w:ind w:left="0" w:right="0"/>
        <w:rPr>
          <w:rFonts w:ascii="微软雅黑" w:hAnsi="微软雅黑" w:eastAsia="微软雅黑" w:cs="微软雅黑"/>
          <w:b w:val="0"/>
          <w:color w:val="auto"/>
          <w:sz w:val="34"/>
          <w:szCs w:val="34"/>
        </w:rPr>
      </w:pPr>
      <w:r>
        <w:rPr>
          <w:rFonts w:hint="eastAsia" w:ascii="微软雅黑" w:hAnsi="微软雅黑" w:eastAsia="微软雅黑" w:cs="微软雅黑"/>
          <w:b w:val="0"/>
          <w:color w:val="auto"/>
          <w:sz w:val="34"/>
          <w:szCs w:val="34"/>
          <w:shd w:val="clear" w:fill="FFFFFF"/>
        </w:rPr>
        <w:t>清华大学2019年硕士研究生招生简章</w:t>
      </w:r>
    </w:p>
    <w:p>
      <w:pPr>
        <w:pStyle w:val="3"/>
        <w:keepNext w:val="0"/>
        <w:keepLines w:val="0"/>
        <w:widowControl/>
        <w:suppressLineNumbers w:val="0"/>
        <w:spacing w:before="600" w:beforeAutospacing="0" w:after="750" w:afterAutospacing="0" w:line="368" w:lineRule="atLeast"/>
        <w:ind w:left="0" w:right="0"/>
        <w:rPr>
          <w:color w:val="auto"/>
        </w:rPr>
      </w:pPr>
      <w:r>
        <w:rPr>
          <w:rStyle w:val="6"/>
          <w:rFonts w:ascii="Arial" w:hAnsi="Arial" w:cs="Arial"/>
          <w:color w:val="auto"/>
          <w:sz w:val="30"/>
          <w:szCs w:val="30"/>
          <w:shd w:val="clear" w:fill="FFFFFF"/>
        </w:rPr>
        <w:t>一、报考条件</w:t>
      </w:r>
      <w:r>
        <w:rPr>
          <w:rFonts w:hint="default" w:ascii="Arial" w:hAnsi="Arial" w:cs="Arial"/>
          <w:color w:val="auto"/>
          <w:sz w:val="21"/>
          <w:szCs w:val="21"/>
          <w:shd w:val="clear" w:fill="FFFFFF"/>
        </w:rPr>
        <w:br w:type="textWrapping"/>
      </w:r>
      <w:r>
        <w:rPr>
          <w:rFonts w:hint="default" w:ascii="Arial" w:hAnsi="Arial" w:cs="Arial"/>
          <w:color w:val="auto"/>
          <w:sz w:val="21"/>
          <w:szCs w:val="21"/>
          <w:shd w:val="clear" w:fill="FFFFFF"/>
        </w:rPr>
        <w:t>1．拥护中国共产党的领导，愿意为社会主义现代化建设服务，品德良好，遵纪守法的中华人民共和国公民。</w:t>
      </w:r>
      <w:r>
        <w:rPr>
          <w:rFonts w:hint="default" w:ascii="Arial" w:hAnsi="Arial" w:cs="Arial"/>
          <w:color w:val="auto"/>
          <w:sz w:val="21"/>
          <w:szCs w:val="21"/>
          <w:shd w:val="clear" w:fill="FFFFFF"/>
        </w:rPr>
        <w:br w:type="textWrapping"/>
      </w:r>
      <w:r>
        <w:rPr>
          <w:rFonts w:hint="default" w:ascii="Arial" w:hAnsi="Arial" w:cs="Arial"/>
          <w:color w:val="auto"/>
          <w:sz w:val="21"/>
          <w:szCs w:val="21"/>
          <w:shd w:val="clear" w:fill="FFFFFF"/>
        </w:rPr>
        <w:t>2．身体健康状况符合《普通高等学校招生体检工作指导意见》</w:t>
      </w:r>
      <w:bookmarkStart w:id="0" w:name="_GoBack"/>
      <w:bookmarkEnd w:id="0"/>
      <w:r>
        <w:rPr>
          <w:rFonts w:hint="default" w:ascii="Arial" w:hAnsi="Arial" w:cs="Arial"/>
          <w:color w:val="auto"/>
          <w:sz w:val="21"/>
          <w:szCs w:val="21"/>
          <w:shd w:val="clear" w:fill="FFFFFF"/>
        </w:rPr>
        <w:t>。</w:t>
      </w:r>
      <w:r>
        <w:rPr>
          <w:rFonts w:hint="default" w:ascii="Arial" w:hAnsi="Arial" w:cs="Arial"/>
          <w:color w:val="auto"/>
          <w:sz w:val="21"/>
          <w:szCs w:val="21"/>
          <w:shd w:val="clear" w:fill="FFFFFF"/>
        </w:rPr>
        <w:br w:type="textWrapping"/>
      </w:r>
      <w:r>
        <w:rPr>
          <w:rFonts w:hint="default" w:ascii="Arial" w:hAnsi="Arial" w:cs="Arial"/>
          <w:color w:val="auto"/>
          <w:sz w:val="21"/>
          <w:szCs w:val="21"/>
          <w:shd w:val="clear" w:fill="FFFFFF"/>
        </w:rPr>
        <w:t>3．考生的学历必须符合下列条件之一：</w:t>
      </w:r>
      <w:r>
        <w:rPr>
          <w:rFonts w:hint="default" w:ascii="Arial" w:hAnsi="Arial" w:cs="Arial"/>
          <w:color w:val="auto"/>
          <w:sz w:val="21"/>
          <w:szCs w:val="21"/>
          <w:shd w:val="clear" w:fill="FFFFFF"/>
        </w:rPr>
        <w:br w:type="textWrapping"/>
      </w:r>
      <w:r>
        <w:rPr>
          <w:rFonts w:hint="default" w:ascii="Arial" w:hAnsi="Arial" w:cs="Arial"/>
          <w:color w:val="auto"/>
          <w:sz w:val="18"/>
          <w:szCs w:val="18"/>
          <w:shd w:val="clear" w:fill="FFFFFF"/>
        </w:rPr>
        <w:t>（1）国家承认学历的应届本科毕业生(含普通高校、成人高校、普通高校举办的成人高等学历教育应届本科毕业生)及自学考试和网络教育届时可毕业本科生，2019年9月1日前须取得国家承认的本科毕业证书，否则录取资格无效。</w:t>
      </w:r>
      <w:r>
        <w:rPr>
          <w:rFonts w:hint="default" w:ascii="Arial" w:hAnsi="Arial" w:cs="Arial"/>
          <w:color w:val="auto"/>
          <w:sz w:val="18"/>
          <w:szCs w:val="18"/>
          <w:shd w:val="clear" w:fill="FFFFFF"/>
        </w:rPr>
        <w:br w:type="textWrapping"/>
      </w:r>
      <w:r>
        <w:rPr>
          <w:rFonts w:hint="default" w:ascii="Arial" w:hAnsi="Arial" w:cs="Arial"/>
          <w:color w:val="auto"/>
          <w:sz w:val="18"/>
          <w:szCs w:val="18"/>
          <w:shd w:val="clear" w:fill="FFFFFF"/>
        </w:rPr>
        <w:t>（2）具有国家承认的大学本科毕业学历的人员。</w:t>
      </w:r>
      <w:r>
        <w:rPr>
          <w:rFonts w:hint="default" w:ascii="Arial" w:hAnsi="Arial" w:cs="Arial"/>
          <w:color w:val="auto"/>
          <w:sz w:val="18"/>
          <w:szCs w:val="18"/>
          <w:shd w:val="clear" w:fill="FFFFFF"/>
        </w:rPr>
        <w:br w:type="textWrapping"/>
      </w:r>
      <w:r>
        <w:rPr>
          <w:rFonts w:hint="default" w:ascii="Arial" w:hAnsi="Arial" w:cs="Arial"/>
          <w:color w:val="auto"/>
          <w:sz w:val="18"/>
          <w:szCs w:val="18"/>
          <w:shd w:val="clear" w:fill="FFFFFF"/>
        </w:rPr>
        <w:t>（3）获得国家承认的高职高专毕业学历后满2年(从毕业后到2019年9月1日)或2年以上的，以及国家承认学历的本科结业生，但必须满足以下条件：a．在核心期刊上以第一或第二作者发表过文章；b．辅修过所报专业本科的全部主干课程；c．本人英语水平证明。按本科毕业生同等学力身份报考。</w:t>
      </w:r>
      <w:r>
        <w:rPr>
          <w:rFonts w:hint="default" w:ascii="Arial" w:hAnsi="Arial" w:cs="Arial"/>
          <w:color w:val="auto"/>
          <w:sz w:val="18"/>
          <w:szCs w:val="18"/>
          <w:shd w:val="clear" w:fill="FFFFFF"/>
        </w:rPr>
        <w:br w:type="textWrapping"/>
      </w:r>
      <w:r>
        <w:rPr>
          <w:rFonts w:hint="default" w:ascii="Arial" w:hAnsi="Arial" w:cs="Arial"/>
          <w:color w:val="auto"/>
          <w:sz w:val="18"/>
          <w:szCs w:val="18"/>
          <w:shd w:val="clear" w:fill="FFFFFF"/>
        </w:rPr>
        <w:t>（4）已获硕士、博士学位的人员。</w:t>
      </w:r>
      <w:r>
        <w:rPr>
          <w:rFonts w:hint="default" w:ascii="Arial" w:hAnsi="Arial" w:cs="Arial"/>
          <w:color w:val="auto"/>
          <w:sz w:val="18"/>
          <w:szCs w:val="18"/>
          <w:shd w:val="clear" w:fill="FFFFFF"/>
        </w:rPr>
        <w:br w:type="textWrapping"/>
      </w:r>
      <w:r>
        <w:rPr>
          <w:rFonts w:hint="default" w:ascii="Arial" w:hAnsi="Arial" w:cs="Arial"/>
          <w:color w:val="auto"/>
          <w:sz w:val="21"/>
          <w:szCs w:val="21"/>
          <w:shd w:val="clear" w:fill="FFFFFF"/>
        </w:rPr>
        <w:t>4．报考125100工商管理硕士（清华MBA项目、清华-MIT全球MBA项目、清华-康奈尔双学位金融MBA项目）、125200公共管理硕士（MPA）、125600工程管理硕士（MEM）、所有非全日制工程硕士（085211计算机技术领域除外）的考生必须具有：大学本科毕业后三年以上（含三年）工作经验；或者获得国家承认的高职高专毕业学历或大学本科结业后五年以上（含五年）工作经验；或者获得硕士或博士学位后有两年以上（含两年）工作经验。以上项目中设置单独考试方式的，按照单独考试的相关规定执行。</w:t>
      </w:r>
      <w:r>
        <w:rPr>
          <w:rFonts w:hint="default" w:ascii="Arial" w:hAnsi="Arial" w:cs="Arial"/>
          <w:color w:val="auto"/>
          <w:sz w:val="21"/>
          <w:szCs w:val="21"/>
          <w:shd w:val="clear" w:fill="FFFFFF"/>
        </w:rPr>
        <w:br w:type="textWrapping"/>
      </w:r>
      <w:r>
        <w:rPr>
          <w:rFonts w:hint="default" w:ascii="Arial" w:hAnsi="Arial" w:cs="Arial"/>
          <w:color w:val="auto"/>
          <w:sz w:val="21"/>
          <w:szCs w:val="21"/>
          <w:shd w:val="clear" w:fill="FFFFFF"/>
        </w:rPr>
        <w:t>5.报考125100高级管理人员工商管理硕士（EMBA）的考生必须具有大学本科或本科以上学历，毕业后有八年或八年以上全职工作经历，其中应有五年或五年以上管理工作经历，为较大规模企业的现职中高层管理人员。或者大学专科毕业并取得毕业证书，毕业后有十年或十年以上全职工作经历，其中应有五年或五年以上管理工作经历，为具有丰富实践经验的较大规模企业的现职高层管理人员。</w:t>
      </w:r>
      <w:r>
        <w:rPr>
          <w:rFonts w:hint="default" w:ascii="Arial" w:hAnsi="Arial" w:cs="Arial"/>
          <w:color w:val="auto"/>
          <w:sz w:val="21"/>
          <w:szCs w:val="21"/>
          <w:shd w:val="clear" w:fill="FFFFFF"/>
        </w:rPr>
        <w:br w:type="textWrapping"/>
      </w:r>
      <w:r>
        <w:rPr>
          <w:rFonts w:hint="default" w:ascii="Arial" w:hAnsi="Arial" w:cs="Arial"/>
          <w:color w:val="auto"/>
          <w:sz w:val="21"/>
          <w:szCs w:val="21"/>
          <w:shd w:val="clear" w:fill="FFFFFF"/>
        </w:rPr>
        <w:t>6．035101报考法律硕士（非法学）专业学位的考生，大学学习的专业不能是法学专业（包括：法学、经济法、国际法、国际经济法、劳动改造法、商法、公证、法律事务、行政法、律师、涉外经济与法律、知识产权法、刑事法）。</w:t>
      </w:r>
      <w:r>
        <w:rPr>
          <w:rFonts w:hint="default" w:ascii="Arial" w:hAnsi="Arial" w:cs="Arial"/>
          <w:color w:val="auto"/>
          <w:sz w:val="21"/>
          <w:szCs w:val="21"/>
          <w:shd w:val="clear" w:fill="FFFFFF"/>
        </w:rPr>
        <w:br w:type="textWrapping"/>
      </w:r>
      <w:r>
        <w:rPr>
          <w:rFonts w:hint="default" w:ascii="Arial" w:hAnsi="Arial" w:cs="Arial"/>
          <w:color w:val="auto"/>
          <w:sz w:val="21"/>
          <w:szCs w:val="21"/>
          <w:shd w:val="clear" w:fill="FFFFFF"/>
        </w:rPr>
        <w:t>7．申请参加我校单独考试（单考）的考生必须大学本科毕业后在本专业或相近专业连续工作4年以上，或获硕士学位或博士学位后连续工作2年以上，政治思想表现好，业务优秀，已发表过研究论文（技术报告）或已成为业务骨干、经单位推荐报考定向培养回原单位工作就业。单考生只按“定向就业”类别招生，考生报考时考试方式必须选择“单独考试”，学习方式为“非全日制”。我校仅以下项目接收单考生报考：</w:t>
      </w:r>
      <w:r>
        <w:rPr>
          <w:rFonts w:hint="default" w:ascii="Arial" w:hAnsi="Arial" w:cs="Arial"/>
          <w:color w:val="auto"/>
          <w:sz w:val="21"/>
          <w:szCs w:val="21"/>
          <w:shd w:val="clear" w:fill="FFFFFF"/>
        </w:rPr>
        <w:br w:type="textWrapping"/>
      </w:r>
      <w:r>
        <w:rPr>
          <w:rFonts w:hint="default" w:ascii="Arial" w:hAnsi="Arial" w:cs="Arial"/>
          <w:color w:val="auto"/>
          <w:sz w:val="21"/>
          <w:szCs w:val="21"/>
          <w:shd w:val="clear" w:fill="FFFFFF"/>
        </w:rPr>
        <w:t>（1）工物系（032）核能与核技术工程（085226）核工程及安全（02方向）</w:t>
      </w:r>
      <w:r>
        <w:rPr>
          <w:rFonts w:hint="default" w:ascii="Arial" w:hAnsi="Arial" w:cs="Arial"/>
          <w:color w:val="auto"/>
          <w:sz w:val="21"/>
          <w:szCs w:val="21"/>
          <w:shd w:val="clear" w:fill="FFFFFF"/>
        </w:rPr>
        <w:br w:type="textWrapping"/>
      </w:r>
      <w:r>
        <w:rPr>
          <w:rFonts w:hint="default" w:ascii="Arial" w:hAnsi="Arial" w:cs="Arial"/>
          <w:color w:val="auto"/>
          <w:sz w:val="21"/>
          <w:szCs w:val="21"/>
          <w:shd w:val="clear" w:fill="FFFFFF"/>
        </w:rPr>
        <w:t>（2）公管学院（059）公共管理（120400）医院管理（06方向）</w:t>
      </w:r>
      <w:r>
        <w:rPr>
          <w:rFonts w:hint="default" w:ascii="Arial" w:hAnsi="Arial" w:cs="Arial"/>
          <w:color w:val="auto"/>
          <w:sz w:val="21"/>
          <w:szCs w:val="21"/>
          <w:shd w:val="clear" w:fill="FFFFFF"/>
        </w:rPr>
        <w:br w:type="textWrapping"/>
      </w:r>
      <w:r>
        <w:rPr>
          <w:rFonts w:hint="default" w:ascii="Arial" w:hAnsi="Arial" w:cs="Arial"/>
          <w:color w:val="auto"/>
          <w:sz w:val="21"/>
          <w:szCs w:val="21"/>
          <w:shd w:val="clear" w:fill="FFFFFF"/>
        </w:rPr>
        <w:t>（3）法学院（066）法学（030100）刑法学（12方向）和诉讼法学（13方向）</w:t>
      </w:r>
      <w:r>
        <w:rPr>
          <w:rFonts w:hint="default" w:ascii="Arial" w:hAnsi="Arial" w:cs="Arial"/>
          <w:color w:val="auto"/>
          <w:sz w:val="21"/>
          <w:szCs w:val="21"/>
          <w:shd w:val="clear" w:fill="FFFFFF"/>
        </w:rPr>
        <w:br w:type="textWrapping"/>
      </w:r>
      <w:r>
        <w:rPr>
          <w:rFonts w:hint="default" w:ascii="Arial" w:hAnsi="Arial" w:cs="Arial"/>
          <w:color w:val="auto"/>
          <w:sz w:val="21"/>
          <w:szCs w:val="21"/>
          <w:shd w:val="clear" w:fill="FFFFFF"/>
        </w:rPr>
        <w:t>（4）社科学院（070）体育硕士（045200）冬奥赛事管理（02方向）</w:t>
      </w:r>
      <w:r>
        <w:rPr>
          <w:rFonts w:hint="default" w:ascii="Arial" w:hAnsi="Arial" w:cs="Arial"/>
          <w:color w:val="auto"/>
          <w:sz w:val="21"/>
          <w:szCs w:val="21"/>
          <w:shd w:val="clear" w:fill="FFFFFF"/>
        </w:rPr>
        <w:br w:type="textWrapping"/>
      </w:r>
      <w:r>
        <w:rPr>
          <w:rFonts w:hint="default" w:ascii="Arial" w:hAnsi="Arial" w:cs="Arial"/>
          <w:color w:val="auto"/>
          <w:sz w:val="21"/>
          <w:szCs w:val="21"/>
          <w:shd w:val="clear" w:fill="FFFFFF"/>
        </w:rPr>
        <w:t>（5）美术学院（080）工业设计工程（085237）</w:t>
      </w:r>
      <w:r>
        <w:rPr>
          <w:rFonts w:hint="default" w:ascii="Arial" w:hAnsi="Arial" w:cs="Arial"/>
          <w:color w:val="auto"/>
          <w:sz w:val="21"/>
          <w:szCs w:val="21"/>
          <w:shd w:val="clear" w:fill="FFFFFF"/>
        </w:rPr>
        <w:br w:type="textWrapping"/>
      </w:r>
      <w:r>
        <w:rPr>
          <w:rFonts w:hint="default" w:ascii="Arial" w:hAnsi="Arial" w:cs="Arial"/>
          <w:color w:val="auto"/>
          <w:sz w:val="21"/>
          <w:szCs w:val="21"/>
          <w:shd w:val="clear" w:fill="FFFFFF"/>
        </w:rPr>
        <w:t>（6）医学院（400）公共卫生（105300）</w:t>
      </w:r>
      <w:r>
        <w:rPr>
          <w:rFonts w:hint="default" w:ascii="Arial" w:hAnsi="Arial" w:cs="Arial"/>
          <w:color w:val="auto"/>
          <w:sz w:val="21"/>
          <w:szCs w:val="21"/>
          <w:shd w:val="clear" w:fill="FFFFFF"/>
        </w:rPr>
        <w:br w:type="textWrapping"/>
      </w:r>
      <w:r>
        <w:rPr>
          <w:rFonts w:hint="default" w:ascii="Arial" w:hAnsi="Arial" w:cs="Arial"/>
          <w:color w:val="auto"/>
          <w:sz w:val="21"/>
          <w:szCs w:val="21"/>
          <w:shd w:val="clear" w:fill="FFFFFF"/>
        </w:rPr>
        <w:t>8．考生持境外获得的学历证书报考，须通过（中国）教育部留学服务中心认证，资格审查时须提交认证报告。</w:t>
      </w:r>
      <w:r>
        <w:rPr>
          <w:rFonts w:hint="default" w:ascii="Arial" w:hAnsi="Arial" w:cs="Arial"/>
          <w:color w:val="auto"/>
          <w:sz w:val="21"/>
          <w:szCs w:val="21"/>
          <w:shd w:val="clear" w:fill="FFFFFF"/>
        </w:rPr>
        <w:br w:type="textWrapping"/>
      </w:r>
      <w:r>
        <w:rPr>
          <w:rFonts w:hint="default" w:ascii="Arial" w:hAnsi="Arial" w:cs="Arial"/>
          <w:color w:val="auto"/>
          <w:sz w:val="21"/>
          <w:szCs w:val="21"/>
          <w:shd w:val="clear" w:fill="FFFFFF"/>
        </w:rPr>
        <w:t>9．考生须承诺学历、学位证书、个人及其它报考信息的真实性，一经招生单位或认证部门查证为不属实，即取消报考、录取或入学资格。</w:t>
      </w:r>
    </w:p>
    <w:p>
      <w:pPr>
        <w:pStyle w:val="3"/>
        <w:keepNext w:val="0"/>
        <w:keepLines w:val="0"/>
        <w:widowControl/>
        <w:suppressLineNumbers w:val="0"/>
        <w:spacing w:before="600" w:beforeAutospacing="0" w:after="750" w:afterAutospacing="0" w:line="368" w:lineRule="atLeast"/>
        <w:ind w:left="0" w:right="0"/>
        <w:rPr>
          <w:color w:val="auto"/>
        </w:rPr>
      </w:pPr>
    </w:p>
    <w:p>
      <w:pPr>
        <w:pStyle w:val="3"/>
        <w:keepNext w:val="0"/>
        <w:keepLines w:val="0"/>
        <w:widowControl/>
        <w:suppressLineNumbers w:val="0"/>
        <w:spacing w:before="600" w:beforeAutospacing="0" w:after="750" w:afterAutospacing="0" w:line="368" w:lineRule="atLeast"/>
        <w:ind w:left="0" w:right="0"/>
        <w:rPr>
          <w:color w:val="auto"/>
        </w:rPr>
      </w:pPr>
      <w:r>
        <w:rPr>
          <w:rStyle w:val="6"/>
          <w:rFonts w:hint="default" w:ascii="Arial" w:hAnsi="Arial" w:cs="Arial"/>
          <w:color w:val="auto"/>
          <w:sz w:val="30"/>
          <w:szCs w:val="30"/>
          <w:shd w:val="clear" w:fill="FFFFFF"/>
        </w:rPr>
        <w:t>二、报名</w:t>
      </w:r>
      <w:r>
        <w:rPr>
          <w:rFonts w:hint="default" w:ascii="Arial" w:hAnsi="Arial" w:cs="Arial"/>
          <w:color w:val="auto"/>
          <w:sz w:val="21"/>
          <w:szCs w:val="21"/>
          <w:shd w:val="clear" w:fill="FFFFFF"/>
        </w:rPr>
        <w:br w:type="textWrapping"/>
      </w:r>
      <w:r>
        <w:rPr>
          <w:rFonts w:hint="default" w:ascii="Arial" w:hAnsi="Arial" w:cs="Arial"/>
          <w:color w:val="auto"/>
          <w:sz w:val="21"/>
          <w:szCs w:val="21"/>
          <w:shd w:val="clear" w:fill="FFFFFF"/>
        </w:rPr>
        <w:t>1．考生报名前应仔细核对本人是否符合报考条件，凡不符合报考条件的考生将不予录取，相关后果由考生本人承担。</w:t>
      </w:r>
      <w:r>
        <w:rPr>
          <w:rFonts w:hint="default" w:ascii="Arial" w:hAnsi="Arial" w:cs="Arial"/>
          <w:color w:val="auto"/>
          <w:sz w:val="21"/>
          <w:szCs w:val="21"/>
          <w:shd w:val="clear" w:fill="FFFFFF"/>
        </w:rPr>
        <w:br w:type="textWrapping"/>
      </w:r>
      <w:r>
        <w:rPr>
          <w:rFonts w:hint="default" w:ascii="Arial" w:hAnsi="Arial" w:cs="Arial"/>
          <w:color w:val="auto"/>
          <w:sz w:val="21"/>
          <w:szCs w:val="21"/>
          <w:shd w:val="clear" w:fill="FFFFFF"/>
        </w:rPr>
        <w:t>2．所有报考我校的考生均须在中国研究生招生信息网上报名（</w:t>
      </w:r>
      <w:r>
        <w:rPr>
          <w:rFonts w:hint="default" w:ascii="Arial" w:hAnsi="Arial" w:cs="Arial"/>
          <w:color w:val="auto"/>
          <w:sz w:val="21"/>
          <w:szCs w:val="21"/>
          <w:u w:val="none"/>
          <w:shd w:val="clear" w:fill="FFFFFF"/>
        </w:rPr>
        <w:fldChar w:fldCharType="begin"/>
      </w:r>
      <w:r>
        <w:rPr>
          <w:rFonts w:hint="default" w:ascii="Arial" w:hAnsi="Arial" w:cs="Arial"/>
          <w:color w:val="auto"/>
          <w:sz w:val="21"/>
          <w:szCs w:val="21"/>
          <w:u w:val="none"/>
          <w:shd w:val="clear" w:fill="FFFFFF"/>
        </w:rPr>
        <w:instrText xml:space="preserve"> HYPERLINK "http://yz.chsi.com.cn/" </w:instrText>
      </w:r>
      <w:r>
        <w:rPr>
          <w:rFonts w:hint="default" w:ascii="Arial" w:hAnsi="Arial" w:cs="Arial"/>
          <w:color w:val="auto"/>
          <w:sz w:val="21"/>
          <w:szCs w:val="21"/>
          <w:u w:val="none"/>
          <w:shd w:val="clear" w:fill="FFFFFF"/>
        </w:rPr>
        <w:fldChar w:fldCharType="separate"/>
      </w:r>
      <w:r>
        <w:rPr>
          <w:rStyle w:val="8"/>
          <w:rFonts w:hint="default" w:ascii="Arial" w:hAnsi="Arial" w:cs="Arial"/>
          <w:color w:val="auto"/>
          <w:sz w:val="21"/>
          <w:szCs w:val="21"/>
          <w:u w:val="none"/>
          <w:shd w:val="clear" w:fill="FFFFFF"/>
        </w:rPr>
        <w:t>http://yz.chsi.com.cn/</w:t>
      </w:r>
      <w:r>
        <w:rPr>
          <w:rFonts w:hint="default" w:ascii="Arial" w:hAnsi="Arial" w:cs="Arial"/>
          <w:color w:val="auto"/>
          <w:sz w:val="21"/>
          <w:szCs w:val="21"/>
          <w:u w:val="none"/>
          <w:shd w:val="clear" w:fill="FFFFFF"/>
        </w:rPr>
        <w:fldChar w:fldCharType="end"/>
      </w:r>
      <w:r>
        <w:rPr>
          <w:rFonts w:hint="default" w:ascii="Arial" w:hAnsi="Arial" w:cs="Arial"/>
          <w:color w:val="auto"/>
          <w:sz w:val="21"/>
          <w:szCs w:val="21"/>
          <w:shd w:val="clear" w:fill="FFFFFF"/>
        </w:rPr>
        <w:t>），报名时间按教育部统一规定，逾期不再补报，也不得再修改报名信息。我校拟录取的推荐免试研究生必须在规定时间内到教育部推免服务系统完成选择报考志愿、缴纳报名费、接受复试确认、接受待录取确认等环节。</w:t>
      </w:r>
      <w:r>
        <w:rPr>
          <w:rFonts w:hint="default" w:ascii="Arial" w:hAnsi="Arial" w:cs="Arial"/>
          <w:color w:val="auto"/>
          <w:sz w:val="21"/>
          <w:szCs w:val="21"/>
          <w:shd w:val="clear" w:fill="FFFFFF"/>
        </w:rPr>
        <w:br w:type="textWrapping"/>
      </w:r>
      <w:r>
        <w:rPr>
          <w:rFonts w:hint="default" w:ascii="Arial" w:hAnsi="Arial" w:cs="Arial"/>
          <w:color w:val="auto"/>
          <w:sz w:val="21"/>
          <w:szCs w:val="21"/>
          <w:shd w:val="clear" w:fill="FFFFFF"/>
        </w:rPr>
        <w:t>3．所有报考我校美术学院的考生、所有报考我校信息艺术设计（专业代码1305J1）的考生、所有报考我校高级管理人员工商管理硕士（EMBA）的考生、所有参加我校单独考试的考生以及北京地区报考我校的统考生、法律硕士联考考生、管理类联考考生均需在清华大学参加初试，在中国研究生招生信息网上报名时必须选择“北京”“清华大学”报考点（报考点代码：1103），选择其它报考点无效。其他考生按照教育部相关政策选择报考点参加初试。</w:t>
      </w:r>
      <w:r>
        <w:rPr>
          <w:rFonts w:hint="default" w:ascii="Arial" w:hAnsi="Arial" w:cs="Arial"/>
          <w:color w:val="auto"/>
          <w:sz w:val="21"/>
          <w:szCs w:val="21"/>
          <w:shd w:val="clear" w:fill="FFFFFF"/>
        </w:rPr>
        <w:br w:type="textWrapping"/>
      </w:r>
      <w:r>
        <w:rPr>
          <w:rFonts w:hint="default" w:ascii="Arial" w:hAnsi="Arial" w:cs="Arial"/>
          <w:b/>
          <w:bCs/>
          <w:color w:val="auto"/>
          <w:sz w:val="21"/>
          <w:szCs w:val="21"/>
          <w:shd w:val="clear" w:fill="FFFFFF"/>
        </w:rPr>
        <w:t>4．凡在清华大学参加初试的考生，必须</w:t>
      </w:r>
      <w:r>
        <w:rPr>
          <w:rFonts w:hint="default" w:ascii="Arial" w:hAnsi="Arial" w:cs="Arial"/>
          <w:color w:val="auto"/>
          <w:sz w:val="21"/>
          <w:szCs w:val="21"/>
          <w:shd w:val="clear" w:fill="FFFFFF"/>
        </w:rPr>
        <w:t>在中国研究生招生信息网报名系统中交纳初试报考费，在交费成功24小时后，必须登录我校网上报名系统上传电子照片并通过照片审核方可参加初试，上传照片截止时间</w:t>
      </w:r>
      <w:r>
        <w:rPr>
          <w:rStyle w:val="6"/>
          <w:rFonts w:hint="default" w:ascii="Arial" w:hAnsi="Arial" w:cs="Arial"/>
          <w:color w:val="auto"/>
          <w:sz w:val="21"/>
          <w:szCs w:val="21"/>
          <w:u w:val="single"/>
          <w:shd w:val="clear" w:fill="FFFFFF"/>
        </w:rPr>
        <w:t>2018年11月5日</w:t>
      </w:r>
      <w:r>
        <w:rPr>
          <w:rFonts w:hint="default" w:ascii="Arial" w:hAnsi="Arial" w:cs="Arial"/>
          <w:color w:val="auto"/>
          <w:sz w:val="21"/>
          <w:szCs w:val="21"/>
          <w:shd w:val="clear" w:fill="FFFFFF"/>
        </w:rPr>
        <w:t>。我校网上报名系统网址为：</w:t>
      </w:r>
      <w:r>
        <w:rPr>
          <w:rFonts w:hint="default" w:ascii="Arial" w:hAnsi="Arial" w:cs="Arial"/>
          <w:color w:val="auto"/>
          <w:sz w:val="21"/>
          <w:szCs w:val="21"/>
          <w:u w:val="none"/>
          <w:shd w:val="clear" w:fill="FFFFFF"/>
        </w:rPr>
        <w:fldChar w:fldCharType="begin"/>
      </w:r>
      <w:r>
        <w:rPr>
          <w:rFonts w:hint="default" w:ascii="Arial" w:hAnsi="Arial" w:cs="Arial"/>
          <w:color w:val="auto"/>
          <w:sz w:val="21"/>
          <w:szCs w:val="21"/>
          <w:u w:val="none"/>
          <w:shd w:val="clear" w:fill="FFFFFF"/>
        </w:rPr>
        <w:instrText xml:space="preserve"> HYPERLINK "http://yz.tsinghua.edu.cn/" </w:instrText>
      </w:r>
      <w:r>
        <w:rPr>
          <w:rFonts w:hint="default" w:ascii="Arial" w:hAnsi="Arial" w:cs="Arial"/>
          <w:color w:val="auto"/>
          <w:sz w:val="21"/>
          <w:szCs w:val="21"/>
          <w:u w:val="none"/>
          <w:shd w:val="clear" w:fill="FFFFFF"/>
        </w:rPr>
        <w:fldChar w:fldCharType="separate"/>
      </w:r>
      <w:r>
        <w:rPr>
          <w:rStyle w:val="8"/>
          <w:rFonts w:hint="default" w:ascii="Arial" w:hAnsi="Arial" w:cs="Arial"/>
          <w:color w:val="auto"/>
          <w:sz w:val="21"/>
          <w:szCs w:val="21"/>
          <w:u w:val="none"/>
          <w:shd w:val="clear" w:fill="FFFFFF"/>
        </w:rPr>
        <w:t>http://yz.tsinghua.edu.cn/</w:t>
      </w:r>
      <w:r>
        <w:rPr>
          <w:rFonts w:hint="default" w:ascii="Arial" w:hAnsi="Arial" w:cs="Arial"/>
          <w:color w:val="auto"/>
          <w:sz w:val="21"/>
          <w:szCs w:val="21"/>
          <w:u w:val="none"/>
          <w:shd w:val="clear" w:fill="FFFFFF"/>
        </w:rPr>
        <w:fldChar w:fldCharType="end"/>
      </w:r>
      <w:r>
        <w:rPr>
          <w:rFonts w:hint="default" w:ascii="Arial" w:hAnsi="Arial" w:cs="Arial"/>
          <w:color w:val="auto"/>
          <w:sz w:val="21"/>
          <w:szCs w:val="21"/>
          <w:shd w:val="clear" w:fill="FFFFFF"/>
        </w:rPr>
        <w:br w:type="textWrapping"/>
      </w:r>
      <w:r>
        <w:rPr>
          <w:rFonts w:hint="default" w:ascii="Arial" w:hAnsi="Arial" w:cs="Arial"/>
          <w:b/>
          <w:bCs/>
          <w:color w:val="auto"/>
          <w:sz w:val="21"/>
          <w:szCs w:val="21"/>
          <w:shd w:val="clear" w:fill="FFFFFF"/>
        </w:rPr>
        <w:t>5．在外地报名点参加初试的考生</w:t>
      </w:r>
      <w:r>
        <w:rPr>
          <w:rFonts w:hint="default" w:ascii="Arial" w:hAnsi="Arial" w:cs="Arial"/>
          <w:color w:val="auto"/>
          <w:sz w:val="21"/>
          <w:szCs w:val="21"/>
          <w:shd w:val="clear" w:fill="FFFFFF"/>
        </w:rPr>
        <w:t>在中国研究生招生信息网上报名后，按照当地报名点的要求交初试报考费、照相。</w:t>
      </w:r>
      <w:r>
        <w:rPr>
          <w:rFonts w:hint="default" w:ascii="Arial" w:hAnsi="Arial" w:cs="Arial"/>
          <w:color w:val="auto"/>
          <w:sz w:val="21"/>
          <w:szCs w:val="21"/>
          <w:shd w:val="clear" w:fill="FFFFFF"/>
        </w:rPr>
        <w:br w:type="textWrapping"/>
      </w:r>
      <w:r>
        <w:rPr>
          <w:rFonts w:hint="default" w:ascii="Arial" w:hAnsi="Arial" w:cs="Arial"/>
          <w:color w:val="auto"/>
          <w:sz w:val="21"/>
          <w:szCs w:val="21"/>
          <w:shd w:val="clear" w:fill="FFFFFF"/>
        </w:rPr>
        <w:t>6．下载打印《准考证》按教育部统一规定时间，凭网报用户名和密码登录中国研究生招生信息网进行信息查询和打印。</w:t>
      </w:r>
    </w:p>
    <w:p>
      <w:pPr>
        <w:pStyle w:val="3"/>
        <w:keepNext w:val="0"/>
        <w:keepLines w:val="0"/>
        <w:widowControl/>
        <w:suppressLineNumbers w:val="0"/>
        <w:spacing w:before="600" w:beforeAutospacing="0" w:after="750" w:afterAutospacing="0" w:line="368" w:lineRule="atLeast"/>
        <w:ind w:left="0" w:right="0"/>
        <w:rPr>
          <w:color w:val="auto"/>
        </w:rPr>
      </w:pPr>
    </w:p>
    <w:p>
      <w:pPr>
        <w:pStyle w:val="3"/>
        <w:keepNext w:val="0"/>
        <w:keepLines w:val="0"/>
        <w:widowControl/>
        <w:suppressLineNumbers w:val="0"/>
        <w:spacing w:before="600" w:beforeAutospacing="0" w:after="750" w:afterAutospacing="0" w:line="368" w:lineRule="atLeast"/>
        <w:ind w:left="0" w:right="0"/>
        <w:rPr>
          <w:color w:val="auto"/>
        </w:rPr>
      </w:pPr>
      <w:r>
        <w:rPr>
          <w:rStyle w:val="6"/>
          <w:rFonts w:hint="default" w:ascii="Arial" w:hAnsi="Arial" w:cs="Arial"/>
          <w:color w:val="auto"/>
          <w:sz w:val="30"/>
          <w:szCs w:val="30"/>
          <w:shd w:val="clear" w:fill="FFFFFF"/>
        </w:rPr>
        <w:t>三、考试</w:t>
      </w:r>
      <w:r>
        <w:rPr>
          <w:rFonts w:hint="default" w:ascii="Arial" w:hAnsi="Arial" w:cs="Arial"/>
          <w:color w:val="auto"/>
          <w:sz w:val="21"/>
          <w:szCs w:val="21"/>
          <w:shd w:val="clear" w:fill="FFFFFF"/>
        </w:rPr>
        <w:br w:type="textWrapping"/>
      </w:r>
      <w:r>
        <w:rPr>
          <w:rFonts w:hint="default" w:ascii="Arial" w:hAnsi="Arial" w:cs="Arial"/>
          <w:color w:val="auto"/>
          <w:sz w:val="21"/>
          <w:szCs w:val="21"/>
          <w:shd w:val="clear" w:fill="FFFFFF"/>
        </w:rPr>
        <w:t>1．入学考试分初试和复试。</w:t>
      </w:r>
      <w:r>
        <w:rPr>
          <w:rFonts w:hint="default" w:ascii="Arial" w:hAnsi="Arial" w:cs="Arial"/>
          <w:color w:val="auto"/>
          <w:sz w:val="21"/>
          <w:szCs w:val="21"/>
          <w:shd w:val="clear" w:fill="FFFFFF"/>
        </w:rPr>
        <w:br w:type="textWrapping"/>
      </w:r>
      <w:r>
        <w:rPr>
          <w:rFonts w:hint="default" w:ascii="Arial" w:hAnsi="Arial" w:cs="Arial"/>
          <w:color w:val="auto"/>
          <w:sz w:val="21"/>
          <w:szCs w:val="21"/>
          <w:shd w:val="clear" w:fill="FFFFFF"/>
        </w:rPr>
        <w:t>2．初试时间按国家教育部统一规定进行，初试科目详见招生专业目录。</w:t>
      </w:r>
      <w:r>
        <w:rPr>
          <w:rFonts w:hint="default" w:ascii="Arial" w:hAnsi="Arial" w:cs="Arial"/>
          <w:color w:val="auto"/>
          <w:sz w:val="21"/>
          <w:szCs w:val="21"/>
          <w:shd w:val="clear" w:fill="FFFFFF"/>
        </w:rPr>
        <w:br w:type="textWrapping"/>
      </w:r>
      <w:r>
        <w:rPr>
          <w:rFonts w:hint="default" w:ascii="Arial" w:hAnsi="Arial" w:cs="Arial"/>
          <w:color w:val="auto"/>
          <w:sz w:val="21"/>
          <w:szCs w:val="21"/>
          <w:shd w:val="clear" w:fill="FFFFFF"/>
        </w:rPr>
        <w:t>3．初试方式均为笔试。</w:t>
      </w:r>
      <w:r>
        <w:rPr>
          <w:rFonts w:hint="default" w:ascii="Arial" w:hAnsi="Arial" w:cs="Arial"/>
          <w:color w:val="auto"/>
          <w:sz w:val="21"/>
          <w:szCs w:val="21"/>
          <w:shd w:val="clear" w:fill="FFFFFF"/>
        </w:rPr>
        <w:br w:type="textWrapping"/>
      </w:r>
      <w:r>
        <w:rPr>
          <w:rFonts w:hint="default" w:ascii="Arial" w:hAnsi="Arial" w:cs="Arial"/>
          <w:color w:val="auto"/>
          <w:sz w:val="21"/>
          <w:szCs w:val="21"/>
          <w:shd w:val="clear" w:fill="FFFFFF"/>
        </w:rPr>
        <w:t>4．初试成绩满足要求的考生都必须参加复试，</w:t>
      </w:r>
      <w:r>
        <w:rPr>
          <w:rFonts w:hint="default" w:ascii="Arial" w:hAnsi="Arial" w:cs="Arial"/>
          <w:b/>
          <w:bCs/>
          <w:color w:val="auto"/>
          <w:sz w:val="21"/>
          <w:szCs w:val="21"/>
          <w:shd w:val="clear" w:fill="FFFFFF"/>
        </w:rPr>
        <w:t>复试统一安排在清华大学，具体时间、地点另行通知。</w:t>
      </w:r>
      <w:r>
        <w:rPr>
          <w:rFonts w:hint="default" w:ascii="Arial" w:hAnsi="Arial" w:cs="Arial"/>
          <w:b/>
          <w:bCs/>
          <w:color w:val="auto"/>
          <w:sz w:val="21"/>
          <w:szCs w:val="21"/>
          <w:shd w:val="clear" w:fill="FFFFFF"/>
        </w:rPr>
        <w:br w:type="textWrapping"/>
      </w:r>
      <w:r>
        <w:rPr>
          <w:rFonts w:hint="default" w:ascii="Arial" w:hAnsi="Arial" w:cs="Arial"/>
          <w:color w:val="auto"/>
          <w:sz w:val="21"/>
          <w:szCs w:val="21"/>
          <w:shd w:val="clear" w:fill="FFFFFF"/>
        </w:rPr>
        <w:t>5．复试包括外国语听力、口语测试和综合复试。综合复试将采取面试加专业知识综合笔试方式。专业知识综合笔试覆盖范围参见招生专业目录中的备注栏。</w:t>
      </w:r>
      <w:r>
        <w:rPr>
          <w:rFonts w:hint="default" w:ascii="Arial" w:hAnsi="Arial" w:cs="Arial"/>
          <w:color w:val="auto"/>
          <w:sz w:val="21"/>
          <w:szCs w:val="21"/>
          <w:shd w:val="clear" w:fill="FFFFFF"/>
        </w:rPr>
        <w:br w:type="textWrapping"/>
      </w:r>
      <w:r>
        <w:rPr>
          <w:rFonts w:hint="default" w:ascii="Arial" w:hAnsi="Arial" w:cs="Arial"/>
          <w:color w:val="auto"/>
          <w:sz w:val="21"/>
          <w:szCs w:val="21"/>
          <w:shd w:val="clear" w:fill="FFFFFF"/>
        </w:rPr>
        <w:t>6．同等学力考生，初试成绩达到复试分数线后须加试两门报考专业的本科主干课程，具体科目待准考后通知（将在复试通知时说明）。</w:t>
      </w:r>
    </w:p>
    <w:p>
      <w:pPr>
        <w:pStyle w:val="3"/>
        <w:keepNext w:val="0"/>
        <w:keepLines w:val="0"/>
        <w:widowControl/>
        <w:suppressLineNumbers w:val="0"/>
        <w:spacing w:before="600" w:beforeAutospacing="0" w:after="750" w:afterAutospacing="0" w:line="368" w:lineRule="atLeast"/>
        <w:ind w:left="0" w:right="0"/>
        <w:rPr>
          <w:color w:val="auto"/>
        </w:rPr>
      </w:pPr>
    </w:p>
    <w:p>
      <w:pPr>
        <w:pStyle w:val="3"/>
        <w:keepNext w:val="0"/>
        <w:keepLines w:val="0"/>
        <w:widowControl/>
        <w:suppressLineNumbers w:val="0"/>
        <w:spacing w:before="600" w:beforeAutospacing="0" w:after="750" w:afterAutospacing="0" w:line="368" w:lineRule="atLeast"/>
        <w:ind w:left="0" w:right="0"/>
        <w:rPr>
          <w:color w:val="auto"/>
        </w:rPr>
      </w:pPr>
      <w:r>
        <w:rPr>
          <w:rStyle w:val="6"/>
          <w:rFonts w:hint="default" w:ascii="Arial" w:hAnsi="Arial" w:cs="Arial"/>
          <w:color w:val="auto"/>
          <w:sz w:val="30"/>
          <w:szCs w:val="30"/>
          <w:shd w:val="clear" w:fill="FFFFFF"/>
        </w:rPr>
        <w:t>四、资格审查</w:t>
      </w:r>
      <w:r>
        <w:rPr>
          <w:rFonts w:hint="default" w:ascii="Arial" w:hAnsi="Arial" w:cs="Arial"/>
          <w:color w:val="auto"/>
          <w:sz w:val="21"/>
          <w:szCs w:val="21"/>
          <w:shd w:val="clear" w:fill="FFFFFF"/>
        </w:rPr>
        <w:br w:type="textWrapping"/>
      </w:r>
      <w:r>
        <w:rPr>
          <w:rFonts w:hint="default" w:ascii="Arial" w:hAnsi="Arial" w:cs="Arial"/>
          <w:color w:val="auto"/>
          <w:sz w:val="21"/>
          <w:szCs w:val="21"/>
          <w:shd w:val="clear" w:fill="FFFFFF"/>
        </w:rPr>
        <w:t>报考清华大学硕士生的考生报考资格审查于复试时统一进行，具体安排见网上通知。</w:t>
      </w:r>
    </w:p>
    <w:p>
      <w:pPr>
        <w:pStyle w:val="3"/>
        <w:keepNext w:val="0"/>
        <w:keepLines w:val="0"/>
        <w:widowControl/>
        <w:suppressLineNumbers w:val="0"/>
        <w:spacing w:before="600" w:beforeAutospacing="0" w:after="750" w:afterAutospacing="0" w:line="368" w:lineRule="atLeast"/>
        <w:ind w:left="0" w:right="0"/>
        <w:rPr>
          <w:color w:val="auto"/>
        </w:rPr>
      </w:pPr>
    </w:p>
    <w:p>
      <w:pPr>
        <w:pStyle w:val="3"/>
        <w:keepNext w:val="0"/>
        <w:keepLines w:val="0"/>
        <w:widowControl/>
        <w:suppressLineNumbers w:val="0"/>
        <w:spacing w:before="600" w:beforeAutospacing="0" w:after="750" w:afterAutospacing="0" w:line="368" w:lineRule="atLeast"/>
        <w:ind w:left="0" w:right="0"/>
        <w:rPr>
          <w:color w:val="auto"/>
        </w:rPr>
      </w:pPr>
      <w:r>
        <w:rPr>
          <w:rStyle w:val="6"/>
          <w:rFonts w:hint="default" w:ascii="Arial" w:hAnsi="Arial" w:cs="Arial"/>
          <w:color w:val="auto"/>
          <w:sz w:val="30"/>
          <w:szCs w:val="30"/>
          <w:shd w:val="clear" w:fill="FFFFFF"/>
        </w:rPr>
        <w:t>五、体检</w:t>
      </w:r>
      <w:r>
        <w:rPr>
          <w:rFonts w:hint="default" w:ascii="Arial" w:hAnsi="Arial" w:cs="Arial"/>
          <w:color w:val="auto"/>
          <w:sz w:val="21"/>
          <w:szCs w:val="21"/>
          <w:shd w:val="clear" w:fill="FFFFFF"/>
        </w:rPr>
        <w:br w:type="textWrapping"/>
      </w:r>
      <w:r>
        <w:rPr>
          <w:rFonts w:hint="default" w:ascii="Arial" w:hAnsi="Arial" w:cs="Arial"/>
          <w:color w:val="auto"/>
          <w:sz w:val="21"/>
          <w:szCs w:val="21"/>
          <w:shd w:val="clear" w:fill="FFFFFF"/>
        </w:rPr>
        <w:t>体检时间安排在考生复试期间，具体时间另行通知。</w:t>
      </w:r>
      <w:r>
        <w:rPr>
          <w:rFonts w:hint="default" w:ascii="Arial" w:hAnsi="Arial" w:cs="Arial"/>
          <w:color w:val="auto"/>
          <w:sz w:val="21"/>
          <w:szCs w:val="21"/>
          <w:shd w:val="clear" w:fill="FFFFFF"/>
        </w:rPr>
        <w:br w:type="textWrapping"/>
      </w:r>
      <w:r>
        <w:rPr>
          <w:rFonts w:hint="default" w:ascii="Arial" w:hAnsi="Arial" w:cs="Arial"/>
          <w:color w:val="auto"/>
          <w:sz w:val="21"/>
          <w:szCs w:val="21"/>
          <w:shd w:val="clear" w:fill="FFFFFF"/>
        </w:rPr>
        <w:t>体检医院：清华大学校医院。</w:t>
      </w:r>
      <w:r>
        <w:rPr>
          <w:rFonts w:hint="default" w:ascii="Arial" w:hAnsi="Arial" w:cs="Arial"/>
          <w:color w:val="auto"/>
          <w:sz w:val="21"/>
          <w:szCs w:val="21"/>
          <w:shd w:val="clear" w:fill="FFFFFF"/>
        </w:rPr>
        <w:br w:type="textWrapping"/>
      </w:r>
      <w:r>
        <w:rPr>
          <w:rFonts w:hint="default" w:ascii="Arial" w:hAnsi="Arial" w:cs="Arial"/>
          <w:color w:val="auto"/>
          <w:sz w:val="21"/>
          <w:szCs w:val="21"/>
          <w:shd w:val="clear" w:fill="FFFFFF"/>
        </w:rPr>
        <w:t>体检标准：参照教育部、卫生部、中国残疾人联合会修订的《普通高等学校招生体检工作指导意见》。</w:t>
      </w:r>
    </w:p>
    <w:p>
      <w:pPr>
        <w:pStyle w:val="3"/>
        <w:keepNext w:val="0"/>
        <w:keepLines w:val="0"/>
        <w:widowControl/>
        <w:suppressLineNumbers w:val="0"/>
        <w:spacing w:before="600" w:beforeAutospacing="0" w:after="750" w:afterAutospacing="0" w:line="368" w:lineRule="atLeast"/>
        <w:ind w:left="0" w:right="0"/>
        <w:rPr>
          <w:color w:val="auto"/>
        </w:rPr>
      </w:pPr>
    </w:p>
    <w:p>
      <w:pPr>
        <w:pStyle w:val="3"/>
        <w:keepNext w:val="0"/>
        <w:keepLines w:val="0"/>
        <w:widowControl/>
        <w:suppressLineNumbers w:val="0"/>
        <w:spacing w:before="600" w:beforeAutospacing="0" w:after="750" w:afterAutospacing="0" w:line="368" w:lineRule="atLeast"/>
        <w:ind w:left="0" w:right="0"/>
        <w:rPr>
          <w:color w:val="auto"/>
        </w:rPr>
      </w:pPr>
      <w:r>
        <w:rPr>
          <w:rStyle w:val="6"/>
          <w:rFonts w:hint="default" w:ascii="Arial" w:hAnsi="Arial" w:cs="Arial"/>
          <w:color w:val="auto"/>
          <w:sz w:val="30"/>
          <w:szCs w:val="30"/>
          <w:shd w:val="clear" w:fill="FFFFFF"/>
        </w:rPr>
        <w:t>六、录取</w:t>
      </w:r>
      <w:r>
        <w:rPr>
          <w:rFonts w:hint="default" w:ascii="Arial" w:hAnsi="Arial" w:cs="Arial"/>
          <w:color w:val="auto"/>
          <w:sz w:val="21"/>
          <w:szCs w:val="21"/>
          <w:shd w:val="clear" w:fill="FFFFFF"/>
        </w:rPr>
        <w:br w:type="textWrapping"/>
      </w:r>
      <w:r>
        <w:rPr>
          <w:rFonts w:hint="default" w:ascii="Arial" w:hAnsi="Arial" w:cs="Arial"/>
          <w:color w:val="auto"/>
          <w:sz w:val="21"/>
          <w:szCs w:val="21"/>
          <w:shd w:val="clear" w:fill="FFFFFF"/>
        </w:rPr>
        <w:t>符合我校报考条件的考生，初试成绩达到清华大学研究生院及招生院系规定的基本要求，经复试及综合考察其平时学习成绩和思想政治表现、业务素质以及身体健康状况，在招生计划内择优录取，宁缺毋滥。拟录取的非定向就业类别硕士生，须调档审查合格后，发给录取通知书；其他类别需在录取前签订相应协议书。</w:t>
      </w:r>
      <w:r>
        <w:rPr>
          <w:rFonts w:hint="default" w:ascii="Arial" w:hAnsi="Arial" w:cs="Arial"/>
          <w:b/>
          <w:bCs/>
          <w:color w:val="auto"/>
          <w:sz w:val="21"/>
          <w:szCs w:val="21"/>
          <w:shd w:val="clear" w:fill="FFFFFF"/>
        </w:rPr>
        <w:t>录取考生于2019年秋季入学，报到时须携带本人录取通知书和本科毕业证书原件。</w:t>
      </w:r>
    </w:p>
    <w:p>
      <w:pPr>
        <w:pStyle w:val="3"/>
        <w:keepNext w:val="0"/>
        <w:keepLines w:val="0"/>
        <w:widowControl/>
        <w:suppressLineNumbers w:val="0"/>
        <w:spacing w:before="600" w:beforeAutospacing="0" w:after="750" w:afterAutospacing="0" w:line="368" w:lineRule="atLeast"/>
        <w:ind w:left="0" w:right="0"/>
        <w:rPr>
          <w:color w:val="auto"/>
        </w:rPr>
      </w:pPr>
    </w:p>
    <w:p>
      <w:pPr>
        <w:pStyle w:val="3"/>
        <w:keepNext w:val="0"/>
        <w:keepLines w:val="0"/>
        <w:widowControl/>
        <w:suppressLineNumbers w:val="0"/>
        <w:spacing w:before="600" w:beforeAutospacing="0" w:after="750" w:afterAutospacing="0" w:line="368" w:lineRule="atLeast"/>
        <w:ind w:left="0" w:right="0"/>
        <w:rPr>
          <w:color w:val="auto"/>
        </w:rPr>
      </w:pPr>
      <w:r>
        <w:rPr>
          <w:rStyle w:val="6"/>
          <w:rFonts w:hint="default" w:ascii="Arial" w:hAnsi="Arial" w:cs="Arial"/>
          <w:color w:val="auto"/>
          <w:sz w:val="30"/>
          <w:szCs w:val="30"/>
          <w:shd w:val="clear" w:fill="FFFFFF"/>
        </w:rPr>
        <w:t>七、 其它说明</w:t>
      </w:r>
      <w:r>
        <w:rPr>
          <w:rFonts w:hint="default" w:ascii="Arial" w:hAnsi="Arial" w:cs="Arial"/>
          <w:color w:val="auto"/>
          <w:sz w:val="21"/>
          <w:szCs w:val="21"/>
          <w:shd w:val="clear" w:fill="FFFFFF"/>
        </w:rPr>
        <w:br w:type="textWrapping"/>
      </w:r>
      <w:r>
        <w:rPr>
          <w:rFonts w:hint="default" w:ascii="Arial" w:hAnsi="Arial" w:cs="Arial"/>
          <w:color w:val="auto"/>
          <w:sz w:val="21"/>
          <w:szCs w:val="21"/>
          <w:shd w:val="clear" w:fill="FFFFFF"/>
        </w:rPr>
        <w:t>1.除招生专业目录上特殊说明的项目外，一般在北京校本部培养。部分专业招收在清华大学深圳研究生院攻读硕士学位的研究生，招生人数见招生专业目录备注栏。清华大学深圳研究生院是国家教育部正式批准的，其录取标准、培养要求、学位授予与清华大学研究生院完全一致。</w:t>
      </w:r>
      <w:r>
        <w:rPr>
          <w:rFonts w:hint="default" w:ascii="Arial" w:hAnsi="Arial" w:cs="Arial"/>
          <w:b/>
          <w:bCs/>
          <w:color w:val="auto"/>
          <w:sz w:val="21"/>
          <w:szCs w:val="21"/>
          <w:shd w:val="clear" w:fill="FFFFFF"/>
        </w:rPr>
        <w:t>深圳研究生院学生一般全程在深圳培养，不安排校本部住宿，集成电路工程领域硕士、大数据工程硕士除外，具体住宿安排见</w:t>
      </w:r>
      <w:r>
        <w:rPr>
          <w:rFonts w:hint="default" w:ascii="Arial" w:hAnsi="Arial" w:cs="Arial"/>
          <w:color w:val="auto"/>
          <w:sz w:val="21"/>
          <w:szCs w:val="21"/>
          <w:shd w:val="clear" w:fill="FFFFFF"/>
        </w:rPr>
        <w:t>深圳研究生院网站</w:t>
      </w:r>
      <w:r>
        <w:rPr>
          <w:rFonts w:hint="default" w:ascii="Arial" w:hAnsi="Arial" w:cs="Arial"/>
          <w:color w:val="auto"/>
          <w:sz w:val="21"/>
          <w:szCs w:val="21"/>
          <w:u w:val="none"/>
          <w:shd w:val="clear" w:fill="FFFFFF"/>
        </w:rPr>
        <w:fldChar w:fldCharType="begin"/>
      </w:r>
      <w:r>
        <w:rPr>
          <w:rFonts w:hint="default" w:ascii="Arial" w:hAnsi="Arial" w:cs="Arial"/>
          <w:color w:val="auto"/>
          <w:sz w:val="21"/>
          <w:szCs w:val="21"/>
          <w:u w:val="none"/>
          <w:shd w:val="clear" w:fill="FFFFFF"/>
        </w:rPr>
        <w:instrText xml:space="preserve"> HYPERLINK "http://www.sz.tsinghua.edu.cn" </w:instrText>
      </w:r>
      <w:r>
        <w:rPr>
          <w:rFonts w:hint="default" w:ascii="Arial" w:hAnsi="Arial" w:cs="Arial"/>
          <w:color w:val="auto"/>
          <w:sz w:val="21"/>
          <w:szCs w:val="21"/>
          <w:u w:val="none"/>
          <w:shd w:val="clear" w:fill="FFFFFF"/>
        </w:rPr>
        <w:fldChar w:fldCharType="separate"/>
      </w:r>
      <w:r>
        <w:rPr>
          <w:rStyle w:val="8"/>
          <w:rFonts w:hint="default" w:ascii="Arial" w:hAnsi="Arial" w:cs="Arial"/>
          <w:color w:val="auto"/>
          <w:sz w:val="21"/>
          <w:szCs w:val="21"/>
          <w:u w:val="none"/>
          <w:shd w:val="clear" w:fill="FFFFFF"/>
        </w:rPr>
        <w:t>http://www.sz.tsinghua.edu.cn</w:t>
      </w:r>
      <w:r>
        <w:rPr>
          <w:rFonts w:hint="default" w:ascii="Arial" w:hAnsi="Arial" w:cs="Arial"/>
          <w:color w:val="auto"/>
          <w:sz w:val="21"/>
          <w:szCs w:val="21"/>
          <w:u w:val="none"/>
          <w:shd w:val="clear" w:fill="FFFFFF"/>
        </w:rPr>
        <w:fldChar w:fldCharType="end"/>
      </w:r>
      <w:r>
        <w:rPr>
          <w:rFonts w:hint="default" w:ascii="Arial" w:hAnsi="Arial" w:cs="Arial"/>
          <w:color w:val="auto"/>
          <w:sz w:val="21"/>
          <w:szCs w:val="21"/>
          <w:shd w:val="clear" w:fill="FFFFFF"/>
        </w:rPr>
        <w:br w:type="textWrapping"/>
      </w:r>
      <w:r>
        <w:rPr>
          <w:rFonts w:hint="default" w:ascii="Arial" w:hAnsi="Arial" w:cs="Arial"/>
          <w:b/>
          <w:bCs/>
          <w:color w:val="auto"/>
          <w:sz w:val="21"/>
          <w:szCs w:val="21"/>
          <w:shd w:val="clear" w:fill="FFFFFF"/>
        </w:rPr>
        <w:t>2.我校按照国家和北京市规定向所有研究生收取学费(学费标准附后)，同时设立奖助学金用于支持学生完成学业。研究生奖助相关规定请参见我校研究生招生网“政策法规”栏目《清华大学研究生奖助工作实施办法》。</w:t>
      </w:r>
      <w:r>
        <w:rPr>
          <w:rFonts w:hint="default" w:ascii="Arial" w:hAnsi="Arial" w:cs="Arial"/>
          <w:b/>
          <w:bCs/>
          <w:color w:val="auto"/>
          <w:sz w:val="21"/>
          <w:szCs w:val="21"/>
          <w:shd w:val="clear" w:fill="FFFFFF"/>
        </w:rPr>
        <w:br w:type="textWrapping"/>
      </w:r>
      <w:r>
        <w:rPr>
          <w:rFonts w:hint="default" w:ascii="Arial" w:hAnsi="Arial" w:cs="Arial"/>
          <w:color w:val="auto"/>
          <w:sz w:val="21"/>
          <w:szCs w:val="21"/>
          <w:shd w:val="clear" w:fill="FFFFFF"/>
        </w:rPr>
        <w:t>3.各院系招生人数除特别说明外均不包括推荐免试生。如遇国家计划调整或推免生计划调整，统考招生计划后续可能会发生计划调整。</w:t>
      </w:r>
      <w:r>
        <w:rPr>
          <w:rFonts w:hint="default" w:ascii="Arial" w:hAnsi="Arial" w:cs="Arial"/>
          <w:color w:val="auto"/>
          <w:sz w:val="21"/>
          <w:szCs w:val="21"/>
          <w:shd w:val="clear" w:fill="FFFFFF"/>
        </w:rPr>
        <w:br w:type="textWrapping"/>
      </w:r>
      <w:r>
        <w:rPr>
          <w:rFonts w:hint="default" w:ascii="Arial" w:hAnsi="Arial" w:cs="Arial"/>
          <w:color w:val="auto"/>
          <w:sz w:val="21"/>
          <w:szCs w:val="21"/>
          <w:shd w:val="clear" w:fill="FFFFFF"/>
        </w:rPr>
        <w:t>4.请考生在安全场所上网报名、支付报考费，因自己操作失误或网上支付帐号和密码泄漏造成的损失，我校概不负责。网上支付报考费前务必慎重考虑，因各种原因不能参加考试者，已支付的报考费不退。</w:t>
      </w:r>
      <w:r>
        <w:rPr>
          <w:rFonts w:hint="default" w:ascii="Arial" w:hAnsi="Arial" w:cs="Arial"/>
          <w:color w:val="auto"/>
          <w:sz w:val="21"/>
          <w:szCs w:val="21"/>
          <w:shd w:val="clear" w:fill="FFFFFF"/>
        </w:rPr>
        <w:br w:type="textWrapping"/>
      </w:r>
      <w:r>
        <w:rPr>
          <w:rFonts w:hint="default" w:ascii="Arial" w:hAnsi="Arial" w:cs="Arial"/>
          <w:color w:val="auto"/>
          <w:sz w:val="21"/>
          <w:szCs w:val="21"/>
          <w:shd w:val="clear" w:fill="FFFFFF"/>
        </w:rPr>
        <w:t>5.2019年我校按照教育部要求招收强军计划、退役大学生士兵计划、少数民族高层次骨干人才计划研究生。</w:t>
      </w:r>
      <w:r>
        <w:rPr>
          <w:rFonts w:hint="default" w:ascii="Arial" w:hAnsi="Arial" w:cs="Arial"/>
          <w:color w:val="auto"/>
          <w:sz w:val="21"/>
          <w:szCs w:val="21"/>
          <w:shd w:val="clear" w:fill="FFFFFF"/>
        </w:rPr>
        <w:br w:type="textWrapping"/>
      </w:r>
      <w:r>
        <w:rPr>
          <w:rFonts w:hint="default" w:ascii="Arial" w:hAnsi="Arial" w:cs="Arial"/>
          <w:b/>
          <w:bCs/>
          <w:color w:val="auto"/>
          <w:sz w:val="21"/>
          <w:szCs w:val="21"/>
          <w:shd w:val="clear" w:fill="FFFFFF"/>
        </w:rPr>
        <w:t>6.复试时应届本科毕业生须由考生所在学校出具成绩单原件；在职人员须提交原所在学校出具的成绩单原件或本人档案中《在校历年学习成绩表》复印件并加盖所在单位人事部门公章。</w:t>
      </w:r>
      <w:r>
        <w:rPr>
          <w:rFonts w:hint="default" w:ascii="Arial" w:hAnsi="Arial" w:cs="Arial"/>
          <w:color w:val="auto"/>
          <w:sz w:val="21"/>
          <w:szCs w:val="21"/>
          <w:shd w:val="clear" w:fill="FFFFFF"/>
        </w:rPr>
        <w:br w:type="textWrapping"/>
      </w:r>
      <w:r>
        <w:rPr>
          <w:rFonts w:hint="default" w:ascii="Arial" w:hAnsi="Arial" w:cs="Arial"/>
          <w:color w:val="auto"/>
          <w:sz w:val="21"/>
          <w:szCs w:val="21"/>
          <w:shd w:val="clear" w:fill="FFFFFF"/>
        </w:rPr>
        <w:t>7.清华大学不允许研究生同时有两个及以上学籍。</w:t>
      </w:r>
      <w:r>
        <w:rPr>
          <w:rFonts w:hint="default" w:ascii="Arial" w:hAnsi="Arial" w:cs="Arial"/>
          <w:color w:val="auto"/>
          <w:sz w:val="21"/>
          <w:szCs w:val="21"/>
          <w:shd w:val="clear" w:fill="FFFFFF"/>
        </w:rPr>
        <w:br w:type="textWrapping"/>
      </w:r>
      <w:r>
        <w:rPr>
          <w:rFonts w:hint="default" w:ascii="Arial" w:hAnsi="Arial" w:cs="Arial"/>
          <w:color w:val="auto"/>
          <w:sz w:val="21"/>
          <w:szCs w:val="21"/>
          <w:shd w:val="clear" w:fill="FFFFFF"/>
        </w:rPr>
        <w:t>8.凡弄虚作假、违反考试纪律的考生，我校将不予录取，并按照有关规定严肃处理。</w:t>
      </w:r>
      <w:r>
        <w:rPr>
          <w:rFonts w:hint="default" w:ascii="Arial" w:hAnsi="Arial" w:cs="Arial"/>
          <w:color w:val="auto"/>
          <w:sz w:val="21"/>
          <w:szCs w:val="21"/>
          <w:shd w:val="clear" w:fill="FFFFFF"/>
        </w:rPr>
        <w:br w:type="textWrapping"/>
      </w:r>
      <w:r>
        <w:rPr>
          <w:rFonts w:hint="default" w:ascii="Arial" w:hAnsi="Arial" w:cs="Arial"/>
          <w:color w:val="auto"/>
          <w:sz w:val="21"/>
          <w:szCs w:val="21"/>
          <w:shd w:val="clear" w:fill="FFFFFF"/>
        </w:rPr>
        <w:t>9.在我校住宿的研究生应缴纳住宿费，2018年录取的硕士生学校住宿收费标准上限为600元/学期·人，2019年住宿费标准将在发放录取通知书时说明。因学校学生宿舍资源紧张，院系计划外名额招收的硕士生和定向就业类别（不转档案）硕士生不安排学生宿舍住宿。</w:t>
      </w:r>
      <w:r>
        <w:rPr>
          <w:rFonts w:hint="default" w:ascii="Arial" w:hAnsi="Arial" w:cs="Arial"/>
          <w:color w:val="auto"/>
          <w:sz w:val="21"/>
          <w:szCs w:val="21"/>
          <w:shd w:val="clear" w:fill="FFFFFF"/>
        </w:rPr>
        <w:br w:type="textWrapping"/>
      </w:r>
      <w:r>
        <w:rPr>
          <w:rFonts w:hint="default" w:ascii="Arial" w:hAnsi="Arial" w:cs="Arial"/>
          <w:color w:val="auto"/>
          <w:sz w:val="21"/>
          <w:szCs w:val="21"/>
          <w:shd w:val="clear" w:fill="FFFFFF"/>
        </w:rPr>
        <w:t>10.清华大学学位评定委员会2015年第二次全体会议讨论决定，自2016年起不在同一学科或专业学位类别多次授予同一人同一学位。</w:t>
      </w:r>
      <w:r>
        <w:rPr>
          <w:rFonts w:hint="default" w:ascii="Arial" w:hAnsi="Arial" w:cs="Arial"/>
          <w:color w:val="auto"/>
          <w:sz w:val="21"/>
          <w:szCs w:val="21"/>
          <w:shd w:val="clear" w:fill="FFFFFF"/>
        </w:rPr>
        <w:br w:type="textWrapping"/>
      </w:r>
      <w:r>
        <w:rPr>
          <w:rFonts w:hint="default" w:ascii="Arial" w:hAnsi="Arial" w:cs="Arial"/>
          <w:color w:val="auto"/>
          <w:sz w:val="21"/>
          <w:szCs w:val="21"/>
          <w:shd w:val="clear" w:fill="FFFFFF"/>
        </w:rPr>
        <w:t>11.招生过程中，如果上级部门出台新的政策或安排，我校将做相应调整。</w:t>
      </w:r>
    </w:p>
    <w:p>
      <w:pPr>
        <w:pStyle w:val="3"/>
        <w:keepNext w:val="0"/>
        <w:keepLines w:val="0"/>
        <w:widowControl/>
        <w:suppressLineNumbers w:val="0"/>
        <w:spacing w:before="600" w:beforeAutospacing="0" w:after="750" w:afterAutospacing="0" w:line="368" w:lineRule="atLeast"/>
        <w:ind w:left="0" w:right="0"/>
        <w:rPr>
          <w:color w:val="auto"/>
        </w:rPr>
      </w:pPr>
    </w:p>
    <w:p>
      <w:pPr>
        <w:pStyle w:val="3"/>
        <w:keepNext w:val="0"/>
        <w:keepLines w:val="0"/>
        <w:widowControl/>
        <w:suppressLineNumbers w:val="0"/>
        <w:spacing w:before="600" w:beforeAutospacing="0" w:after="750" w:afterAutospacing="0" w:line="368" w:lineRule="atLeast"/>
        <w:ind w:left="0" w:right="0"/>
        <w:rPr>
          <w:color w:val="auto"/>
        </w:rPr>
      </w:pPr>
      <w:r>
        <w:rPr>
          <w:rStyle w:val="6"/>
          <w:rFonts w:hint="default" w:ascii="Arial" w:hAnsi="Arial" w:cs="Arial"/>
          <w:color w:val="auto"/>
          <w:sz w:val="30"/>
          <w:szCs w:val="30"/>
          <w:shd w:val="clear" w:fill="FFFFFF"/>
        </w:rPr>
        <w:t>八、信息查询、联系方式</w:t>
      </w:r>
      <w:r>
        <w:rPr>
          <w:rFonts w:hint="default" w:ascii="Arial" w:hAnsi="Arial" w:cs="Arial"/>
          <w:color w:val="auto"/>
          <w:sz w:val="21"/>
          <w:szCs w:val="21"/>
          <w:shd w:val="clear" w:fill="FFFFFF"/>
        </w:rPr>
        <w:br w:type="textWrapping"/>
      </w:r>
      <w:r>
        <w:rPr>
          <w:rFonts w:hint="default" w:ascii="Arial" w:hAnsi="Arial" w:cs="Arial"/>
          <w:color w:val="auto"/>
          <w:sz w:val="21"/>
          <w:szCs w:val="21"/>
          <w:shd w:val="clear" w:fill="FFFFFF"/>
        </w:rPr>
        <w:t>1．我校研究生招生信息主页网址：</w:t>
      </w:r>
      <w:r>
        <w:rPr>
          <w:rFonts w:hint="default" w:ascii="Arial" w:hAnsi="Arial" w:cs="Arial"/>
          <w:color w:val="auto"/>
          <w:sz w:val="21"/>
          <w:szCs w:val="21"/>
          <w:u w:val="none"/>
          <w:shd w:val="clear" w:fill="FFFFFF"/>
        </w:rPr>
        <w:fldChar w:fldCharType="begin"/>
      </w:r>
      <w:r>
        <w:rPr>
          <w:rFonts w:hint="default" w:ascii="Arial" w:hAnsi="Arial" w:cs="Arial"/>
          <w:color w:val="auto"/>
          <w:sz w:val="21"/>
          <w:szCs w:val="21"/>
          <w:u w:val="none"/>
          <w:shd w:val="clear" w:fill="FFFFFF"/>
        </w:rPr>
        <w:instrText xml:space="preserve"> HYPERLINK "http://yz.tsinghua.edu.cn/" </w:instrText>
      </w:r>
      <w:r>
        <w:rPr>
          <w:rFonts w:hint="default" w:ascii="Arial" w:hAnsi="Arial" w:cs="Arial"/>
          <w:color w:val="auto"/>
          <w:sz w:val="21"/>
          <w:szCs w:val="21"/>
          <w:u w:val="none"/>
          <w:shd w:val="clear" w:fill="FFFFFF"/>
        </w:rPr>
        <w:fldChar w:fldCharType="separate"/>
      </w:r>
      <w:r>
        <w:rPr>
          <w:rStyle w:val="8"/>
          <w:rFonts w:hint="default" w:ascii="Arial" w:hAnsi="Arial" w:cs="Arial"/>
          <w:color w:val="auto"/>
          <w:sz w:val="21"/>
          <w:szCs w:val="21"/>
          <w:u w:val="none"/>
          <w:shd w:val="clear" w:fill="FFFFFF"/>
        </w:rPr>
        <w:t>http://yz.tsinghua.edu.cn/</w:t>
      </w:r>
      <w:r>
        <w:rPr>
          <w:rFonts w:hint="default" w:ascii="Arial" w:hAnsi="Arial" w:cs="Arial"/>
          <w:color w:val="auto"/>
          <w:sz w:val="21"/>
          <w:szCs w:val="21"/>
          <w:u w:val="none"/>
          <w:shd w:val="clear" w:fill="FFFFFF"/>
        </w:rPr>
        <w:fldChar w:fldCharType="end"/>
      </w:r>
      <w:r>
        <w:rPr>
          <w:rFonts w:hint="default" w:ascii="Arial" w:hAnsi="Arial" w:cs="Arial"/>
          <w:color w:val="auto"/>
          <w:sz w:val="21"/>
          <w:szCs w:val="21"/>
          <w:shd w:val="clear" w:fill="FFFFFF"/>
        </w:rPr>
        <w:br w:type="textWrapping"/>
      </w:r>
      <w:r>
        <w:rPr>
          <w:rFonts w:hint="default" w:ascii="Arial" w:hAnsi="Arial" w:cs="Arial"/>
          <w:color w:val="auto"/>
          <w:sz w:val="21"/>
          <w:szCs w:val="21"/>
          <w:shd w:val="clear" w:fill="FFFFFF"/>
        </w:rPr>
        <w:t>2．我校研究生招生办公室位于清华大学二校门东侧</w:t>
      </w:r>
      <w:r>
        <w:rPr>
          <w:rFonts w:hint="default" w:ascii="Arial" w:hAnsi="Arial" w:cs="Arial"/>
          <w:color w:val="auto"/>
          <w:sz w:val="21"/>
          <w:szCs w:val="21"/>
          <w:shd w:val="clear" w:fill="FFFFFF"/>
        </w:rPr>
        <w:br w:type="textWrapping"/>
      </w:r>
      <w:r>
        <w:rPr>
          <w:rFonts w:hint="default" w:ascii="Arial" w:hAnsi="Arial" w:cs="Arial"/>
          <w:color w:val="auto"/>
          <w:sz w:val="21"/>
          <w:szCs w:val="21"/>
          <w:shd w:val="clear" w:fill="FFFFFF"/>
        </w:rPr>
        <w:t>通讯地址：北京海淀区清华大学研究生招生办公室    邮政编码：100084</w:t>
      </w:r>
      <w:r>
        <w:rPr>
          <w:rFonts w:hint="default" w:ascii="Arial" w:hAnsi="Arial" w:cs="Arial"/>
          <w:color w:val="auto"/>
          <w:sz w:val="21"/>
          <w:szCs w:val="21"/>
          <w:shd w:val="clear" w:fill="FFFFFF"/>
        </w:rPr>
        <w:br w:type="textWrapping"/>
      </w:r>
      <w:r>
        <w:rPr>
          <w:rFonts w:hint="default" w:ascii="Arial" w:hAnsi="Arial" w:cs="Arial"/>
          <w:color w:val="auto"/>
          <w:sz w:val="21"/>
          <w:szCs w:val="21"/>
          <w:shd w:val="clear" w:fill="FFFFFF"/>
        </w:rPr>
        <w:t>咨询电话：010-62782192</w:t>
      </w:r>
      <w:r>
        <w:rPr>
          <w:rFonts w:hint="default" w:ascii="Arial" w:hAnsi="Arial" w:cs="Arial"/>
          <w:color w:val="auto"/>
          <w:sz w:val="21"/>
          <w:szCs w:val="21"/>
          <w:shd w:val="clear" w:fill="FFFFFF"/>
        </w:rPr>
        <w:br w:type="textWrapping"/>
      </w:r>
      <w:r>
        <w:rPr>
          <w:rFonts w:hint="default" w:ascii="Arial" w:hAnsi="Arial" w:cs="Arial"/>
          <w:color w:val="auto"/>
          <w:sz w:val="21"/>
          <w:szCs w:val="21"/>
          <w:shd w:val="clear" w:fill="FFFFFF"/>
        </w:rPr>
        <w:t>传    真：010-62770325</w:t>
      </w:r>
      <w:r>
        <w:rPr>
          <w:rFonts w:hint="default" w:ascii="Arial" w:hAnsi="Arial" w:cs="Arial"/>
          <w:color w:val="auto"/>
          <w:sz w:val="21"/>
          <w:szCs w:val="21"/>
          <w:shd w:val="clear" w:fill="FFFFFF"/>
        </w:rPr>
        <w:br w:type="textWrapping"/>
      </w:r>
      <w:r>
        <w:rPr>
          <w:rFonts w:hint="default" w:ascii="Arial" w:hAnsi="Arial" w:cs="Arial"/>
          <w:color w:val="auto"/>
          <w:sz w:val="21"/>
          <w:szCs w:val="21"/>
          <w:shd w:val="clear" w:fill="FFFFFF"/>
        </w:rPr>
        <w:t>电子邮件：</w:t>
      </w:r>
      <w:r>
        <w:rPr>
          <w:rFonts w:hint="default" w:ascii="Arial" w:hAnsi="Arial" w:cs="Arial"/>
          <w:color w:val="auto"/>
          <w:sz w:val="21"/>
          <w:szCs w:val="21"/>
          <w:u w:val="none"/>
          <w:shd w:val="clear" w:fill="FFFFFF"/>
        </w:rPr>
        <w:fldChar w:fldCharType="begin"/>
      </w:r>
      <w:r>
        <w:rPr>
          <w:rFonts w:hint="default" w:ascii="Arial" w:hAnsi="Arial" w:cs="Arial"/>
          <w:color w:val="auto"/>
          <w:sz w:val="21"/>
          <w:szCs w:val="21"/>
          <w:u w:val="none"/>
          <w:shd w:val="clear" w:fill="FFFFFF"/>
        </w:rPr>
        <w:instrText xml:space="preserve"> HYPERLINK "mailto:yjszb@mail.tsinghua.edu.cn" </w:instrText>
      </w:r>
      <w:r>
        <w:rPr>
          <w:rFonts w:hint="default" w:ascii="Arial" w:hAnsi="Arial" w:cs="Arial"/>
          <w:color w:val="auto"/>
          <w:sz w:val="21"/>
          <w:szCs w:val="21"/>
          <w:u w:val="none"/>
          <w:shd w:val="clear" w:fill="FFFFFF"/>
        </w:rPr>
        <w:fldChar w:fldCharType="separate"/>
      </w:r>
      <w:r>
        <w:rPr>
          <w:rStyle w:val="8"/>
          <w:rFonts w:hint="default" w:ascii="Arial" w:hAnsi="Arial" w:cs="Arial"/>
          <w:color w:val="auto"/>
          <w:sz w:val="21"/>
          <w:szCs w:val="21"/>
          <w:u w:val="none"/>
          <w:shd w:val="clear" w:fill="FFFFFF"/>
        </w:rPr>
        <w:t>yjszb@mail.tsinghua.edu.cn</w:t>
      </w:r>
      <w:r>
        <w:rPr>
          <w:rFonts w:hint="default" w:ascii="Arial" w:hAnsi="Arial" w:cs="Arial"/>
          <w:color w:val="auto"/>
          <w:sz w:val="21"/>
          <w:szCs w:val="21"/>
          <w:u w:val="none"/>
          <w:shd w:val="clear" w:fill="FFFFFF"/>
        </w:rPr>
        <w:fldChar w:fldCharType="end"/>
      </w:r>
      <w:r>
        <w:rPr>
          <w:rFonts w:hint="default" w:ascii="Arial" w:hAnsi="Arial" w:cs="Arial"/>
          <w:color w:val="auto"/>
          <w:sz w:val="21"/>
          <w:szCs w:val="21"/>
          <w:shd w:val="clear" w:fill="FFFFFF"/>
        </w:rPr>
        <w:br w:type="textWrapping"/>
      </w:r>
      <w:r>
        <w:rPr>
          <w:rFonts w:hint="default" w:ascii="Arial" w:hAnsi="Arial" w:cs="Arial"/>
          <w:color w:val="auto"/>
          <w:sz w:val="21"/>
          <w:szCs w:val="21"/>
          <w:shd w:val="clear" w:fill="FFFFFF"/>
        </w:rPr>
        <w:t>3．清华大学查号台：010-62793001</w:t>
      </w:r>
    </w:p>
    <w:p>
      <w:pPr>
        <w:pStyle w:val="3"/>
        <w:keepNext w:val="0"/>
        <w:keepLines w:val="0"/>
        <w:widowControl/>
        <w:suppressLineNumbers w:val="0"/>
        <w:spacing w:before="600" w:beforeAutospacing="0" w:after="750" w:afterAutospacing="0" w:line="360" w:lineRule="atLeast"/>
        <w:ind w:left="0" w:right="0"/>
        <w:rPr>
          <w:color w:val="auto"/>
        </w:rPr>
      </w:pPr>
      <w:r>
        <w:rPr>
          <w:rFonts w:hint="default" w:ascii="Arial" w:hAnsi="Arial" w:cs="Arial"/>
          <w:color w:val="auto"/>
          <w:sz w:val="21"/>
          <w:szCs w:val="21"/>
          <w:shd w:val="clear" w:fill="FFFFFF"/>
        </w:rPr>
        <w:t> </w:t>
      </w:r>
    </w:p>
    <w:p>
      <w:pPr>
        <w:pStyle w:val="3"/>
        <w:keepNext w:val="0"/>
        <w:keepLines w:val="0"/>
        <w:widowControl/>
        <w:suppressLineNumbers w:val="0"/>
        <w:spacing w:before="600" w:beforeAutospacing="0" w:after="900" w:afterAutospacing="0" w:line="312" w:lineRule="auto"/>
        <w:ind w:left="0" w:right="0"/>
        <w:rPr>
          <w:color w:val="auto"/>
        </w:rPr>
      </w:pPr>
      <w:r>
        <w:rPr>
          <w:rFonts w:hint="default" w:ascii="Times New Roman" w:hAnsi="Times New Roman" w:cs="Times New Roman"/>
          <w:color w:val="auto"/>
          <w:sz w:val="24"/>
          <w:szCs w:val="24"/>
          <w:shd w:val="clear" w:fill="FFFFFF"/>
        </w:rPr>
        <w:t> </w:t>
      </w:r>
    </w:p>
    <w:p>
      <w:pPr>
        <w:pStyle w:val="3"/>
        <w:keepNext w:val="0"/>
        <w:keepLines w:val="0"/>
        <w:widowControl/>
        <w:suppressLineNumbers w:val="0"/>
        <w:spacing w:before="600" w:beforeAutospacing="0" w:after="900" w:afterAutospacing="0" w:line="312" w:lineRule="auto"/>
        <w:ind w:left="0" w:right="0"/>
        <w:rPr>
          <w:color w:val="auto"/>
        </w:rPr>
      </w:pPr>
      <w:r>
        <w:rPr>
          <w:rStyle w:val="6"/>
          <w:rFonts w:ascii="楷体" w:hAnsi="楷体" w:eastAsia="楷体" w:cs="楷体"/>
          <w:color w:val="auto"/>
          <w:sz w:val="28"/>
          <w:szCs w:val="28"/>
          <w:shd w:val="clear" w:fill="FFFFFF"/>
        </w:rPr>
        <w:t>我校招生院系联系方式：</w:t>
      </w:r>
    </w:p>
    <w:tbl>
      <w:tblPr>
        <w:tblStyle w:val="4"/>
        <w:tblW w:w="777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95"/>
        <w:gridCol w:w="3176"/>
        <w:gridCol w:w="32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01" w:hRule="atLeast"/>
          <w:tblCellSpacing w:w="0" w:type="dxa"/>
        </w:trPr>
        <w:tc>
          <w:tcPr>
            <w:tcW w:w="1295" w:type="dxa"/>
            <w:tcBorders>
              <w:top w:val="single" w:color="auto" w:sz="12" w:space="0"/>
              <w:left w:val="nil"/>
              <w:bottom w:val="single" w:color="auto" w:sz="12" w:space="0"/>
              <w:right w:val="nil"/>
            </w:tcBorders>
            <w:shd w:val="clear" w:color="auto" w:fill="auto"/>
            <w:noWrap/>
            <w:tcMar>
              <w:left w:w="105" w:type="dxa"/>
              <w:right w:w="105" w:type="dxa"/>
            </w:tcMar>
            <w:vAlign w:val="center"/>
          </w:tcPr>
          <w:p>
            <w:pPr>
              <w:pStyle w:val="3"/>
              <w:keepNext w:val="0"/>
              <w:keepLines w:val="0"/>
              <w:widowControl/>
              <w:suppressLineNumbers w:val="0"/>
              <w:jc w:val="center"/>
              <w:rPr>
                <w:color w:val="auto"/>
              </w:rPr>
            </w:pPr>
            <w:r>
              <w:rPr>
                <w:rStyle w:val="6"/>
                <w:rFonts w:ascii="华文楷体" w:hAnsi="华文楷体" w:eastAsia="华文楷体" w:cs="华文楷体"/>
                <w:color w:val="auto"/>
                <w:sz w:val="24"/>
                <w:szCs w:val="24"/>
              </w:rPr>
              <w:t>单位代码</w:t>
            </w:r>
          </w:p>
        </w:tc>
        <w:tc>
          <w:tcPr>
            <w:tcW w:w="3176" w:type="dxa"/>
            <w:tcBorders>
              <w:top w:val="single" w:color="auto" w:sz="12" w:space="0"/>
              <w:left w:val="nil"/>
              <w:bottom w:val="single" w:color="auto" w:sz="12" w:space="0"/>
              <w:right w:val="nil"/>
            </w:tcBorders>
            <w:shd w:val="clear" w:color="auto" w:fill="auto"/>
            <w:noWrap/>
            <w:tcMar>
              <w:left w:w="105" w:type="dxa"/>
              <w:right w:w="105" w:type="dxa"/>
            </w:tcMar>
            <w:vAlign w:val="center"/>
          </w:tcPr>
          <w:p>
            <w:pPr>
              <w:pStyle w:val="3"/>
              <w:keepNext w:val="0"/>
              <w:keepLines w:val="0"/>
              <w:widowControl/>
              <w:suppressLineNumbers w:val="0"/>
              <w:rPr>
                <w:color w:val="auto"/>
              </w:rPr>
            </w:pPr>
            <w:r>
              <w:rPr>
                <w:rStyle w:val="6"/>
                <w:rFonts w:hint="default" w:ascii="华文楷体" w:hAnsi="华文楷体" w:eastAsia="华文楷体" w:cs="华文楷体"/>
                <w:color w:val="auto"/>
                <w:sz w:val="24"/>
                <w:szCs w:val="24"/>
              </w:rPr>
              <w:t>单位名称</w:t>
            </w:r>
          </w:p>
        </w:tc>
        <w:tc>
          <w:tcPr>
            <w:tcW w:w="3299" w:type="dxa"/>
            <w:tcBorders>
              <w:top w:val="single" w:color="auto" w:sz="12" w:space="0"/>
              <w:left w:val="nil"/>
              <w:bottom w:val="single" w:color="auto" w:sz="12" w:space="0"/>
              <w:right w:val="nil"/>
            </w:tcBorders>
            <w:shd w:val="clear" w:color="auto" w:fill="auto"/>
            <w:noWrap/>
            <w:tcMar>
              <w:left w:w="105" w:type="dxa"/>
              <w:right w:w="105" w:type="dxa"/>
            </w:tcMar>
            <w:vAlign w:val="center"/>
          </w:tcPr>
          <w:p>
            <w:pPr>
              <w:pStyle w:val="3"/>
              <w:keepNext w:val="0"/>
              <w:keepLines w:val="0"/>
              <w:widowControl/>
              <w:suppressLineNumbers w:val="0"/>
              <w:rPr>
                <w:color w:val="auto"/>
              </w:rPr>
            </w:pPr>
            <w:r>
              <w:rPr>
                <w:rStyle w:val="6"/>
                <w:rFonts w:hint="default" w:ascii="华文楷体" w:hAnsi="华文楷体" w:eastAsia="华文楷体" w:cs="华文楷体"/>
                <w:color w:val="auto"/>
                <w:sz w:val="24"/>
                <w:szCs w:val="24"/>
              </w:rPr>
              <w:t>招生咨询电话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01" w:hRule="atLeast"/>
          <w:tblCellSpacing w:w="0" w:type="dxa"/>
        </w:trPr>
        <w:tc>
          <w:tcPr>
            <w:tcW w:w="129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000</w:t>
            </w:r>
          </w:p>
        </w:tc>
        <w:tc>
          <w:tcPr>
            <w:tcW w:w="317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建筑学院</w:t>
            </w:r>
          </w:p>
        </w:tc>
        <w:tc>
          <w:tcPr>
            <w:tcW w:w="3299"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62794185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blCellSpacing w:w="0" w:type="dxa"/>
        </w:trPr>
        <w:tc>
          <w:tcPr>
            <w:tcW w:w="129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003</w:t>
            </w:r>
          </w:p>
        </w:tc>
        <w:tc>
          <w:tcPr>
            <w:tcW w:w="317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土木系</w:t>
            </w:r>
          </w:p>
        </w:tc>
        <w:tc>
          <w:tcPr>
            <w:tcW w:w="3299"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62784882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blCellSpacing w:w="0" w:type="dxa"/>
        </w:trPr>
        <w:tc>
          <w:tcPr>
            <w:tcW w:w="129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004</w:t>
            </w:r>
          </w:p>
        </w:tc>
        <w:tc>
          <w:tcPr>
            <w:tcW w:w="317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水利系</w:t>
            </w:r>
          </w:p>
        </w:tc>
        <w:tc>
          <w:tcPr>
            <w:tcW w:w="3299"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62783511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blCellSpacing w:w="0" w:type="dxa"/>
        </w:trPr>
        <w:tc>
          <w:tcPr>
            <w:tcW w:w="129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005</w:t>
            </w:r>
          </w:p>
        </w:tc>
        <w:tc>
          <w:tcPr>
            <w:tcW w:w="317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环境学院</w:t>
            </w:r>
          </w:p>
        </w:tc>
        <w:tc>
          <w:tcPr>
            <w:tcW w:w="3299"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62783196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blCellSpacing w:w="0" w:type="dxa"/>
        </w:trPr>
        <w:tc>
          <w:tcPr>
            <w:tcW w:w="129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012</w:t>
            </w:r>
          </w:p>
        </w:tc>
        <w:tc>
          <w:tcPr>
            <w:tcW w:w="317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机械系</w:t>
            </w:r>
          </w:p>
        </w:tc>
        <w:tc>
          <w:tcPr>
            <w:tcW w:w="3299"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62784558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blCellSpacing w:w="0" w:type="dxa"/>
        </w:trPr>
        <w:tc>
          <w:tcPr>
            <w:tcW w:w="129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013</w:t>
            </w:r>
          </w:p>
        </w:tc>
        <w:tc>
          <w:tcPr>
            <w:tcW w:w="317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精仪系</w:t>
            </w:r>
          </w:p>
        </w:tc>
        <w:tc>
          <w:tcPr>
            <w:tcW w:w="3299"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62785712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6" w:hRule="atLeast"/>
          <w:tblCellSpacing w:w="0" w:type="dxa"/>
        </w:trPr>
        <w:tc>
          <w:tcPr>
            <w:tcW w:w="129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014</w:t>
            </w:r>
          </w:p>
        </w:tc>
        <w:tc>
          <w:tcPr>
            <w:tcW w:w="317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能动系</w:t>
            </w:r>
          </w:p>
        </w:tc>
        <w:tc>
          <w:tcPr>
            <w:tcW w:w="3299"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62782993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blCellSpacing w:w="0" w:type="dxa"/>
        </w:trPr>
        <w:tc>
          <w:tcPr>
            <w:tcW w:w="129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015</w:t>
            </w:r>
          </w:p>
        </w:tc>
        <w:tc>
          <w:tcPr>
            <w:tcW w:w="317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汽车系</w:t>
            </w:r>
          </w:p>
        </w:tc>
        <w:tc>
          <w:tcPr>
            <w:tcW w:w="3299"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62783482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blCellSpacing w:w="0" w:type="dxa"/>
        </w:trPr>
        <w:tc>
          <w:tcPr>
            <w:tcW w:w="129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016</w:t>
            </w:r>
          </w:p>
        </w:tc>
        <w:tc>
          <w:tcPr>
            <w:tcW w:w="317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工业工程系</w:t>
            </w:r>
          </w:p>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MEM项目</w:t>
            </w:r>
          </w:p>
        </w:tc>
        <w:tc>
          <w:tcPr>
            <w:tcW w:w="3299"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62788127</w:t>
            </w:r>
          </w:p>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62794538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6" w:hRule="atLeast"/>
          <w:tblCellSpacing w:w="0" w:type="dxa"/>
        </w:trPr>
        <w:tc>
          <w:tcPr>
            <w:tcW w:w="129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022</w:t>
            </w:r>
          </w:p>
        </w:tc>
        <w:tc>
          <w:tcPr>
            <w:tcW w:w="317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电机系</w:t>
            </w:r>
          </w:p>
        </w:tc>
        <w:tc>
          <w:tcPr>
            <w:tcW w:w="3299"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62782138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blCellSpacing w:w="0" w:type="dxa"/>
        </w:trPr>
        <w:tc>
          <w:tcPr>
            <w:tcW w:w="129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023</w:t>
            </w:r>
          </w:p>
        </w:tc>
        <w:tc>
          <w:tcPr>
            <w:tcW w:w="317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电子系</w:t>
            </w:r>
          </w:p>
        </w:tc>
        <w:tc>
          <w:tcPr>
            <w:tcW w:w="3299"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62784883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blCellSpacing w:w="0" w:type="dxa"/>
        </w:trPr>
        <w:tc>
          <w:tcPr>
            <w:tcW w:w="129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024</w:t>
            </w:r>
          </w:p>
        </w:tc>
        <w:tc>
          <w:tcPr>
            <w:tcW w:w="317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计算机系</w:t>
            </w:r>
          </w:p>
        </w:tc>
        <w:tc>
          <w:tcPr>
            <w:tcW w:w="3299"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62783054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blCellSpacing w:w="0" w:type="dxa"/>
        </w:trPr>
        <w:tc>
          <w:tcPr>
            <w:tcW w:w="129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025</w:t>
            </w:r>
          </w:p>
        </w:tc>
        <w:tc>
          <w:tcPr>
            <w:tcW w:w="317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自动化系</w:t>
            </w:r>
          </w:p>
        </w:tc>
        <w:tc>
          <w:tcPr>
            <w:tcW w:w="3299"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62784871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70" w:hRule="atLeast"/>
          <w:tblCellSpacing w:w="0" w:type="dxa"/>
        </w:trPr>
        <w:tc>
          <w:tcPr>
            <w:tcW w:w="129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026</w:t>
            </w:r>
          </w:p>
        </w:tc>
        <w:tc>
          <w:tcPr>
            <w:tcW w:w="317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微纳电子系</w:t>
            </w:r>
            <w:r>
              <w:rPr>
                <w:rFonts w:hint="default" w:ascii="华文楷体" w:hAnsi="华文楷体" w:eastAsia="华文楷体" w:cs="华文楷体"/>
                <w:color w:val="auto"/>
                <w:sz w:val="24"/>
                <w:szCs w:val="24"/>
              </w:rPr>
              <w:br w:type="textWrapping"/>
            </w:r>
            <w:r>
              <w:rPr>
                <w:rFonts w:hint="default" w:ascii="华文楷体" w:hAnsi="华文楷体" w:eastAsia="华文楷体" w:cs="华文楷体"/>
                <w:color w:val="auto"/>
                <w:sz w:val="24"/>
                <w:szCs w:val="24"/>
              </w:rPr>
              <w:t>  IC招生</w:t>
            </w:r>
          </w:p>
        </w:tc>
        <w:tc>
          <w:tcPr>
            <w:tcW w:w="3299"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62788906</w:t>
            </w:r>
            <w:r>
              <w:rPr>
                <w:rFonts w:hint="default" w:ascii="华文楷体" w:hAnsi="华文楷体" w:eastAsia="华文楷体" w:cs="华文楷体"/>
                <w:color w:val="auto"/>
                <w:sz w:val="24"/>
                <w:szCs w:val="24"/>
              </w:rPr>
              <w:br w:type="textWrapping"/>
            </w:r>
            <w:r>
              <w:rPr>
                <w:rFonts w:hint="default" w:ascii="华文楷体" w:hAnsi="华文楷体" w:eastAsia="华文楷体" w:cs="华文楷体"/>
                <w:color w:val="auto"/>
                <w:sz w:val="24"/>
                <w:szCs w:val="24"/>
              </w:rPr>
              <w:t>62787301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blCellSpacing w:w="0" w:type="dxa"/>
        </w:trPr>
        <w:tc>
          <w:tcPr>
            <w:tcW w:w="129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031</w:t>
            </w:r>
          </w:p>
        </w:tc>
        <w:tc>
          <w:tcPr>
            <w:tcW w:w="317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航院</w:t>
            </w:r>
          </w:p>
        </w:tc>
        <w:tc>
          <w:tcPr>
            <w:tcW w:w="3299"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62783051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6" w:hRule="atLeast"/>
          <w:tblCellSpacing w:w="0" w:type="dxa"/>
        </w:trPr>
        <w:tc>
          <w:tcPr>
            <w:tcW w:w="129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032</w:t>
            </w:r>
          </w:p>
        </w:tc>
        <w:tc>
          <w:tcPr>
            <w:tcW w:w="317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工物系</w:t>
            </w:r>
          </w:p>
        </w:tc>
        <w:tc>
          <w:tcPr>
            <w:tcW w:w="3299"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62782677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blCellSpacing w:w="0" w:type="dxa"/>
        </w:trPr>
        <w:tc>
          <w:tcPr>
            <w:tcW w:w="129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034</w:t>
            </w:r>
          </w:p>
        </w:tc>
        <w:tc>
          <w:tcPr>
            <w:tcW w:w="317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化工系</w:t>
            </w:r>
          </w:p>
        </w:tc>
        <w:tc>
          <w:tcPr>
            <w:tcW w:w="3299"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62788646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570" w:hRule="atLeast"/>
          <w:tblCellSpacing w:w="0" w:type="dxa"/>
        </w:trPr>
        <w:tc>
          <w:tcPr>
            <w:tcW w:w="129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035</w:t>
            </w:r>
          </w:p>
        </w:tc>
        <w:tc>
          <w:tcPr>
            <w:tcW w:w="317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材料学院</w:t>
            </w:r>
          </w:p>
        </w:tc>
        <w:tc>
          <w:tcPr>
            <w:tcW w:w="3299"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62783256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6" w:hRule="atLeast"/>
          <w:tblCellSpacing w:w="0" w:type="dxa"/>
        </w:trPr>
        <w:tc>
          <w:tcPr>
            <w:tcW w:w="129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042</w:t>
            </w:r>
          </w:p>
        </w:tc>
        <w:tc>
          <w:tcPr>
            <w:tcW w:w="317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数学系</w:t>
            </w:r>
          </w:p>
        </w:tc>
        <w:tc>
          <w:tcPr>
            <w:tcW w:w="3299"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62782620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6" w:hRule="atLeast"/>
          <w:tblCellSpacing w:w="0" w:type="dxa"/>
        </w:trPr>
        <w:tc>
          <w:tcPr>
            <w:tcW w:w="129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044</w:t>
            </w:r>
          </w:p>
        </w:tc>
        <w:tc>
          <w:tcPr>
            <w:tcW w:w="317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化学系</w:t>
            </w:r>
          </w:p>
        </w:tc>
        <w:tc>
          <w:tcPr>
            <w:tcW w:w="3299"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62781685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blCellSpacing w:w="0" w:type="dxa"/>
        </w:trPr>
        <w:tc>
          <w:tcPr>
            <w:tcW w:w="129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047</w:t>
            </w:r>
          </w:p>
        </w:tc>
        <w:tc>
          <w:tcPr>
            <w:tcW w:w="317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交叉信息院</w:t>
            </w:r>
          </w:p>
        </w:tc>
        <w:tc>
          <w:tcPr>
            <w:tcW w:w="3299"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62781643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blCellSpacing w:w="0" w:type="dxa"/>
        </w:trPr>
        <w:tc>
          <w:tcPr>
            <w:tcW w:w="129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051</w:t>
            </w:r>
          </w:p>
        </w:tc>
        <w:tc>
          <w:tcPr>
            <w:tcW w:w="317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经管学院</w:t>
            </w:r>
          </w:p>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MBA项目</w:t>
            </w:r>
          </w:p>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EMBA项目</w:t>
            </w:r>
          </w:p>
        </w:tc>
        <w:tc>
          <w:tcPr>
            <w:tcW w:w="3299"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62789967</w:t>
            </w:r>
          </w:p>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62781848</w:t>
            </w:r>
          </w:p>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62789913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6" w:hRule="atLeast"/>
          <w:tblCellSpacing w:w="0" w:type="dxa"/>
        </w:trPr>
        <w:tc>
          <w:tcPr>
            <w:tcW w:w="129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059</w:t>
            </w:r>
          </w:p>
        </w:tc>
        <w:tc>
          <w:tcPr>
            <w:tcW w:w="317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公管学院</w:t>
            </w:r>
          </w:p>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MPA项目</w:t>
            </w:r>
          </w:p>
        </w:tc>
        <w:tc>
          <w:tcPr>
            <w:tcW w:w="3299"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62794350/62785603</w:t>
            </w:r>
          </w:p>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62794348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70" w:hRule="atLeast"/>
          <w:tblCellSpacing w:w="0" w:type="dxa"/>
        </w:trPr>
        <w:tc>
          <w:tcPr>
            <w:tcW w:w="129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060</w:t>
            </w:r>
          </w:p>
        </w:tc>
        <w:tc>
          <w:tcPr>
            <w:tcW w:w="317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金融学院</w:t>
            </w:r>
          </w:p>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金融MBA</w:t>
            </w:r>
          </w:p>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EMBA项目</w:t>
            </w:r>
          </w:p>
        </w:tc>
        <w:tc>
          <w:tcPr>
            <w:tcW w:w="3299"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62780555</w:t>
            </w:r>
          </w:p>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62797592</w:t>
            </w:r>
          </w:p>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62798555/62798630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blCellSpacing w:w="0" w:type="dxa"/>
        </w:trPr>
        <w:tc>
          <w:tcPr>
            <w:tcW w:w="129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066</w:t>
            </w:r>
          </w:p>
        </w:tc>
        <w:tc>
          <w:tcPr>
            <w:tcW w:w="317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法学院</w:t>
            </w:r>
          </w:p>
        </w:tc>
        <w:tc>
          <w:tcPr>
            <w:tcW w:w="3299"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62781334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570" w:hRule="atLeast"/>
          <w:tblCellSpacing w:w="0" w:type="dxa"/>
        </w:trPr>
        <w:tc>
          <w:tcPr>
            <w:tcW w:w="129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067</w:t>
            </w:r>
          </w:p>
        </w:tc>
        <w:tc>
          <w:tcPr>
            <w:tcW w:w="317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新闻学院</w:t>
            </w:r>
          </w:p>
        </w:tc>
        <w:tc>
          <w:tcPr>
            <w:tcW w:w="3299"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62797670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blCellSpacing w:w="0" w:type="dxa"/>
        </w:trPr>
        <w:tc>
          <w:tcPr>
            <w:tcW w:w="129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068</w:t>
            </w:r>
          </w:p>
        </w:tc>
        <w:tc>
          <w:tcPr>
            <w:tcW w:w="317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马克思主义学院</w:t>
            </w:r>
          </w:p>
        </w:tc>
        <w:tc>
          <w:tcPr>
            <w:tcW w:w="3299"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62772700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blCellSpacing w:w="0" w:type="dxa"/>
        </w:trPr>
        <w:tc>
          <w:tcPr>
            <w:tcW w:w="129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069</w:t>
            </w:r>
          </w:p>
        </w:tc>
        <w:tc>
          <w:tcPr>
            <w:tcW w:w="317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人文学院</w:t>
            </w:r>
          </w:p>
        </w:tc>
        <w:tc>
          <w:tcPr>
            <w:tcW w:w="3299"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62794434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blCellSpacing w:w="0" w:type="dxa"/>
        </w:trPr>
        <w:tc>
          <w:tcPr>
            <w:tcW w:w="129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070</w:t>
            </w:r>
          </w:p>
        </w:tc>
        <w:tc>
          <w:tcPr>
            <w:tcW w:w="317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社科学院</w:t>
            </w:r>
          </w:p>
        </w:tc>
        <w:tc>
          <w:tcPr>
            <w:tcW w:w="3299"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62798949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blCellSpacing w:w="0" w:type="dxa"/>
        </w:trPr>
        <w:tc>
          <w:tcPr>
            <w:tcW w:w="129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080</w:t>
            </w:r>
          </w:p>
        </w:tc>
        <w:tc>
          <w:tcPr>
            <w:tcW w:w="317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美术学院</w:t>
            </w:r>
          </w:p>
        </w:tc>
        <w:tc>
          <w:tcPr>
            <w:tcW w:w="3299"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62798172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6" w:hRule="atLeast"/>
          <w:tblCellSpacing w:w="0" w:type="dxa"/>
        </w:trPr>
        <w:tc>
          <w:tcPr>
            <w:tcW w:w="129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097</w:t>
            </w:r>
          </w:p>
        </w:tc>
        <w:tc>
          <w:tcPr>
            <w:tcW w:w="317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苏世民书院</w:t>
            </w:r>
          </w:p>
        </w:tc>
        <w:tc>
          <w:tcPr>
            <w:tcW w:w="3299"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62770631/62770969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blCellSpacing w:w="0" w:type="dxa"/>
        </w:trPr>
        <w:tc>
          <w:tcPr>
            <w:tcW w:w="129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101</w:t>
            </w:r>
          </w:p>
        </w:tc>
        <w:tc>
          <w:tcPr>
            <w:tcW w:w="317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核研院</w:t>
            </w:r>
          </w:p>
        </w:tc>
        <w:tc>
          <w:tcPr>
            <w:tcW w:w="3299"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62771089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6" w:hRule="atLeast"/>
          <w:tblCellSpacing w:w="0" w:type="dxa"/>
        </w:trPr>
        <w:tc>
          <w:tcPr>
            <w:tcW w:w="129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103</w:t>
            </w:r>
          </w:p>
        </w:tc>
        <w:tc>
          <w:tcPr>
            <w:tcW w:w="317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教研院</w:t>
            </w:r>
          </w:p>
        </w:tc>
        <w:tc>
          <w:tcPr>
            <w:tcW w:w="3299"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62792450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6" w:hRule="atLeast"/>
          <w:tblCellSpacing w:w="0" w:type="dxa"/>
        </w:trPr>
        <w:tc>
          <w:tcPr>
            <w:tcW w:w="129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400</w:t>
            </w:r>
          </w:p>
        </w:tc>
        <w:tc>
          <w:tcPr>
            <w:tcW w:w="317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医学院</w:t>
            </w:r>
            <w:r>
              <w:rPr>
                <w:rFonts w:hint="default" w:ascii="华文楷体" w:hAnsi="华文楷体" w:eastAsia="华文楷体" w:cs="华文楷体"/>
                <w:color w:val="auto"/>
                <w:sz w:val="24"/>
                <w:szCs w:val="24"/>
              </w:rPr>
              <w:br w:type="textWrapping"/>
            </w:r>
            <w:r>
              <w:rPr>
                <w:rFonts w:hint="default" w:ascii="华文楷体" w:hAnsi="华文楷体" w:eastAsia="华文楷体" w:cs="华文楷体"/>
                <w:color w:val="auto"/>
                <w:sz w:val="24"/>
                <w:szCs w:val="24"/>
              </w:rPr>
              <w:t>  临床医学</w:t>
            </w:r>
          </w:p>
        </w:tc>
        <w:tc>
          <w:tcPr>
            <w:tcW w:w="3299"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62782493</w:t>
            </w:r>
            <w:r>
              <w:rPr>
                <w:rFonts w:hint="default" w:ascii="华文楷体" w:hAnsi="华文楷体" w:eastAsia="华文楷体" w:cs="华文楷体"/>
                <w:color w:val="auto"/>
                <w:sz w:val="24"/>
                <w:szCs w:val="24"/>
              </w:rPr>
              <w:br w:type="textWrapping"/>
            </w:r>
            <w:r>
              <w:rPr>
                <w:rFonts w:hint="default" w:ascii="华文楷体" w:hAnsi="华文楷体" w:eastAsia="华文楷体" w:cs="华文楷体"/>
                <w:color w:val="auto"/>
                <w:sz w:val="24"/>
                <w:szCs w:val="24"/>
              </w:rPr>
              <w:t>  62797384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6" w:hRule="atLeast"/>
          <w:tblCellSpacing w:w="0" w:type="dxa"/>
        </w:trPr>
        <w:tc>
          <w:tcPr>
            <w:tcW w:w="129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410</w:t>
            </w:r>
          </w:p>
        </w:tc>
        <w:tc>
          <w:tcPr>
            <w:tcW w:w="317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软件学院</w:t>
            </w:r>
          </w:p>
        </w:tc>
        <w:tc>
          <w:tcPr>
            <w:tcW w:w="3299"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62771436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6" w:hRule="atLeast"/>
          <w:tblCellSpacing w:w="0" w:type="dxa"/>
        </w:trPr>
        <w:tc>
          <w:tcPr>
            <w:tcW w:w="129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412</w:t>
            </w:r>
          </w:p>
        </w:tc>
        <w:tc>
          <w:tcPr>
            <w:tcW w:w="317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网络研究院</w:t>
            </w:r>
          </w:p>
        </w:tc>
        <w:tc>
          <w:tcPr>
            <w:tcW w:w="3299"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62603023/7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286" w:hRule="atLeast"/>
          <w:tblCellSpacing w:w="0" w:type="dxa"/>
        </w:trPr>
        <w:tc>
          <w:tcPr>
            <w:tcW w:w="129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600</w:t>
            </w:r>
          </w:p>
        </w:tc>
        <w:tc>
          <w:tcPr>
            <w:tcW w:w="317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清华-伯克利深圳学院</w:t>
            </w:r>
          </w:p>
        </w:tc>
        <w:tc>
          <w:tcPr>
            <w:tcW w:w="3299"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(0755)36881626/8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570" w:hRule="atLeast"/>
          <w:tblCellSpacing w:w="0" w:type="dxa"/>
        </w:trPr>
        <w:tc>
          <w:tcPr>
            <w:tcW w:w="129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601</w:t>
            </w:r>
          </w:p>
        </w:tc>
        <w:tc>
          <w:tcPr>
            <w:tcW w:w="317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清华大学全球创新学院</w:t>
            </w:r>
          </w:p>
        </w:tc>
        <w:tc>
          <w:tcPr>
            <w:tcW w:w="3299"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62796157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6" w:hRule="atLeast"/>
          <w:tblCellSpacing w:w="0" w:type="dxa"/>
        </w:trPr>
        <w:tc>
          <w:tcPr>
            <w:tcW w:w="1295" w:type="dxa"/>
            <w:tcBorders>
              <w:top w:val="nil"/>
              <w:left w:val="nil"/>
              <w:bottom w:val="single" w:color="auto" w:sz="12" w:space="0"/>
              <w:right w:val="nil"/>
            </w:tcBorders>
            <w:shd w:val="clear" w:color="auto" w:fill="auto"/>
            <w:tcMar>
              <w:left w:w="105" w:type="dxa"/>
              <w:right w:w="105" w:type="dxa"/>
            </w:tcMar>
            <w:vAlign w:val="center"/>
          </w:tcPr>
          <w:p>
            <w:pPr>
              <w:rPr>
                <w:rFonts w:hint="default" w:ascii="Arial" w:hAnsi="Arial" w:cs="Arial"/>
                <w:color w:val="auto"/>
                <w:sz w:val="18"/>
                <w:szCs w:val="18"/>
              </w:rPr>
            </w:pPr>
          </w:p>
        </w:tc>
        <w:tc>
          <w:tcPr>
            <w:tcW w:w="3176" w:type="dxa"/>
            <w:tcBorders>
              <w:top w:val="nil"/>
              <w:left w:val="nil"/>
              <w:bottom w:val="single" w:color="auto" w:sz="12"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深圳研究生院</w:t>
            </w:r>
          </w:p>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Open FIESTA硕士学位项目</w:t>
            </w:r>
          </w:p>
        </w:tc>
        <w:tc>
          <w:tcPr>
            <w:tcW w:w="3299" w:type="dxa"/>
            <w:tcBorders>
              <w:top w:val="nil"/>
              <w:left w:val="nil"/>
              <w:bottom w:val="single" w:color="auto" w:sz="12"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(0755)26036120/6020</w:t>
            </w:r>
          </w:p>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(0755) 86717869</w:t>
            </w:r>
          </w:p>
        </w:tc>
      </w:tr>
    </w:tbl>
    <w:p>
      <w:pPr>
        <w:pStyle w:val="3"/>
        <w:keepNext w:val="0"/>
        <w:keepLines w:val="0"/>
        <w:widowControl/>
        <w:suppressLineNumbers w:val="0"/>
        <w:spacing w:before="750" w:beforeAutospacing="0" w:after="1066" w:afterAutospacing="0" w:line="300" w:lineRule="auto"/>
        <w:ind w:left="0" w:right="0" w:firstLine="510"/>
        <w:rPr>
          <w:color w:val="auto"/>
        </w:rPr>
      </w:pPr>
      <w:r>
        <w:rPr>
          <w:rFonts w:hint="eastAsia" w:ascii="宋体" w:hAnsi="宋体" w:eastAsia="宋体" w:cs="宋体"/>
          <w:color w:val="auto"/>
          <w:sz w:val="21"/>
          <w:szCs w:val="21"/>
          <w:shd w:val="clear" w:fill="FFFFFF"/>
        </w:rPr>
        <w:t> </w:t>
      </w:r>
    </w:p>
    <w:p>
      <w:pPr>
        <w:pStyle w:val="3"/>
        <w:keepNext w:val="0"/>
        <w:keepLines w:val="0"/>
        <w:widowControl/>
        <w:suppressLineNumbers w:val="0"/>
        <w:spacing w:before="750" w:beforeAutospacing="0" w:after="1066" w:afterAutospacing="0" w:line="300" w:lineRule="auto"/>
        <w:ind w:left="0" w:right="0" w:firstLine="510"/>
        <w:rPr>
          <w:color w:val="auto"/>
        </w:rPr>
      </w:pPr>
      <w:r>
        <w:rPr>
          <w:rFonts w:hint="eastAsia" w:ascii="宋体" w:hAnsi="宋体" w:eastAsia="宋体" w:cs="宋体"/>
          <w:color w:val="auto"/>
          <w:sz w:val="21"/>
          <w:szCs w:val="21"/>
          <w:shd w:val="clear" w:fill="FFFFFF"/>
        </w:rPr>
        <w:t> </w:t>
      </w:r>
    </w:p>
    <w:p>
      <w:pPr>
        <w:pStyle w:val="3"/>
        <w:keepNext w:val="0"/>
        <w:keepLines w:val="0"/>
        <w:widowControl/>
        <w:suppressLineNumbers w:val="0"/>
        <w:spacing w:before="600" w:beforeAutospacing="0" w:after="900" w:afterAutospacing="0" w:line="312" w:lineRule="auto"/>
        <w:ind w:left="0" w:right="0"/>
        <w:rPr>
          <w:color w:val="auto"/>
        </w:rPr>
      </w:pPr>
      <w:r>
        <w:rPr>
          <w:rStyle w:val="6"/>
          <w:rFonts w:hint="eastAsia" w:ascii="楷体" w:hAnsi="楷体" w:eastAsia="楷体" w:cs="楷体"/>
          <w:color w:val="auto"/>
          <w:sz w:val="28"/>
          <w:szCs w:val="28"/>
          <w:shd w:val="clear" w:fill="FFFFFF"/>
        </w:rPr>
        <w:t>学费标准：</w:t>
      </w:r>
      <w:r>
        <w:rPr>
          <w:rFonts w:ascii="楷体_GB2312" w:hAnsi="Arial" w:eastAsia="楷体_GB2312" w:cs="楷体_GB2312"/>
          <w:color w:val="auto"/>
          <w:sz w:val="24"/>
          <w:szCs w:val="24"/>
          <w:shd w:val="clear" w:fill="FFFFFF"/>
        </w:rPr>
        <w:t xml:space="preserve"> </w:t>
      </w:r>
    </w:p>
    <w:tbl>
      <w:tblPr>
        <w:tblStyle w:val="4"/>
        <w:tblW w:w="8895"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955"/>
        <w:gridCol w:w="936"/>
        <w:gridCol w:w="1867"/>
        <w:gridCol w:w="21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blHeader/>
          <w:tblCellSpacing w:w="0" w:type="dxa"/>
        </w:trPr>
        <w:tc>
          <w:tcPr>
            <w:tcW w:w="3955" w:type="dxa"/>
            <w:tcBorders>
              <w:top w:val="single" w:color="auto" w:sz="12" w:space="0"/>
              <w:left w:val="nil"/>
              <w:bottom w:val="single" w:color="auto" w:sz="12" w:space="0"/>
              <w:right w:val="nil"/>
            </w:tcBorders>
            <w:shd w:val="clear" w:color="auto" w:fill="auto"/>
            <w:tcMar>
              <w:left w:w="105" w:type="dxa"/>
              <w:right w:w="105" w:type="dxa"/>
            </w:tcMar>
            <w:vAlign w:val="bottom"/>
          </w:tcPr>
          <w:p>
            <w:pPr>
              <w:pStyle w:val="3"/>
              <w:keepNext w:val="0"/>
              <w:keepLines w:val="0"/>
              <w:widowControl/>
              <w:suppressLineNumbers w:val="0"/>
              <w:jc w:val="center"/>
              <w:rPr>
                <w:color w:val="auto"/>
              </w:rPr>
            </w:pPr>
            <w:r>
              <w:rPr>
                <w:rStyle w:val="6"/>
                <w:rFonts w:hint="default" w:ascii="华文楷体" w:hAnsi="华文楷体" w:eastAsia="华文楷体" w:cs="华文楷体"/>
                <w:color w:val="auto"/>
                <w:sz w:val="24"/>
                <w:szCs w:val="24"/>
              </w:rPr>
              <w:t>专业名称</w:t>
            </w:r>
          </w:p>
        </w:tc>
        <w:tc>
          <w:tcPr>
            <w:tcW w:w="936" w:type="dxa"/>
            <w:tcBorders>
              <w:top w:val="single" w:color="auto" w:sz="12" w:space="0"/>
              <w:left w:val="nil"/>
              <w:bottom w:val="single" w:color="auto" w:sz="12"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Style w:val="6"/>
                <w:rFonts w:hint="default" w:ascii="华文楷体" w:hAnsi="华文楷体" w:eastAsia="华文楷体" w:cs="华文楷体"/>
                <w:color w:val="auto"/>
                <w:sz w:val="24"/>
                <w:szCs w:val="24"/>
              </w:rPr>
              <w:t>代码</w:t>
            </w:r>
          </w:p>
        </w:tc>
        <w:tc>
          <w:tcPr>
            <w:tcW w:w="1867" w:type="dxa"/>
            <w:tcBorders>
              <w:top w:val="single" w:color="auto" w:sz="12" w:space="0"/>
              <w:left w:val="nil"/>
              <w:bottom w:val="single" w:color="auto" w:sz="12"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Style w:val="6"/>
                <w:rFonts w:hint="default" w:ascii="华文楷体" w:hAnsi="华文楷体" w:eastAsia="华文楷体" w:cs="华文楷体"/>
                <w:color w:val="auto"/>
                <w:sz w:val="24"/>
                <w:szCs w:val="24"/>
              </w:rPr>
              <w:t>学费标准*</w:t>
            </w:r>
          </w:p>
        </w:tc>
        <w:tc>
          <w:tcPr>
            <w:tcW w:w="2137" w:type="dxa"/>
            <w:tcBorders>
              <w:top w:val="single" w:color="auto" w:sz="12" w:space="0"/>
              <w:left w:val="nil"/>
              <w:bottom w:val="single" w:color="auto" w:sz="12" w:space="0"/>
              <w:right w:val="nil"/>
            </w:tcBorders>
            <w:shd w:val="clear" w:color="auto" w:fill="auto"/>
            <w:tcMar>
              <w:left w:w="105" w:type="dxa"/>
              <w:right w:w="105" w:type="dxa"/>
            </w:tcMar>
            <w:vAlign w:val="top"/>
          </w:tcPr>
          <w:p>
            <w:pPr>
              <w:pStyle w:val="3"/>
              <w:keepNext w:val="0"/>
              <w:keepLines w:val="0"/>
              <w:widowControl/>
              <w:suppressLineNumbers w:val="0"/>
              <w:jc w:val="center"/>
              <w:rPr>
                <w:color w:val="auto"/>
              </w:rPr>
            </w:pPr>
            <w:r>
              <w:rPr>
                <w:rStyle w:val="6"/>
                <w:rFonts w:hint="default" w:ascii="华文楷体" w:hAnsi="华文楷体" w:eastAsia="华文楷体" w:cs="华文楷体"/>
                <w:color w:val="auto"/>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45" w:hRule="atLeast"/>
          <w:tblCellSpacing w:w="0" w:type="dxa"/>
        </w:trPr>
        <w:tc>
          <w:tcPr>
            <w:tcW w:w="395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所有学术型专业</w:t>
            </w:r>
          </w:p>
        </w:tc>
        <w:tc>
          <w:tcPr>
            <w:tcW w:w="93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w:t>
            </w:r>
          </w:p>
        </w:tc>
        <w:tc>
          <w:tcPr>
            <w:tcW w:w="186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right"/>
              <w:rPr>
                <w:color w:val="auto"/>
              </w:rPr>
            </w:pPr>
            <w:r>
              <w:rPr>
                <w:rFonts w:hint="default" w:ascii="华文楷体" w:hAnsi="华文楷体" w:eastAsia="华文楷体" w:cs="华文楷体"/>
                <w:color w:val="auto"/>
                <w:sz w:val="24"/>
                <w:szCs w:val="24"/>
              </w:rPr>
              <w:t>0.8万元/生学年</w:t>
            </w:r>
          </w:p>
        </w:tc>
        <w:tc>
          <w:tcPr>
            <w:tcW w:w="213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按学期交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0" w:hRule="atLeast"/>
          <w:tblCellSpacing w:w="0" w:type="dxa"/>
        </w:trPr>
        <w:tc>
          <w:tcPr>
            <w:tcW w:w="395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金融（北京）（经管学院）</w:t>
            </w:r>
          </w:p>
        </w:tc>
        <w:tc>
          <w:tcPr>
            <w:tcW w:w="93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025100</w:t>
            </w:r>
          </w:p>
        </w:tc>
        <w:tc>
          <w:tcPr>
            <w:tcW w:w="186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right"/>
              <w:rPr>
                <w:color w:val="auto"/>
              </w:rPr>
            </w:pPr>
            <w:r>
              <w:rPr>
                <w:rFonts w:hint="default" w:ascii="华文楷体" w:hAnsi="华文楷体" w:eastAsia="华文楷体" w:cs="华文楷体"/>
                <w:color w:val="auto"/>
                <w:sz w:val="24"/>
                <w:szCs w:val="24"/>
              </w:rPr>
              <w:t>12.8万元/生</w:t>
            </w:r>
          </w:p>
        </w:tc>
        <w:tc>
          <w:tcPr>
            <w:tcW w:w="213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第一年6.4万元，第二年6.4万元。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0" w:hRule="atLeast"/>
          <w:tblCellSpacing w:w="0" w:type="dxa"/>
        </w:trPr>
        <w:tc>
          <w:tcPr>
            <w:tcW w:w="395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金融（深圳）</w:t>
            </w:r>
          </w:p>
        </w:tc>
        <w:tc>
          <w:tcPr>
            <w:tcW w:w="93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025100</w:t>
            </w:r>
          </w:p>
        </w:tc>
        <w:tc>
          <w:tcPr>
            <w:tcW w:w="186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right"/>
              <w:rPr>
                <w:color w:val="auto"/>
              </w:rPr>
            </w:pPr>
            <w:r>
              <w:rPr>
                <w:rFonts w:hint="default" w:ascii="华文楷体" w:hAnsi="华文楷体" w:eastAsia="华文楷体" w:cs="华文楷体"/>
                <w:color w:val="auto"/>
                <w:sz w:val="24"/>
                <w:szCs w:val="24"/>
              </w:rPr>
              <w:t>9.0万元/生</w:t>
            </w:r>
          </w:p>
        </w:tc>
        <w:tc>
          <w:tcPr>
            <w:tcW w:w="213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第一年4.5万元，第二年4.5万元。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0" w:hRule="atLeast"/>
          <w:tblCellSpacing w:w="0" w:type="dxa"/>
        </w:trPr>
        <w:tc>
          <w:tcPr>
            <w:tcW w:w="395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金融（北京）（五道口金融学院）</w:t>
            </w:r>
          </w:p>
        </w:tc>
        <w:tc>
          <w:tcPr>
            <w:tcW w:w="93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025100</w:t>
            </w:r>
          </w:p>
        </w:tc>
        <w:tc>
          <w:tcPr>
            <w:tcW w:w="186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right"/>
              <w:rPr>
                <w:color w:val="auto"/>
              </w:rPr>
            </w:pPr>
            <w:r>
              <w:rPr>
                <w:rFonts w:hint="default" w:ascii="华文楷体" w:hAnsi="华文楷体" w:eastAsia="华文楷体" w:cs="华文楷体"/>
                <w:color w:val="auto"/>
                <w:sz w:val="24"/>
                <w:szCs w:val="24"/>
              </w:rPr>
              <w:t>12.8万元/生</w:t>
            </w:r>
          </w:p>
        </w:tc>
        <w:tc>
          <w:tcPr>
            <w:tcW w:w="213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第一年6.4万元，第二年6.4万元。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6" w:hRule="atLeast"/>
          <w:tblCellSpacing w:w="0" w:type="dxa"/>
        </w:trPr>
        <w:tc>
          <w:tcPr>
            <w:tcW w:w="395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应用统计</w:t>
            </w:r>
          </w:p>
        </w:tc>
        <w:tc>
          <w:tcPr>
            <w:tcW w:w="93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025200</w:t>
            </w:r>
          </w:p>
        </w:tc>
        <w:tc>
          <w:tcPr>
            <w:tcW w:w="186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right"/>
              <w:rPr>
                <w:color w:val="auto"/>
              </w:rPr>
            </w:pPr>
            <w:r>
              <w:rPr>
                <w:rFonts w:hint="default" w:ascii="华文楷体" w:hAnsi="华文楷体" w:eastAsia="华文楷体" w:cs="华文楷体"/>
                <w:color w:val="auto"/>
                <w:sz w:val="24"/>
                <w:szCs w:val="24"/>
              </w:rPr>
              <w:t>5.6万元/生</w:t>
            </w:r>
          </w:p>
        </w:tc>
        <w:tc>
          <w:tcPr>
            <w:tcW w:w="213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第一年2.8万元，第二年2.8万元。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30" w:hRule="atLeast"/>
          <w:tblCellSpacing w:w="0" w:type="dxa"/>
        </w:trPr>
        <w:tc>
          <w:tcPr>
            <w:tcW w:w="395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法律</w:t>
            </w:r>
          </w:p>
        </w:tc>
        <w:tc>
          <w:tcPr>
            <w:tcW w:w="93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035101</w:t>
            </w:r>
          </w:p>
        </w:tc>
        <w:tc>
          <w:tcPr>
            <w:tcW w:w="186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right"/>
              <w:rPr>
                <w:color w:val="auto"/>
              </w:rPr>
            </w:pPr>
            <w:r>
              <w:rPr>
                <w:rFonts w:hint="default" w:ascii="华文楷体" w:hAnsi="华文楷体" w:eastAsia="华文楷体" w:cs="华文楷体"/>
                <w:color w:val="auto"/>
                <w:sz w:val="24"/>
                <w:szCs w:val="24"/>
              </w:rPr>
              <w:t>6.5万元/生</w:t>
            </w:r>
          </w:p>
        </w:tc>
        <w:tc>
          <w:tcPr>
            <w:tcW w:w="213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第一年2.1万元，第二、三年均为2.2万元。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30" w:hRule="atLeast"/>
          <w:tblCellSpacing w:w="0" w:type="dxa"/>
        </w:trPr>
        <w:tc>
          <w:tcPr>
            <w:tcW w:w="395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社会工作（非全日制）</w:t>
            </w:r>
          </w:p>
        </w:tc>
        <w:tc>
          <w:tcPr>
            <w:tcW w:w="93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035200</w:t>
            </w:r>
          </w:p>
        </w:tc>
        <w:tc>
          <w:tcPr>
            <w:tcW w:w="186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right"/>
              <w:rPr>
                <w:color w:val="auto"/>
              </w:rPr>
            </w:pPr>
            <w:r>
              <w:rPr>
                <w:rFonts w:hint="default" w:ascii="华文楷体" w:hAnsi="华文楷体" w:eastAsia="华文楷体" w:cs="华文楷体"/>
                <w:color w:val="auto"/>
                <w:sz w:val="24"/>
                <w:szCs w:val="24"/>
              </w:rPr>
              <w:t>7.2万元/生</w:t>
            </w:r>
          </w:p>
        </w:tc>
        <w:tc>
          <w:tcPr>
            <w:tcW w:w="213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第一年3.6万元，第二年3.6万元。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30" w:hRule="atLeast"/>
          <w:tblCellSpacing w:w="0" w:type="dxa"/>
        </w:trPr>
        <w:tc>
          <w:tcPr>
            <w:tcW w:w="395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体育（全日制）</w:t>
            </w:r>
          </w:p>
        </w:tc>
        <w:tc>
          <w:tcPr>
            <w:tcW w:w="93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045200</w:t>
            </w:r>
          </w:p>
        </w:tc>
        <w:tc>
          <w:tcPr>
            <w:tcW w:w="186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right"/>
              <w:rPr>
                <w:color w:val="auto"/>
              </w:rPr>
            </w:pPr>
            <w:r>
              <w:rPr>
                <w:rFonts w:hint="default" w:ascii="华文楷体" w:hAnsi="华文楷体" w:eastAsia="华文楷体" w:cs="华文楷体"/>
                <w:color w:val="auto"/>
                <w:sz w:val="24"/>
                <w:szCs w:val="24"/>
              </w:rPr>
              <w:t>1.5万元/生学年</w:t>
            </w:r>
          </w:p>
        </w:tc>
        <w:tc>
          <w:tcPr>
            <w:tcW w:w="213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按学期交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0" w:hRule="atLeast"/>
          <w:tblCellSpacing w:w="0" w:type="dxa"/>
        </w:trPr>
        <w:tc>
          <w:tcPr>
            <w:tcW w:w="395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体育（非全日制）</w:t>
            </w:r>
          </w:p>
        </w:tc>
        <w:tc>
          <w:tcPr>
            <w:tcW w:w="93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045200</w:t>
            </w:r>
          </w:p>
        </w:tc>
        <w:tc>
          <w:tcPr>
            <w:tcW w:w="186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right"/>
              <w:rPr>
                <w:color w:val="auto"/>
              </w:rPr>
            </w:pPr>
            <w:r>
              <w:rPr>
                <w:rFonts w:hint="default" w:ascii="华文楷体" w:hAnsi="华文楷体" w:eastAsia="华文楷体" w:cs="华文楷体"/>
                <w:color w:val="auto"/>
                <w:sz w:val="24"/>
                <w:szCs w:val="24"/>
              </w:rPr>
              <w:t>12万元/生</w:t>
            </w:r>
          </w:p>
        </w:tc>
        <w:tc>
          <w:tcPr>
            <w:tcW w:w="213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第一年6万元，第二年6万元。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01" w:hRule="atLeast"/>
          <w:tblCellSpacing w:w="0" w:type="dxa"/>
        </w:trPr>
        <w:tc>
          <w:tcPr>
            <w:tcW w:w="395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应用心理（非全日制）</w:t>
            </w:r>
          </w:p>
        </w:tc>
        <w:tc>
          <w:tcPr>
            <w:tcW w:w="93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045400</w:t>
            </w:r>
          </w:p>
        </w:tc>
        <w:tc>
          <w:tcPr>
            <w:tcW w:w="186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right"/>
              <w:rPr>
                <w:color w:val="auto"/>
              </w:rPr>
            </w:pPr>
            <w:r>
              <w:rPr>
                <w:rFonts w:hint="default" w:ascii="华文楷体" w:hAnsi="华文楷体" w:eastAsia="华文楷体" w:cs="华文楷体"/>
                <w:color w:val="auto"/>
                <w:sz w:val="24"/>
                <w:szCs w:val="24"/>
              </w:rPr>
              <w:t>9.8万元/生</w:t>
            </w:r>
          </w:p>
        </w:tc>
        <w:tc>
          <w:tcPr>
            <w:tcW w:w="213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第一年4.9万元，第二年4.9万元。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0" w:hRule="atLeast"/>
          <w:tblCellSpacing w:w="0" w:type="dxa"/>
        </w:trPr>
        <w:tc>
          <w:tcPr>
            <w:tcW w:w="395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新闻与传播（非全日制）</w:t>
            </w:r>
          </w:p>
        </w:tc>
        <w:tc>
          <w:tcPr>
            <w:tcW w:w="93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055200</w:t>
            </w:r>
          </w:p>
        </w:tc>
        <w:tc>
          <w:tcPr>
            <w:tcW w:w="186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right"/>
              <w:rPr>
                <w:color w:val="auto"/>
              </w:rPr>
            </w:pPr>
            <w:r>
              <w:rPr>
                <w:rFonts w:hint="default" w:ascii="华文楷体" w:hAnsi="华文楷体" w:eastAsia="华文楷体" w:cs="华文楷体"/>
                <w:color w:val="auto"/>
                <w:sz w:val="24"/>
                <w:szCs w:val="24"/>
              </w:rPr>
              <w:t>9.0万元/生</w:t>
            </w:r>
          </w:p>
        </w:tc>
        <w:tc>
          <w:tcPr>
            <w:tcW w:w="213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第一、二、三年均为3万元。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0" w:hRule="atLeast"/>
          <w:tblCellSpacing w:w="0" w:type="dxa"/>
        </w:trPr>
        <w:tc>
          <w:tcPr>
            <w:tcW w:w="395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建筑学</w:t>
            </w:r>
          </w:p>
        </w:tc>
        <w:tc>
          <w:tcPr>
            <w:tcW w:w="93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085100</w:t>
            </w:r>
          </w:p>
        </w:tc>
        <w:tc>
          <w:tcPr>
            <w:tcW w:w="186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right"/>
              <w:rPr>
                <w:color w:val="auto"/>
              </w:rPr>
            </w:pPr>
            <w:r>
              <w:rPr>
                <w:rFonts w:hint="default" w:ascii="华文楷体" w:hAnsi="华文楷体" w:eastAsia="华文楷体" w:cs="华文楷体"/>
                <w:color w:val="auto"/>
                <w:sz w:val="24"/>
                <w:szCs w:val="24"/>
              </w:rPr>
              <w:t>1.0万元/生学年</w:t>
            </w:r>
          </w:p>
        </w:tc>
        <w:tc>
          <w:tcPr>
            <w:tcW w:w="213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按学期交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0" w:hRule="atLeast"/>
          <w:tblCellSpacing w:w="0" w:type="dxa"/>
        </w:trPr>
        <w:tc>
          <w:tcPr>
            <w:tcW w:w="395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工程（集成电路工程）</w:t>
            </w:r>
          </w:p>
        </w:tc>
        <w:tc>
          <w:tcPr>
            <w:tcW w:w="93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085209</w:t>
            </w:r>
          </w:p>
        </w:tc>
        <w:tc>
          <w:tcPr>
            <w:tcW w:w="186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right"/>
              <w:rPr>
                <w:color w:val="auto"/>
              </w:rPr>
            </w:pPr>
            <w:r>
              <w:rPr>
                <w:rFonts w:hint="default" w:ascii="华文楷体" w:hAnsi="华文楷体" w:eastAsia="华文楷体" w:cs="华文楷体"/>
                <w:color w:val="auto"/>
                <w:sz w:val="24"/>
                <w:szCs w:val="24"/>
              </w:rPr>
              <w:t>3.9万元/生</w:t>
            </w:r>
          </w:p>
        </w:tc>
        <w:tc>
          <w:tcPr>
            <w:tcW w:w="213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第一年1.95万元，第二年1.95万元。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0" w:hRule="atLeast"/>
          <w:tblCellSpacing w:w="0" w:type="dxa"/>
        </w:trPr>
        <w:tc>
          <w:tcPr>
            <w:tcW w:w="395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工程（控制工程）（全日制）</w:t>
            </w:r>
          </w:p>
        </w:tc>
        <w:tc>
          <w:tcPr>
            <w:tcW w:w="93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085210</w:t>
            </w:r>
          </w:p>
        </w:tc>
        <w:tc>
          <w:tcPr>
            <w:tcW w:w="186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right"/>
              <w:rPr>
                <w:color w:val="auto"/>
              </w:rPr>
            </w:pPr>
            <w:r>
              <w:rPr>
                <w:rFonts w:hint="default" w:ascii="华文楷体" w:hAnsi="华文楷体" w:eastAsia="华文楷体" w:cs="华文楷体"/>
                <w:color w:val="auto"/>
                <w:sz w:val="24"/>
                <w:szCs w:val="24"/>
              </w:rPr>
              <w:t>1.0万元/生学年</w:t>
            </w:r>
          </w:p>
        </w:tc>
        <w:tc>
          <w:tcPr>
            <w:tcW w:w="213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按学期交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0" w:hRule="atLeast"/>
          <w:tblCellSpacing w:w="0" w:type="dxa"/>
        </w:trPr>
        <w:tc>
          <w:tcPr>
            <w:tcW w:w="395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工程（控制工程）（非全日制）</w:t>
            </w:r>
          </w:p>
        </w:tc>
        <w:tc>
          <w:tcPr>
            <w:tcW w:w="93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085210</w:t>
            </w:r>
          </w:p>
        </w:tc>
        <w:tc>
          <w:tcPr>
            <w:tcW w:w="186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right"/>
              <w:rPr>
                <w:color w:val="auto"/>
              </w:rPr>
            </w:pPr>
            <w:r>
              <w:rPr>
                <w:rFonts w:hint="default" w:ascii="华文楷体" w:hAnsi="华文楷体" w:eastAsia="华文楷体" w:cs="华文楷体"/>
                <w:color w:val="auto"/>
                <w:sz w:val="24"/>
                <w:szCs w:val="24"/>
              </w:rPr>
              <w:t>9.8万元/生</w:t>
            </w:r>
          </w:p>
        </w:tc>
        <w:tc>
          <w:tcPr>
            <w:tcW w:w="213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第一年4.9万元，第二年4.9万元。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0" w:hRule="atLeast"/>
          <w:tblCellSpacing w:w="0" w:type="dxa"/>
        </w:trPr>
        <w:tc>
          <w:tcPr>
            <w:tcW w:w="395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b/>
                <w:bCs/>
                <w:color w:val="auto"/>
              </w:rPr>
            </w:pPr>
            <w:r>
              <w:rPr>
                <w:rFonts w:hint="default" w:ascii="华文楷体" w:hAnsi="华文楷体" w:eastAsia="华文楷体" w:cs="华文楷体"/>
                <w:b/>
                <w:bCs/>
                <w:color w:val="auto"/>
                <w:sz w:val="24"/>
                <w:szCs w:val="24"/>
              </w:rPr>
              <w:t>工程（计算机技术）（全日制）</w:t>
            </w:r>
          </w:p>
        </w:tc>
        <w:tc>
          <w:tcPr>
            <w:tcW w:w="93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b/>
                <w:bCs/>
                <w:color w:val="auto"/>
              </w:rPr>
            </w:pPr>
            <w:r>
              <w:rPr>
                <w:rFonts w:hint="default" w:ascii="华文楷体" w:hAnsi="华文楷体" w:eastAsia="华文楷体" w:cs="华文楷体"/>
                <w:b/>
                <w:bCs/>
                <w:color w:val="auto"/>
                <w:sz w:val="24"/>
                <w:szCs w:val="24"/>
              </w:rPr>
              <w:t>085211</w:t>
            </w:r>
          </w:p>
        </w:tc>
        <w:tc>
          <w:tcPr>
            <w:tcW w:w="186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right"/>
              <w:rPr>
                <w:b/>
                <w:bCs/>
                <w:color w:val="auto"/>
              </w:rPr>
            </w:pPr>
            <w:r>
              <w:rPr>
                <w:rFonts w:hint="default" w:ascii="华文楷体" w:hAnsi="华文楷体" w:eastAsia="华文楷体" w:cs="华文楷体"/>
                <w:b/>
                <w:bCs/>
                <w:color w:val="auto"/>
                <w:sz w:val="24"/>
                <w:szCs w:val="24"/>
              </w:rPr>
              <w:t>1.0万元/生学年</w:t>
            </w:r>
          </w:p>
        </w:tc>
        <w:tc>
          <w:tcPr>
            <w:tcW w:w="213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b/>
                <w:bCs/>
                <w:color w:val="auto"/>
              </w:rPr>
            </w:pPr>
            <w:r>
              <w:rPr>
                <w:rFonts w:hint="default" w:ascii="华文楷体" w:hAnsi="华文楷体" w:eastAsia="华文楷体" w:cs="华文楷体"/>
                <w:b/>
                <w:bCs/>
                <w:color w:val="auto"/>
                <w:sz w:val="24"/>
                <w:szCs w:val="24"/>
              </w:rPr>
              <w:t>按学期交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0" w:hRule="atLeast"/>
          <w:tblCellSpacing w:w="0" w:type="dxa"/>
        </w:trPr>
        <w:tc>
          <w:tcPr>
            <w:tcW w:w="395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工程（计算机技术）（非全日制）</w:t>
            </w:r>
          </w:p>
        </w:tc>
        <w:tc>
          <w:tcPr>
            <w:tcW w:w="93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085211</w:t>
            </w:r>
          </w:p>
        </w:tc>
        <w:tc>
          <w:tcPr>
            <w:tcW w:w="186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right"/>
              <w:rPr>
                <w:color w:val="auto"/>
              </w:rPr>
            </w:pPr>
            <w:r>
              <w:rPr>
                <w:rFonts w:hint="default" w:ascii="华文楷体" w:hAnsi="华文楷体" w:eastAsia="华文楷体" w:cs="华文楷体"/>
                <w:color w:val="auto"/>
                <w:sz w:val="24"/>
                <w:szCs w:val="24"/>
              </w:rPr>
              <w:t>6万元/生</w:t>
            </w:r>
          </w:p>
        </w:tc>
        <w:tc>
          <w:tcPr>
            <w:tcW w:w="213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第一年4万元，第二年2万元。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0" w:hRule="atLeast"/>
          <w:tblCellSpacing w:w="0" w:type="dxa"/>
        </w:trPr>
        <w:tc>
          <w:tcPr>
            <w:tcW w:w="395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工程（软件工程）</w:t>
            </w:r>
          </w:p>
        </w:tc>
        <w:tc>
          <w:tcPr>
            <w:tcW w:w="93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085212</w:t>
            </w:r>
          </w:p>
        </w:tc>
        <w:tc>
          <w:tcPr>
            <w:tcW w:w="186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right"/>
              <w:rPr>
                <w:color w:val="auto"/>
              </w:rPr>
            </w:pPr>
            <w:r>
              <w:rPr>
                <w:rFonts w:hint="default" w:ascii="华文楷体" w:hAnsi="华文楷体" w:eastAsia="华文楷体" w:cs="华文楷体"/>
                <w:color w:val="auto"/>
                <w:sz w:val="24"/>
                <w:szCs w:val="24"/>
              </w:rPr>
              <w:t>4.0万元/生</w:t>
            </w:r>
          </w:p>
        </w:tc>
        <w:tc>
          <w:tcPr>
            <w:tcW w:w="213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第一年2万元，第二年2万元。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30" w:hRule="atLeast"/>
          <w:tblCellSpacing w:w="0" w:type="dxa"/>
        </w:trPr>
        <w:tc>
          <w:tcPr>
            <w:tcW w:w="395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工程（建筑与土木工程）（非全日制）</w:t>
            </w:r>
          </w:p>
        </w:tc>
        <w:tc>
          <w:tcPr>
            <w:tcW w:w="93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085213</w:t>
            </w:r>
          </w:p>
        </w:tc>
        <w:tc>
          <w:tcPr>
            <w:tcW w:w="186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right"/>
              <w:rPr>
                <w:color w:val="auto"/>
              </w:rPr>
            </w:pPr>
            <w:r>
              <w:rPr>
                <w:rFonts w:hint="default" w:ascii="华文楷体" w:hAnsi="华文楷体" w:eastAsia="华文楷体" w:cs="华文楷体"/>
                <w:color w:val="auto"/>
                <w:sz w:val="24"/>
                <w:szCs w:val="24"/>
              </w:rPr>
              <w:t>4.5万元/生</w:t>
            </w:r>
          </w:p>
        </w:tc>
        <w:tc>
          <w:tcPr>
            <w:tcW w:w="213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第一年3.3万元，第二年1.2万元。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30" w:hRule="atLeast"/>
          <w:tblCellSpacing w:w="0" w:type="dxa"/>
        </w:trPr>
        <w:tc>
          <w:tcPr>
            <w:tcW w:w="395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工程（安全工程）（全日制）</w:t>
            </w:r>
          </w:p>
        </w:tc>
        <w:tc>
          <w:tcPr>
            <w:tcW w:w="93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085224</w:t>
            </w:r>
          </w:p>
        </w:tc>
        <w:tc>
          <w:tcPr>
            <w:tcW w:w="186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right"/>
              <w:rPr>
                <w:color w:val="auto"/>
              </w:rPr>
            </w:pPr>
            <w:r>
              <w:rPr>
                <w:rFonts w:hint="default" w:ascii="华文楷体" w:hAnsi="华文楷体" w:eastAsia="华文楷体" w:cs="华文楷体"/>
                <w:color w:val="auto"/>
                <w:sz w:val="24"/>
                <w:szCs w:val="24"/>
              </w:rPr>
              <w:t>1.0万元/生学年</w:t>
            </w:r>
          </w:p>
        </w:tc>
        <w:tc>
          <w:tcPr>
            <w:tcW w:w="213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按学期交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0" w:hRule="atLeast"/>
          <w:tblCellSpacing w:w="0" w:type="dxa"/>
        </w:trPr>
        <w:tc>
          <w:tcPr>
            <w:tcW w:w="395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工程（安全工程）（非全日制）</w:t>
            </w:r>
          </w:p>
        </w:tc>
        <w:tc>
          <w:tcPr>
            <w:tcW w:w="93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085224</w:t>
            </w:r>
          </w:p>
        </w:tc>
        <w:tc>
          <w:tcPr>
            <w:tcW w:w="186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right"/>
              <w:rPr>
                <w:color w:val="auto"/>
              </w:rPr>
            </w:pPr>
            <w:r>
              <w:rPr>
                <w:rFonts w:hint="default" w:ascii="华文楷体" w:hAnsi="华文楷体" w:eastAsia="华文楷体" w:cs="华文楷体"/>
                <w:color w:val="auto"/>
                <w:sz w:val="24"/>
                <w:szCs w:val="24"/>
              </w:rPr>
              <w:t>4万元/生</w:t>
            </w:r>
          </w:p>
        </w:tc>
        <w:tc>
          <w:tcPr>
            <w:tcW w:w="213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第一年2.5万元，第二年1.5万元。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0" w:hRule="atLeast"/>
          <w:tblCellSpacing w:w="0" w:type="dxa"/>
        </w:trPr>
        <w:tc>
          <w:tcPr>
            <w:tcW w:w="395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工程（核能与核技术工程）（全日制）</w:t>
            </w:r>
          </w:p>
        </w:tc>
        <w:tc>
          <w:tcPr>
            <w:tcW w:w="93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085226</w:t>
            </w:r>
          </w:p>
        </w:tc>
        <w:tc>
          <w:tcPr>
            <w:tcW w:w="186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right"/>
              <w:rPr>
                <w:color w:val="auto"/>
              </w:rPr>
            </w:pPr>
            <w:r>
              <w:rPr>
                <w:rFonts w:hint="default" w:ascii="华文楷体" w:hAnsi="华文楷体" w:eastAsia="华文楷体" w:cs="华文楷体"/>
                <w:color w:val="auto"/>
                <w:sz w:val="24"/>
                <w:szCs w:val="24"/>
              </w:rPr>
              <w:t>1.0万元/生学年</w:t>
            </w:r>
          </w:p>
        </w:tc>
        <w:tc>
          <w:tcPr>
            <w:tcW w:w="213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按学期交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30" w:hRule="atLeast"/>
          <w:tblCellSpacing w:w="0" w:type="dxa"/>
        </w:trPr>
        <w:tc>
          <w:tcPr>
            <w:tcW w:w="395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工程（核能与核技术工程）（非全日制）</w:t>
            </w:r>
          </w:p>
        </w:tc>
        <w:tc>
          <w:tcPr>
            <w:tcW w:w="93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085226</w:t>
            </w:r>
          </w:p>
        </w:tc>
        <w:tc>
          <w:tcPr>
            <w:tcW w:w="186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right"/>
              <w:rPr>
                <w:color w:val="auto"/>
              </w:rPr>
            </w:pPr>
            <w:r>
              <w:rPr>
                <w:rFonts w:hint="default" w:ascii="华文楷体" w:hAnsi="华文楷体" w:eastAsia="华文楷体" w:cs="华文楷体"/>
                <w:color w:val="auto"/>
                <w:sz w:val="24"/>
                <w:szCs w:val="24"/>
              </w:rPr>
              <w:t>4万元/生</w:t>
            </w:r>
          </w:p>
        </w:tc>
        <w:tc>
          <w:tcPr>
            <w:tcW w:w="213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第一年2.5万元，第二年1.5万元。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0" w:hRule="atLeast"/>
          <w:tblCellSpacing w:w="0" w:type="dxa"/>
        </w:trPr>
        <w:tc>
          <w:tcPr>
            <w:tcW w:w="395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工程（工业设计工程）（非全日制）</w:t>
            </w:r>
          </w:p>
        </w:tc>
        <w:tc>
          <w:tcPr>
            <w:tcW w:w="93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085237</w:t>
            </w:r>
          </w:p>
        </w:tc>
        <w:tc>
          <w:tcPr>
            <w:tcW w:w="186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right"/>
              <w:rPr>
                <w:color w:val="auto"/>
              </w:rPr>
            </w:pPr>
            <w:r>
              <w:rPr>
                <w:rFonts w:hint="default" w:ascii="华文楷体" w:hAnsi="华文楷体" w:eastAsia="华文楷体" w:cs="华文楷体"/>
                <w:color w:val="auto"/>
                <w:sz w:val="24"/>
                <w:szCs w:val="24"/>
              </w:rPr>
              <w:t>12万元/生</w:t>
            </w:r>
          </w:p>
        </w:tc>
        <w:tc>
          <w:tcPr>
            <w:tcW w:w="213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第一年6万元，第二年6万元。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0" w:hRule="atLeast"/>
          <w:tblCellSpacing w:w="0" w:type="dxa"/>
        </w:trPr>
        <w:tc>
          <w:tcPr>
            <w:tcW w:w="395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b/>
                <w:bCs/>
                <w:color w:val="auto"/>
              </w:rPr>
            </w:pPr>
            <w:r>
              <w:rPr>
                <w:rFonts w:hint="default" w:ascii="华文楷体" w:hAnsi="华文楷体" w:eastAsia="华文楷体" w:cs="华文楷体"/>
                <w:b/>
                <w:bCs/>
                <w:color w:val="auto"/>
                <w:sz w:val="24"/>
                <w:szCs w:val="24"/>
              </w:rPr>
              <w:t>工程（其它领域）（全日制）</w:t>
            </w:r>
          </w:p>
        </w:tc>
        <w:tc>
          <w:tcPr>
            <w:tcW w:w="93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b/>
                <w:bCs/>
                <w:color w:val="auto"/>
              </w:rPr>
            </w:pPr>
            <w:r>
              <w:rPr>
                <w:rFonts w:hint="default" w:ascii="华文楷体" w:hAnsi="华文楷体" w:eastAsia="华文楷体" w:cs="华文楷体"/>
                <w:b/>
                <w:bCs/>
                <w:color w:val="auto"/>
                <w:sz w:val="24"/>
                <w:szCs w:val="24"/>
              </w:rPr>
              <w:t>0852</w:t>
            </w:r>
          </w:p>
        </w:tc>
        <w:tc>
          <w:tcPr>
            <w:tcW w:w="186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right"/>
              <w:rPr>
                <w:b/>
                <w:bCs/>
                <w:color w:val="auto"/>
              </w:rPr>
            </w:pPr>
            <w:r>
              <w:rPr>
                <w:rFonts w:hint="default" w:ascii="华文楷体" w:hAnsi="华文楷体" w:eastAsia="华文楷体" w:cs="华文楷体"/>
                <w:b/>
                <w:bCs/>
                <w:color w:val="auto"/>
                <w:sz w:val="24"/>
                <w:szCs w:val="24"/>
              </w:rPr>
              <w:t>1.0万元/生学年</w:t>
            </w:r>
          </w:p>
        </w:tc>
        <w:tc>
          <w:tcPr>
            <w:tcW w:w="213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b/>
                <w:bCs/>
                <w:color w:val="auto"/>
              </w:rPr>
            </w:pPr>
            <w:r>
              <w:rPr>
                <w:rFonts w:hint="default" w:ascii="华文楷体" w:hAnsi="华文楷体" w:eastAsia="华文楷体" w:cs="华文楷体"/>
                <w:b/>
                <w:bCs/>
                <w:color w:val="auto"/>
                <w:sz w:val="24"/>
                <w:szCs w:val="24"/>
              </w:rPr>
              <w:t>按学期交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0" w:hRule="atLeast"/>
          <w:tblCellSpacing w:w="0" w:type="dxa"/>
        </w:trPr>
        <w:tc>
          <w:tcPr>
            <w:tcW w:w="395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城市规划</w:t>
            </w:r>
          </w:p>
        </w:tc>
        <w:tc>
          <w:tcPr>
            <w:tcW w:w="93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085300</w:t>
            </w:r>
          </w:p>
        </w:tc>
        <w:tc>
          <w:tcPr>
            <w:tcW w:w="186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right"/>
              <w:rPr>
                <w:color w:val="auto"/>
              </w:rPr>
            </w:pPr>
            <w:r>
              <w:rPr>
                <w:rFonts w:hint="default" w:ascii="华文楷体" w:hAnsi="华文楷体" w:eastAsia="华文楷体" w:cs="华文楷体"/>
                <w:color w:val="auto"/>
                <w:sz w:val="24"/>
                <w:szCs w:val="24"/>
              </w:rPr>
              <w:t>1.0万元/生学年</w:t>
            </w:r>
          </w:p>
        </w:tc>
        <w:tc>
          <w:tcPr>
            <w:tcW w:w="213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按学期交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30" w:hRule="atLeast"/>
          <w:tblCellSpacing w:w="0" w:type="dxa"/>
        </w:trPr>
        <w:tc>
          <w:tcPr>
            <w:tcW w:w="395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风景园林（全日制）</w:t>
            </w:r>
          </w:p>
        </w:tc>
        <w:tc>
          <w:tcPr>
            <w:tcW w:w="93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095300</w:t>
            </w:r>
          </w:p>
        </w:tc>
        <w:tc>
          <w:tcPr>
            <w:tcW w:w="186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right"/>
              <w:rPr>
                <w:color w:val="auto"/>
              </w:rPr>
            </w:pPr>
            <w:r>
              <w:rPr>
                <w:rFonts w:hint="default" w:ascii="华文楷体" w:hAnsi="华文楷体" w:eastAsia="华文楷体" w:cs="华文楷体"/>
                <w:color w:val="auto"/>
                <w:sz w:val="24"/>
                <w:szCs w:val="24"/>
              </w:rPr>
              <w:t>1.0万元/生学年</w:t>
            </w:r>
          </w:p>
        </w:tc>
        <w:tc>
          <w:tcPr>
            <w:tcW w:w="213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按学期交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0" w:hRule="atLeast"/>
          <w:tblCellSpacing w:w="0" w:type="dxa"/>
        </w:trPr>
        <w:tc>
          <w:tcPr>
            <w:tcW w:w="395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风景园林（非全日制）</w:t>
            </w:r>
          </w:p>
        </w:tc>
        <w:tc>
          <w:tcPr>
            <w:tcW w:w="93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095300</w:t>
            </w:r>
          </w:p>
        </w:tc>
        <w:tc>
          <w:tcPr>
            <w:tcW w:w="186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right"/>
              <w:rPr>
                <w:color w:val="auto"/>
              </w:rPr>
            </w:pPr>
            <w:r>
              <w:rPr>
                <w:rFonts w:hint="default" w:ascii="华文楷体" w:hAnsi="华文楷体" w:eastAsia="华文楷体" w:cs="华文楷体"/>
                <w:color w:val="auto"/>
                <w:sz w:val="24"/>
                <w:szCs w:val="24"/>
              </w:rPr>
              <w:t>3.9万元/生</w:t>
            </w:r>
          </w:p>
        </w:tc>
        <w:tc>
          <w:tcPr>
            <w:tcW w:w="213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第一年一次性收齐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0" w:hRule="atLeast"/>
          <w:tblCellSpacing w:w="0" w:type="dxa"/>
        </w:trPr>
        <w:tc>
          <w:tcPr>
            <w:tcW w:w="395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临床医学</w:t>
            </w:r>
          </w:p>
        </w:tc>
        <w:tc>
          <w:tcPr>
            <w:tcW w:w="93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105100</w:t>
            </w:r>
          </w:p>
        </w:tc>
        <w:tc>
          <w:tcPr>
            <w:tcW w:w="186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right"/>
              <w:rPr>
                <w:color w:val="auto"/>
              </w:rPr>
            </w:pPr>
            <w:r>
              <w:rPr>
                <w:rFonts w:hint="default" w:ascii="华文楷体" w:hAnsi="华文楷体" w:eastAsia="华文楷体" w:cs="华文楷体"/>
                <w:color w:val="auto"/>
                <w:sz w:val="24"/>
                <w:szCs w:val="24"/>
              </w:rPr>
              <w:t>0.8万元/生学年</w:t>
            </w:r>
          </w:p>
        </w:tc>
        <w:tc>
          <w:tcPr>
            <w:tcW w:w="213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按学期交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0" w:hRule="atLeast"/>
          <w:tblCellSpacing w:w="0" w:type="dxa"/>
        </w:trPr>
        <w:tc>
          <w:tcPr>
            <w:tcW w:w="395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公共卫生（非全日制）</w:t>
            </w:r>
          </w:p>
        </w:tc>
        <w:tc>
          <w:tcPr>
            <w:tcW w:w="93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105300</w:t>
            </w:r>
          </w:p>
        </w:tc>
        <w:tc>
          <w:tcPr>
            <w:tcW w:w="186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right"/>
              <w:rPr>
                <w:color w:val="auto"/>
              </w:rPr>
            </w:pPr>
            <w:r>
              <w:rPr>
                <w:rFonts w:hint="default" w:ascii="华文楷体" w:hAnsi="华文楷体" w:eastAsia="华文楷体" w:cs="华文楷体"/>
                <w:color w:val="auto"/>
                <w:sz w:val="24"/>
                <w:szCs w:val="24"/>
              </w:rPr>
              <w:t>6.5万元/生</w:t>
            </w:r>
          </w:p>
        </w:tc>
        <w:tc>
          <w:tcPr>
            <w:tcW w:w="213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第一年3.25万元，第二年3.25万元。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0" w:hRule="atLeast"/>
          <w:tblCellSpacing w:w="0" w:type="dxa"/>
        </w:trPr>
        <w:tc>
          <w:tcPr>
            <w:tcW w:w="395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工商管理（清华MBA项目）（非全日制）</w:t>
            </w:r>
          </w:p>
        </w:tc>
        <w:tc>
          <w:tcPr>
            <w:tcW w:w="93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125100</w:t>
            </w:r>
          </w:p>
        </w:tc>
        <w:tc>
          <w:tcPr>
            <w:tcW w:w="186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right"/>
              <w:rPr>
                <w:color w:val="auto"/>
              </w:rPr>
            </w:pPr>
            <w:r>
              <w:rPr>
                <w:rFonts w:hint="default" w:ascii="华文楷体" w:hAnsi="华文楷体" w:eastAsia="华文楷体" w:cs="华文楷体"/>
                <w:color w:val="auto"/>
                <w:sz w:val="24"/>
                <w:szCs w:val="24"/>
              </w:rPr>
              <w:t>30.8万元/生</w:t>
            </w:r>
          </w:p>
        </w:tc>
        <w:tc>
          <w:tcPr>
            <w:tcW w:w="213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第一年15.4万元，第二年15.4万元。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0" w:hRule="atLeast"/>
          <w:tblCellSpacing w:w="0" w:type="dxa"/>
        </w:trPr>
        <w:tc>
          <w:tcPr>
            <w:tcW w:w="395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工商管理（清华—MIT全球MBA项目）（全日制）</w:t>
            </w:r>
          </w:p>
        </w:tc>
        <w:tc>
          <w:tcPr>
            <w:tcW w:w="93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125100</w:t>
            </w:r>
          </w:p>
        </w:tc>
        <w:tc>
          <w:tcPr>
            <w:tcW w:w="186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right"/>
              <w:rPr>
                <w:color w:val="auto"/>
              </w:rPr>
            </w:pPr>
            <w:r>
              <w:rPr>
                <w:rFonts w:hint="default" w:ascii="华文楷体" w:hAnsi="华文楷体" w:eastAsia="华文楷体" w:cs="华文楷体"/>
                <w:color w:val="auto"/>
                <w:sz w:val="24"/>
                <w:szCs w:val="24"/>
              </w:rPr>
              <w:t>19.8万元/生</w:t>
            </w:r>
          </w:p>
        </w:tc>
        <w:tc>
          <w:tcPr>
            <w:tcW w:w="213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第一年9.9万元，第二年9.9万元。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0" w:hRule="atLeast"/>
          <w:tblCellSpacing w:w="0" w:type="dxa"/>
        </w:trPr>
        <w:tc>
          <w:tcPr>
            <w:tcW w:w="395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工商管理（高级管理人员工商管理硕士（EMBA））（经管insead双学位项目）（非全日制）</w:t>
            </w:r>
          </w:p>
        </w:tc>
        <w:tc>
          <w:tcPr>
            <w:tcW w:w="93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125100</w:t>
            </w:r>
          </w:p>
        </w:tc>
        <w:tc>
          <w:tcPr>
            <w:tcW w:w="186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right"/>
              <w:rPr>
                <w:color w:val="auto"/>
              </w:rPr>
            </w:pPr>
            <w:r>
              <w:rPr>
                <w:rFonts w:hint="default" w:ascii="华文楷体" w:hAnsi="华文楷体" w:eastAsia="华文楷体" w:cs="华文楷体"/>
                <w:color w:val="auto"/>
                <w:sz w:val="24"/>
                <w:szCs w:val="24"/>
              </w:rPr>
              <w:t>406250元/生</w:t>
            </w:r>
          </w:p>
        </w:tc>
        <w:tc>
          <w:tcPr>
            <w:tcW w:w="213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第一年一次性收齐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0" w:hRule="atLeast"/>
          <w:tblCellSpacing w:w="0" w:type="dxa"/>
        </w:trPr>
        <w:tc>
          <w:tcPr>
            <w:tcW w:w="395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工商管理（高级管理人员工商管理硕士（EMBA））（经管学院其它项目）（非全日制）</w:t>
            </w:r>
          </w:p>
        </w:tc>
        <w:tc>
          <w:tcPr>
            <w:tcW w:w="93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125100</w:t>
            </w:r>
          </w:p>
        </w:tc>
        <w:tc>
          <w:tcPr>
            <w:tcW w:w="186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待定</w:t>
            </w:r>
          </w:p>
        </w:tc>
        <w:tc>
          <w:tcPr>
            <w:tcW w:w="213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具体请咨询：010-62789913。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0" w:hRule="atLeast"/>
          <w:tblCellSpacing w:w="0" w:type="dxa"/>
        </w:trPr>
        <w:tc>
          <w:tcPr>
            <w:tcW w:w="395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工商管理（清华—康奈尔双学位金融MBA项目）（非全日制）</w:t>
            </w:r>
          </w:p>
        </w:tc>
        <w:tc>
          <w:tcPr>
            <w:tcW w:w="93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125100</w:t>
            </w:r>
          </w:p>
        </w:tc>
        <w:tc>
          <w:tcPr>
            <w:tcW w:w="186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待定</w:t>
            </w:r>
          </w:p>
        </w:tc>
        <w:tc>
          <w:tcPr>
            <w:tcW w:w="213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具体请咨询：010-62797592。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0" w:hRule="atLeast"/>
          <w:tblCellSpacing w:w="0" w:type="dxa"/>
        </w:trPr>
        <w:tc>
          <w:tcPr>
            <w:tcW w:w="395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工商管理（高级管理人员工商管理硕士（EMBA））（五道口金融学院）（非全日制）</w:t>
            </w:r>
          </w:p>
        </w:tc>
        <w:tc>
          <w:tcPr>
            <w:tcW w:w="93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125100</w:t>
            </w:r>
          </w:p>
        </w:tc>
        <w:tc>
          <w:tcPr>
            <w:tcW w:w="186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right"/>
              <w:rPr>
                <w:color w:val="auto"/>
              </w:rPr>
            </w:pPr>
            <w:r>
              <w:rPr>
                <w:rFonts w:hint="default" w:ascii="华文楷体" w:hAnsi="华文楷体" w:eastAsia="华文楷体" w:cs="华文楷体"/>
                <w:color w:val="auto"/>
                <w:sz w:val="24"/>
                <w:szCs w:val="24"/>
              </w:rPr>
              <w:t>68.0万元/生</w:t>
            </w:r>
          </w:p>
        </w:tc>
        <w:tc>
          <w:tcPr>
            <w:tcW w:w="213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第一年一次性收齐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0" w:hRule="atLeast"/>
          <w:tblCellSpacing w:w="0" w:type="dxa"/>
        </w:trPr>
        <w:tc>
          <w:tcPr>
            <w:tcW w:w="395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公共管理（全日制）</w:t>
            </w:r>
          </w:p>
        </w:tc>
        <w:tc>
          <w:tcPr>
            <w:tcW w:w="93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125200</w:t>
            </w:r>
          </w:p>
        </w:tc>
        <w:tc>
          <w:tcPr>
            <w:tcW w:w="186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right"/>
              <w:rPr>
                <w:color w:val="auto"/>
              </w:rPr>
            </w:pPr>
            <w:r>
              <w:rPr>
                <w:rFonts w:hint="default" w:ascii="华文楷体" w:hAnsi="华文楷体" w:eastAsia="华文楷体" w:cs="华文楷体"/>
                <w:color w:val="auto"/>
                <w:sz w:val="24"/>
                <w:szCs w:val="24"/>
              </w:rPr>
              <w:t>5.9万元/生</w:t>
            </w:r>
          </w:p>
        </w:tc>
        <w:tc>
          <w:tcPr>
            <w:tcW w:w="213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第一年2.95万元，第二年2.95万元。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0" w:hRule="atLeast"/>
          <w:tblCellSpacing w:w="0" w:type="dxa"/>
        </w:trPr>
        <w:tc>
          <w:tcPr>
            <w:tcW w:w="395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公共管理（非全日制）</w:t>
            </w:r>
          </w:p>
        </w:tc>
        <w:tc>
          <w:tcPr>
            <w:tcW w:w="93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125200</w:t>
            </w:r>
          </w:p>
        </w:tc>
        <w:tc>
          <w:tcPr>
            <w:tcW w:w="186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right"/>
              <w:rPr>
                <w:color w:val="auto"/>
              </w:rPr>
            </w:pPr>
            <w:r>
              <w:rPr>
                <w:rFonts w:hint="default" w:ascii="华文楷体" w:hAnsi="华文楷体" w:eastAsia="华文楷体" w:cs="华文楷体"/>
                <w:color w:val="auto"/>
                <w:sz w:val="24"/>
                <w:szCs w:val="24"/>
              </w:rPr>
              <w:t>9.9万元/生</w:t>
            </w:r>
          </w:p>
        </w:tc>
        <w:tc>
          <w:tcPr>
            <w:tcW w:w="213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第一年4.95万元，第二年4.95万元。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30" w:hRule="atLeast"/>
          <w:tblCellSpacing w:w="0" w:type="dxa"/>
        </w:trPr>
        <w:tc>
          <w:tcPr>
            <w:tcW w:w="395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会计硕士（非全日制）</w:t>
            </w:r>
          </w:p>
        </w:tc>
        <w:tc>
          <w:tcPr>
            <w:tcW w:w="93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125300</w:t>
            </w:r>
          </w:p>
        </w:tc>
        <w:tc>
          <w:tcPr>
            <w:tcW w:w="186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right"/>
              <w:rPr>
                <w:color w:val="auto"/>
              </w:rPr>
            </w:pPr>
            <w:r>
              <w:rPr>
                <w:rFonts w:hint="default" w:ascii="华文楷体" w:hAnsi="华文楷体" w:eastAsia="华文楷体" w:cs="华文楷体"/>
                <w:color w:val="auto"/>
                <w:sz w:val="24"/>
                <w:szCs w:val="24"/>
              </w:rPr>
              <w:t>20.86万元/生</w:t>
            </w:r>
          </w:p>
        </w:tc>
        <w:tc>
          <w:tcPr>
            <w:tcW w:w="213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第一年10.43万元，第二年10.43万元。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0" w:hRule="atLeast"/>
          <w:tblCellSpacing w:w="0" w:type="dxa"/>
        </w:trPr>
        <w:tc>
          <w:tcPr>
            <w:tcW w:w="395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工程管理（非全日制）</w:t>
            </w:r>
          </w:p>
        </w:tc>
        <w:tc>
          <w:tcPr>
            <w:tcW w:w="93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125600</w:t>
            </w:r>
          </w:p>
        </w:tc>
        <w:tc>
          <w:tcPr>
            <w:tcW w:w="186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right"/>
              <w:rPr>
                <w:color w:val="auto"/>
              </w:rPr>
            </w:pPr>
            <w:r>
              <w:rPr>
                <w:rFonts w:hint="default" w:ascii="华文楷体" w:hAnsi="华文楷体" w:eastAsia="华文楷体" w:cs="华文楷体"/>
                <w:color w:val="auto"/>
                <w:sz w:val="24"/>
                <w:szCs w:val="24"/>
              </w:rPr>
              <w:t>16.8万元/生</w:t>
            </w:r>
          </w:p>
        </w:tc>
        <w:tc>
          <w:tcPr>
            <w:tcW w:w="213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第一年8.4万元，第二年8.4万元。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30" w:hRule="atLeast"/>
          <w:tblCellSpacing w:w="0" w:type="dxa"/>
        </w:trPr>
        <w:tc>
          <w:tcPr>
            <w:tcW w:w="395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艺术（全日制）</w:t>
            </w:r>
          </w:p>
        </w:tc>
        <w:tc>
          <w:tcPr>
            <w:tcW w:w="93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135100</w:t>
            </w:r>
          </w:p>
        </w:tc>
        <w:tc>
          <w:tcPr>
            <w:tcW w:w="186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right"/>
              <w:rPr>
                <w:color w:val="auto"/>
              </w:rPr>
            </w:pPr>
            <w:r>
              <w:rPr>
                <w:rFonts w:hint="default" w:ascii="华文楷体" w:hAnsi="华文楷体" w:eastAsia="华文楷体" w:cs="华文楷体"/>
                <w:color w:val="auto"/>
                <w:sz w:val="24"/>
                <w:szCs w:val="24"/>
              </w:rPr>
              <w:t>2.0万元/生学年</w:t>
            </w:r>
          </w:p>
        </w:tc>
        <w:tc>
          <w:tcPr>
            <w:tcW w:w="213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按学期交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0" w:hRule="atLeast"/>
          <w:tblCellSpacing w:w="0" w:type="dxa"/>
        </w:trPr>
        <w:tc>
          <w:tcPr>
            <w:tcW w:w="3955"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艺术（非全日制）</w:t>
            </w:r>
          </w:p>
        </w:tc>
        <w:tc>
          <w:tcPr>
            <w:tcW w:w="936"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center"/>
              <w:rPr>
                <w:color w:val="auto"/>
              </w:rPr>
            </w:pPr>
            <w:r>
              <w:rPr>
                <w:rFonts w:hint="default" w:ascii="华文楷体" w:hAnsi="华文楷体" w:eastAsia="华文楷体" w:cs="华文楷体"/>
                <w:color w:val="auto"/>
                <w:sz w:val="24"/>
                <w:szCs w:val="24"/>
              </w:rPr>
              <w:t>135100</w:t>
            </w:r>
          </w:p>
        </w:tc>
        <w:tc>
          <w:tcPr>
            <w:tcW w:w="186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right"/>
              <w:rPr>
                <w:color w:val="auto"/>
              </w:rPr>
            </w:pPr>
            <w:r>
              <w:rPr>
                <w:rFonts w:hint="default" w:ascii="华文楷体" w:hAnsi="华文楷体" w:eastAsia="华文楷体" w:cs="华文楷体"/>
                <w:color w:val="auto"/>
                <w:sz w:val="24"/>
                <w:szCs w:val="24"/>
              </w:rPr>
              <w:t>9.8万元/生</w:t>
            </w:r>
          </w:p>
        </w:tc>
        <w:tc>
          <w:tcPr>
            <w:tcW w:w="2137" w:type="dxa"/>
            <w:tcBorders>
              <w:top w:val="nil"/>
              <w:left w:val="nil"/>
              <w:bottom w:val="single" w:color="auto" w:sz="6" w:space="0"/>
              <w:right w:val="nil"/>
            </w:tcBorders>
            <w:shd w:val="clear" w:color="auto" w:fill="auto"/>
            <w:tcMar>
              <w:left w:w="105" w:type="dxa"/>
              <w:right w:w="105" w:type="dxa"/>
            </w:tcMar>
            <w:vAlign w:val="center"/>
          </w:tcPr>
          <w:p>
            <w:pPr>
              <w:pStyle w:val="3"/>
              <w:keepNext w:val="0"/>
              <w:keepLines w:val="0"/>
              <w:widowControl/>
              <w:suppressLineNumbers w:val="0"/>
              <w:jc w:val="left"/>
              <w:rPr>
                <w:color w:val="auto"/>
              </w:rPr>
            </w:pPr>
            <w:r>
              <w:rPr>
                <w:rFonts w:hint="default" w:ascii="华文楷体" w:hAnsi="华文楷体" w:eastAsia="华文楷体" w:cs="华文楷体"/>
                <w:color w:val="auto"/>
                <w:sz w:val="24"/>
                <w:szCs w:val="24"/>
              </w:rPr>
              <w:t>第一年4.9万元，第二年4.9万元。</w:t>
            </w:r>
          </w:p>
        </w:tc>
      </w:tr>
    </w:tbl>
    <w:p>
      <w:pPr>
        <w:pStyle w:val="3"/>
        <w:keepNext w:val="0"/>
        <w:keepLines w:val="0"/>
        <w:widowControl/>
        <w:suppressLineNumbers w:val="0"/>
        <w:spacing w:before="750" w:beforeAutospacing="0" w:after="750" w:afterAutospacing="0" w:line="360" w:lineRule="atLeast"/>
        <w:ind w:left="0" w:right="0"/>
        <w:rPr>
          <w:color w:val="auto"/>
        </w:rPr>
      </w:pPr>
      <w:r>
        <w:rPr>
          <w:rFonts w:hint="default" w:ascii="华文楷体" w:hAnsi="华文楷体" w:eastAsia="华文楷体" w:cs="华文楷体"/>
          <w:color w:val="auto"/>
          <w:sz w:val="24"/>
          <w:szCs w:val="24"/>
          <w:shd w:val="clear" w:fill="FFFFFF"/>
        </w:rPr>
        <w:t>*如无特殊说明，金额币种为人民币。双硕士学位项目的学费标准为需要向清华大学支付的学费标准，外方学校的学费标准请咨询项目招生简章或咨询项目组。</w:t>
      </w:r>
    </w:p>
    <w:p>
      <w:pPr>
        <w:rPr>
          <w:color w:va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楷体">
    <w:panose1 w:val="02010609060101010101"/>
    <w:charset w:val="86"/>
    <w:family w:val="auto"/>
    <w:pitch w:val="default"/>
    <w:sig w:usb0="800002BF" w:usb1="38CF7CFA" w:usb2="00000016" w:usb3="00000000" w:csb0="00040001" w:csb1="00000000"/>
  </w:font>
  <w:font w:name="华文楷体">
    <w:altName w:val="宋体"/>
    <w:panose1 w:val="00000000000000000000"/>
    <w:charset w:val="00"/>
    <w:family w:val="auto"/>
    <w:pitch w:val="default"/>
    <w:sig w:usb0="00000000" w:usb1="00000000" w:usb2="00000000" w:usb3="00000000" w:csb0="00000000" w:csb1="00000000"/>
  </w:font>
  <w:font w:name="楷体_GB2312">
    <w:altName w:val="楷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2804DD"/>
    <w:rsid w:val="6A956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18"/>
      <w:szCs w:val="1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FFFFFF"/>
      <w:u w:val="none"/>
    </w:rPr>
  </w:style>
  <w:style w:type="character" w:styleId="8">
    <w:name w:val="Hyperlink"/>
    <w:basedOn w:val="5"/>
    <w:qFormat/>
    <w:uiPriority w:val="0"/>
    <w:rPr>
      <w:color w:val="FFFFFF"/>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邱秋刚</cp:lastModifiedBy>
  <dcterms:modified xsi:type="dcterms:W3CDTF">2019-03-07T09:23:54Z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