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1E3A5F"/>
          <w:sz w:val="56"/>
          <w:szCs w:val="56"/>
        </w:rPr>
        <w:t xml:space="preserve">GLOBAL AI INDUSTRY</w:t>
      </w:r>
    </w:p>
    <w:p>
      <w:pPr>
        <w:jc w:val="center"/>
      </w:pPr>
      <w:r>
        <w:rPr>
          <w:rFonts w:ascii="Arial" w:cs="Arial" w:eastAsia="Arial" w:hAnsi="Arial"/>
          <w:b/>
          <w:bCs/>
          <w:color w:val="1E3A5F"/>
          <w:sz w:val="56"/>
          <w:szCs w:val="56"/>
        </w:rPr>
        <w:t xml:space="preserve">INVESTMENT PLAN &amp; ANALYSIS</w:t>
      </w:r>
    </w:p>
    <w:p>
      <w:pPr>
        <w:jc w:val="center"/>
      </w:pPr>
      <w:r>
        <w:rPr>
          <w:rFonts w:ascii="Arial" w:cs="Arial" w:eastAsia="Arial" w:hAnsi="Arial"/>
          <w:color w:val="666666"/>
          <w:sz w:val="36"/>
          <w:szCs w:val="36"/>
        </w:rPr>
        <w:t xml:space="preserve">April 2026</w:t>
      </w:r>
    </w:p>
    <w:p/>
    <w:p>
      <w:pPr>
        <w:jc w:val="center"/>
      </w:pPr>
      <w:r>
        <w:rPr>
          <w:rFonts w:ascii="Arial" w:cs="Arial" w:eastAsia="Arial" w:hAnsi="Arial"/>
          <w:i/>
          <w:iCs/>
          <w:color w:val="888888"/>
          <w:sz w:val="28"/>
          <w:szCs w:val="28"/>
        </w:rPr>
        <w:t xml:space="preserve">Comprehensive Research Report</w:t>
      </w:r>
    </w:p>
    <w:p/>
    <w:p/>
    <w:p/>
    <w:p>
      <w:pPr>
        <w:jc w:val="center"/>
      </w:pPr>
      <w:r>
        <w:rPr>
          <w:rFonts w:ascii="Arial" w:cs="Arial" w:eastAsia="Arial" w:hAnsi="Arial"/>
          <w:color w:val="666666"/>
          <w:sz w:val="22"/>
          <w:szCs w:val="22"/>
        </w:rPr>
        <w:t xml:space="preserve">Research Period: 2022-2026</w:t>
      </w:r>
    </w:p>
    <w:p>
      <w:pPr>
        <w:jc w:val="center"/>
      </w:pPr>
      <w:r>
        <w:rPr>
          <w:rFonts w:ascii="Arial" w:cs="Arial" w:eastAsia="Arial" w:hAnsi="Arial"/>
          <w:color w:val="666666"/>
          <w:sz w:val="22"/>
          <w:szCs w:val="22"/>
        </w:rPr>
        <w:t xml:space="preserve">Data Sources: Crunchbase, Stanford HAI, McKinsey, Gartner, Statista, Reuters</w:t>
      </w:r>
    </w:p>
    <w:p>
      <w:r>
        <w:br w:type="page"/>
      </w:r>
    </w:p>
    <w:p>
      <w:pPr>
        <w:pStyle w:val="Heading1"/>
      </w:pPr>
      <w:r>
        <w:rPr>
          <w:rFonts w:ascii="Arial" w:cs="Arial" w:eastAsia="Arial" w:hAnsi="Arial"/>
          <w:b/>
          <w:bCs/>
        </w:rPr>
        <w:t xml:space="preserve">Table of Contents</w:t>
      </w:r>
    </w:p>
    <w:p>
      <w:r>
        <w:rPr>
          <w:rFonts w:ascii="Arial" w:cs="Arial" w:eastAsia="Arial" w:hAnsi="Arial"/>
        </w:rPr>
        <w:t xml:space="preserve">1. Executive Summary...................................................................................3</w:t>
      </w:r>
    </w:p>
    <w:p>
      <w:r>
        <w:rPr>
          <w:rFonts w:ascii="Arial" w:cs="Arial" w:eastAsia="Arial" w:hAnsi="Arial"/>
        </w:rPr>
        <w:t xml:space="preserve">2. Global AI Investment Landscape 2026..........................................................4</w:t>
      </w:r>
    </w:p>
    <w:p>
      <w:r>
        <w:rPr>
          <w:rFonts w:ascii="Arial" w:cs="Arial" w:eastAsia="Arial" w:hAnsi="Arial"/>
        </w:rPr>
        <w:t xml:space="preserve">3. Hyperscaler Capital Expenditure Plans........................................................7</w:t>
      </w:r>
    </w:p>
    <w:p>
      <w:r>
        <w:rPr>
          <w:rFonts w:ascii="Arial" w:cs="Arial" w:eastAsia="Arial" w:hAnsi="Arial"/>
        </w:rPr>
        <w:t xml:space="preserve">4. Foundation Model Company Investments........................................................9</w:t>
      </w:r>
    </w:p>
    <w:p>
      <w:r>
        <w:rPr>
          <w:rFonts w:ascii="Arial" w:cs="Arial" w:eastAsia="Arial" w:hAnsi="Arial"/>
        </w:rPr>
        <w:t xml:space="preserve">5. Regional Investment Strategies....................................................................11</w:t>
      </w:r>
    </w:p>
    <w:p>
      <w:r>
        <w:rPr>
          <w:rFonts w:ascii="Arial" w:cs="Arial" w:eastAsia="Arial" w:hAnsi="Arial"/>
        </w:rPr>
        <w:t xml:space="preserve">6. Hot Investment Sectors &amp; Opportunities........................................................13</w:t>
      </w:r>
    </w:p>
    <w:p>
      <w:r>
        <w:rPr>
          <w:rFonts w:ascii="Arial" w:cs="Arial" w:eastAsia="Arial" w:hAnsi="Arial"/>
        </w:rPr>
        <w:t xml:space="preserve">7. Exit Strategies &amp; IPO Pipeline......................................................................16</w:t>
      </w:r>
    </w:p>
    <w:p>
      <w:r>
        <w:rPr>
          <w:rFonts w:ascii="Arial" w:cs="Arial" w:eastAsia="Arial" w:hAnsi="Arial"/>
        </w:rPr>
        <w:t xml:space="preserve">8. Risk Analysis..............................................................................................17</w:t>
      </w:r>
    </w:p>
    <w:p>
      <w:r>
        <w:rPr>
          <w:rFonts w:ascii="Arial" w:cs="Arial" w:eastAsia="Arial" w:hAnsi="Arial"/>
        </w:rPr>
        <w:t xml:space="preserve">9. Investment Recommendations........................................................................19</w:t>
      </w:r>
    </w:p>
    <w:p>
      <w:r>
        <w:rPr>
          <w:rFonts w:ascii="Arial" w:cs="Arial" w:eastAsia="Arial" w:hAnsi="Arial"/>
        </w:rPr>
        <w:t xml:space="preserve">10. References &amp; Sources................................................................................21</w:t>
      </w:r>
    </w:p>
    <w:p>
      <w:r>
        <w:br w:type="page"/>
      </w:r>
    </w:p>
    <w:p>
      <w:pPr>
        <w:pStyle w:val="Heading1"/>
      </w:pPr>
      <w:r>
        <w:rPr>
          <w:rFonts w:ascii="Arial" w:cs="Arial" w:eastAsia="Arial" w:hAnsi="Arial"/>
          <w:b/>
          <w:bCs/>
        </w:rPr>
        <w:t xml:space="preserve">1. Executive Summary</w:t>
      </w:r>
    </w:p>
    <w:p>
      <w:r>
        <w:rPr>
          <w:rFonts w:ascii="Arial" w:cs="Arial" w:eastAsia="Arial" w:hAnsi="Arial"/>
        </w:rPr>
        <w:t xml:space="preserve">The global AI industry has entered a hyper-investment phase never seen before in technology history. Total AI investment is projected to reach $2+ trillion globally in 2026, driven by unprecedented capital expenditure from hyperscalers, record VC funding, and sovereign AI initiatives.</w:t>
      </w:r>
    </w:p>
    <w:p/>
    <w:p>
      <w:r>
        <w:rPr>
          <w:rFonts w:ascii="Arial" w:cs="Arial" w:eastAsia="Arial" w:hAnsi="Arial"/>
        </w:rPr>
        <w:t xml:space="preserve">Key Highlights:</w:t>
      </w:r>
    </w:p>
    <w:p>
      <w:pPr>
        <w:pStyle w:val="ListParagraph"/>
        <w:numPr>
          <w:ilvl w:val="0"/>
          <w:numId w:val="2"/>
        </w:numPr>
      </w:pPr>
      <w:r>
        <w:rPr>
          <w:rFonts w:ascii="Arial" w:cs="Arial" w:eastAsia="Arial" w:hAnsi="Arial"/>
        </w:rPr>
        <w:t xml:space="preserve">Total AI VC Funding (2025): $258.7 billion</w:t>
      </w:r>
    </w:p>
    <w:p>
      <w:pPr>
        <w:pStyle w:val="ListParagraph"/>
        <w:numPr>
          <w:ilvl w:val="0"/>
          <w:numId w:val="2"/>
        </w:numPr>
      </w:pPr>
      <w:r>
        <w:rPr>
          <w:rFonts w:ascii="Arial" w:cs="Arial" w:eastAsia="Arial" w:hAnsi="Arial"/>
        </w:rPr>
        <w:t xml:space="preserve">Share of Global VC Investment: 61% (up from 30% in 2022)</w:t>
      </w:r>
    </w:p>
    <w:p>
      <w:pPr>
        <w:pStyle w:val="ListParagraph"/>
        <w:numPr>
          <w:ilvl w:val="0"/>
          <w:numId w:val="2"/>
        </w:numPr>
      </w:pPr>
      <w:r>
        <w:rPr>
          <w:rFonts w:ascii="Arial" w:cs="Arial" w:eastAsia="Arial" w:hAnsi="Arial"/>
        </w:rPr>
        <w:t xml:space="preserve">Hyperscaler Capex (2026): $660-690 billion</w:t>
      </w:r>
    </w:p>
    <w:p>
      <w:pPr>
        <w:pStyle w:val="ListParagraph"/>
        <w:numPr>
          <w:ilvl w:val="0"/>
          <w:numId w:val="2"/>
        </w:numPr>
      </w:pPr>
      <w:r>
        <w:rPr>
          <w:rFonts w:ascii="Arial" w:cs="Arial" w:eastAsia="Arial" w:hAnsi="Arial"/>
        </w:rPr>
        <w:t xml:space="preserve">Foundation Model Valuations: OpenAI $850B, Anthropic $380B</w:t>
      </w:r>
    </w:p>
    <w:p>
      <w:pPr>
        <w:pStyle w:val="ListParagraph"/>
        <w:numPr>
          <w:ilvl w:val="0"/>
          <w:numId w:val="2"/>
        </w:numPr>
      </w:pPr>
      <w:r>
        <w:rPr>
          <w:rFonts w:ascii="Arial" w:cs="Arial" w:eastAsia="Arial" w:hAnsi="Arial"/>
        </w:rPr>
        <w:t xml:space="preserve">Major IPOs Expected: Anthropic ($60B+), SpaceX ($75B)</w:t>
      </w:r>
    </w:p>
    <w:p/>
    <w:p>
      <w:pPr>
        <w:pStyle w:val="Heading2"/>
      </w:pPr>
      <w:r>
        <w:rPr>
          <w:rFonts w:ascii="Arial" w:cs="Arial" w:eastAsia="Arial" w:hAnsi="Arial"/>
          <w:b/>
          <w:bCs/>
        </w:rPr>
        <w:t xml:space="preserve">Key Investment Metrics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200"/>
        <w:gridCol w:w="1660"/>
      </w:tblGrid>
      <w:tr>
        <w:trPr>
          <w:cantSplit/>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Metric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2025</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2026 (Projected)</w:t>
            </w:r>
          </w:p>
        </w:tc>
        <w:tc>
          <w:tcPr>
            <w:tcW w:type="dxa" w:w="1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Change</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Total AI VC Funding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$258.7B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$300B+</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+16%</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Share of Global VC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+4pp</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Hyperscaler Capex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$350B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$660-690B</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+94%</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 Center Capex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$700B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 Trillion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+43%</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Generative AI Market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$140B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$180B+</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+29%</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Foundation Model Funding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$178B (Q1)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+123%</w:t>
            </w:r>
          </w:p>
        </w:tc>
      </w:tr>
    </w:tbl>
    <w:p/>
    <w:p>
      <w:pPr>
        <w:pStyle w:val="Heading2"/>
      </w:pPr>
      <w:r>
        <w:rPr>
          <w:rFonts w:ascii="Arial" w:cs="Arial" w:eastAsia="Arial" w:hAnsi="Arial"/>
          <w:b/>
          <w:bCs/>
        </w:rPr>
        <w:t xml:space="preserve">Investment Climate Assessment</w:t>
      </w:r>
    </w:p>
    <w:p>
      <w:r>
        <w:rPr>
          <w:rFonts w:ascii="Arial" w:cs="Arial" w:eastAsia="Arial" w:hAnsi="Arial"/>
        </w:rPr>
        <w:t xml:space="preserve">The AI investment landscape in April 2026 is characterized by:</w:t>
      </w:r>
    </w:p>
    <w:p>
      <w:pPr>
        <w:pStyle w:val="ListParagraph"/>
        <w:numPr>
          <w:ilvl w:val="0"/>
          <w:numId w:val="2"/>
        </w:numPr>
      </w:pPr>
      <w:r>
        <w:rPr>
          <w:rFonts w:ascii="Arial" w:cs="Arial" w:eastAsia="Arial" w:hAnsi="Arial"/>
        </w:rPr>
        <w:t xml:space="preserve">Unprecedented capital concentration in foundation AI labs ($178B in Q1 2026 alone)</w:t>
      </w:r>
    </w:p>
    <w:p>
      <w:pPr>
        <w:pStyle w:val="ListParagraph"/>
        <w:numPr>
          <w:ilvl w:val="0"/>
          <w:numId w:val="2"/>
        </w:numPr>
      </w:pPr>
      <w:r>
        <w:rPr>
          <w:rFonts w:ascii="Arial" w:cs="Arial" w:eastAsia="Arial" w:hAnsi="Arial"/>
        </w:rPr>
        <w:t xml:space="preserve">Hyperscaler infrastructure spending approaching $700 billion annually</w:t>
      </w:r>
    </w:p>
    <w:p>
      <w:pPr>
        <w:pStyle w:val="ListParagraph"/>
        <w:numPr>
          <w:ilvl w:val="0"/>
          <w:numId w:val="2"/>
        </w:numPr>
      </w:pPr>
      <w:r>
        <w:rPr>
          <w:rFonts w:ascii="Arial" w:cs="Arial" w:eastAsia="Arial" w:hAnsi="Arial"/>
        </w:rPr>
        <w:t xml:space="preserve">Strong enterprise AI adoption with demonstrated ROI ($3.70 per $1 invested)</w:t>
      </w:r>
    </w:p>
    <w:p>
      <w:pPr>
        <w:pStyle w:val="ListParagraph"/>
        <w:numPr>
          <w:ilvl w:val="0"/>
          <w:numId w:val="2"/>
        </w:numPr>
      </w:pPr>
      <w:r>
        <w:rPr>
          <w:rFonts w:ascii="Arial" w:cs="Arial" w:eastAsia="Arial" w:hAnsi="Arial"/>
        </w:rPr>
        <w:t xml:space="preserve">Clear exit paths through IPOs (Anthropic, SpaceX) creating liquidity events</w:t>
      </w:r>
    </w:p>
    <w:p>
      <w:pPr>
        <w:pStyle w:val="ListParagraph"/>
        <w:numPr>
          <w:ilvl w:val="0"/>
          <w:numId w:val="2"/>
        </w:numPr>
      </w:pPr>
      <w:r>
        <w:rPr>
          <w:rFonts w:ascii="Arial" w:cs="Arial" w:eastAsia="Arial" w:hAnsi="Arial"/>
        </w:rPr>
        <w:t xml:space="preserve">Rising concerns about sustainability and revenue-capex gap</w:t>
      </w:r>
    </w:p>
    <w:p>
      <w:r>
        <w:br w:type="page"/>
      </w:r>
    </w:p>
    <w:p>
      <w:pPr>
        <w:pStyle w:val="Heading1"/>
      </w:pPr>
      <w:r>
        <w:rPr>
          <w:rFonts w:ascii="Arial" w:cs="Arial" w:eastAsia="Arial" w:hAnsi="Arial"/>
          <w:b/>
          <w:bCs/>
        </w:rPr>
        <w:t xml:space="preserve">2. Global AI Investment Landscape 2026</w:t>
      </w:r>
    </w:p>
    <w:p>
      <w:pPr>
        <w:pStyle w:val="Heading2"/>
      </w:pPr>
      <w:r>
        <w:rPr>
          <w:rFonts w:ascii="Arial" w:cs="Arial" w:eastAsia="Arial" w:hAnsi="Arial"/>
          <w:b/>
          <w:bCs/>
        </w:rPr>
        <w:t xml:space="preserve">2.1 Total Investment Overview</w:t>
      </w:r>
    </w:p>
    <w:p>
      <w:r>
        <w:rPr>
          <w:rFonts w:ascii="Arial" w:cs="Arial" w:eastAsia="Arial" w:hAnsi="Arial"/>
        </w:rPr>
        <w:t xml:space="preserve">Q1 2026 shattered all venture funding records, with $300 billion poured into 6,000 startups globally - up over 150% from the previous quarter and year. This single quarter represented nearly 70% of all venture capital spent in 2025.</w:t>
      </w:r>
    </w:p>
    <w:p/>
    <w:p>
      <w:pPr>
        <w:pStyle w:val="Heading2"/>
      </w:pPr>
      <w:r>
        <w:rPr>
          <w:rFonts w:ascii="Arial" w:cs="Arial" w:eastAsia="Arial" w:hAnsi="Arial"/>
          <w:b/>
          <w:bCs/>
        </w:rPr>
        <w:t xml:space="preserve">2.2 AI VC Funding by Region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rPr>
          <w:cantSplit/>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Region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Amount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Share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YoY Change</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United States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+85%</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China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$25B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+15%</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Europe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+25%</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Rest of World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$258.7B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+61%</w:t>
            </w:r>
          </w:p>
        </w:tc>
      </w:tr>
    </w:tbl>
    <w:p/>
    <w:p>
      <w:pPr>
        <w:pStyle w:val="Heading2"/>
      </w:pPr>
      <w:r>
        <w:rPr>
          <w:rFonts w:ascii="Arial" w:cs="Arial" w:eastAsia="Arial" w:hAnsi="Arial"/>
          <w:b/>
          <w:bCs/>
        </w:rPr>
        <w:t xml:space="preserve">2.3 Investment by Company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400"/>
      </w:tblGrid>
      <w:tr>
        <w:trPr>
          <w:cantSplit/>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Company 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2025 Funding</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2026 Q1</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Growth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Foundation AI Labs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$80B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$178B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+123%</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Infrastructure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$150B+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+33%</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Enterprise AI Software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$18B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Vertical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$3.5B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+192%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Agents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+300%</w:t>
            </w:r>
          </w:p>
        </w:tc>
      </w:tr>
    </w:tbl>
    <w:p/>
    <w:p>
      <w:pPr>
        <w:pStyle w:val="Heading2"/>
      </w:pPr>
      <w:r>
        <w:rPr>
          <w:rFonts w:ascii="Arial" w:cs="Arial" w:eastAsia="Arial" w:hAnsi="Arial"/>
          <w:b/>
          <w:bCs/>
        </w:rPr>
        <w:t xml:space="preserve">2.4 AI Company Valuations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800"/>
      </w:tblGrid>
      <w:tr>
        <w:trPr>
          <w:cantSplit/>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Company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Valuation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Latest Funding</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Status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$850B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$120B (Mar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Private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Anthropic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$380B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$30B (Feb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IPO Target Q4 2026</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SpaceX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$800B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IPO Target Mid-2026</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Stripe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$95B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$6.5B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Private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ByteDance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Private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Databricks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$62B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Private</w:t>
            </w:r>
          </w:p>
        </w:tc>
      </w:tr>
    </w:tbl>
    <w:p>
      <w:r>
        <w:br w:type="page"/>
      </w:r>
    </w:p>
    <w:p>
      <w:pPr>
        <w:pStyle w:val="Heading1"/>
      </w:pPr>
      <w:r>
        <w:rPr>
          <w:rFonts w:ascii="Arial" w:cs="Arial" w:eastAsia="Arial" w:hAnsi="Arial"/>
          <w:b/>
          <w:bCs/>
        </w:rPr>
        <w:t xml:space="preserve">3. Hyperscaler Capital Expenditure Plans</w:t>
      </w:r>
    </w:p>
    <w:p>
      <w:pPr>
        <w:pStyle w:val="Heading2"/>
      </w:pPr>
      <w:r>
        <w:rPr>
          <w:rFonts w:ascii="Arial" w:cs="Arial" w:eastAsia="Arial" w:hAnsi="Arial"/>
          <w:b/>
          <w:bCs/>
        </w:rPr>
        <w:t xml:space="preserve">3.1 Major Hyperscaler AI Investment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600"/>
      </w:tblGrid>
      <w:tr>
        <w:trPr>
          <w:cantSplit/>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Company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2026 Capex</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2025 Capex</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Primary Focus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Amazon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$100B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 centers, AI infrastructure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Alphabet (Google)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$175-185B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$75B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data centers, TPU chips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$120-145B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$65B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Azure AI, OpenAI partnership</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$115-135B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$55B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infrastructure, Llama models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Oracle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$25B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Cloud AI, data centers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$660-690B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$320B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+106%</w:t>
            </w:r>
          </w:p>
        </w:tc>
      </w:tr>
    </w:tbl>
    <w:p/>
    <w:p>
      <w:pPr>
        <w:pStyle w:val="Heading2"/>
      </w:pPr>
      <w:r>
        <w:rPr>
          <w:rFonts w:ascii="Arial" w:cs="Arial" w:eastAsia="Arial" w:hAnsi="Arial"/>
          <w:b/>
          <w:bCs/>
        </w:rPr>
        <w:t xml:space="preserve">3.2 Key Infrastructure Highlights</w:t>
      </w:r>
    </w:p>
    <w:p>
      <w:pPr>
        <w:pStyle w:val="ListParagraph"/>
        <w:numPr>
          <w:ilvl w:val="0"/>
          <w:numId w:val="2"/>
        </w:numPr>
      </w:pPr>
      <w:r>
        <w:rPr>
          <w:rFonts w:ascii="Arial" w:cs="Arial" w:eastAsia="Arial" w:hAnsi="Arial"/>
        </w:rPr>
        <w:t xml:space="preserve">Microsoft disclosed $80 billion backlog of Azure orders unfilled due to power constraints</w:t>
      </w:r>
    </w:p>
    <w:p>
      <w:pPr>
        <w:pStyle w:val="ListParagraph"/>
        <w:numPr>
          <w:ilvl w:val="0"/>
          <w:numId w:val="2"/>
        </w:numPr>
      </w:pPr>
      <w:r>
        <w:rPr>
          <w:rFonts w:ascii="Arial" w:cs="Arial" w:eastAsia="Arial" w:hAnsi="Arial"/>
        </w:rPr>
        <w:t xml:space="preserve">Meta building 1GW data center in Ohio, 5GW facility in Louisiana</w:t>
      </w:r>
    </w:p>
    <w:p>
      <w:pPr>
        <w:pStyle w:val="ListParagraph"/>
        <w:numPr>
          <w:ilvl w:val="0"/>
          <w:numId w:val="2"/>
        </w:numPr>
      </w:pPr>
      <w:r>
        <w:rPr>
          <w:rFonts w:ascii="Arial" w:cs="Arial" w:eastAsia="Arial" w:hAnsi="Arial"/>
        </w:rPr>
        <w:t xml:space="preserve">Amazon projecting $200B capex for 2026 - most in company history</w:t>
      </w:r>
    </w:p>
    <w:p>
      <w:pPr>
        <w:pStyle w:val="ListParagraph"/>
        <w:numPr>
          <w:ilvl w:val="0"/>
          <w:numId w:val="2"/>
        </w:numPr>
      </w:pPr>
      <w:r>
        <w:rPr>
          <w:rFonts w:ascii="Arial" w:cs="Arial" w:eastAsia="Arial" w:hAnsi="Arial"/>
        </w:rPr>
        <w:t xml:space="preserve">AI-focused capex now represents 75% of total hyperscaler spending</w:t>
      </w:r>
    </w:p>
    <w:p>
      <w:pPr>
        <w:pStyle w:val="ListParagraph"/>
        <w:numPr>
          <w:ilvl w:val="0"/>
          <w:numId w:val="2"/>
        </w:numPr>
      </w:pPr>
      <w:r>
        <w:rPr>
          <w:rFonts w:ascii="Arial" w:cs="Arial" w:eastAsia="Arial" w:hAnsi="Arial"/>
        </w:rPr>
        <w:t xml:space="preserve">Data center power capacity becoming critical bottleneck</w:t>
      </w:r>
    </w:p>
    <w:p/>
    <w:p>
      <w:pPr>
        <w:pStyle w:val="Heading2"/>
      </w:pPr>
      <w:r>
        <w:rPr>
          <w:rFonts w:ascii="Arial" w:cs="Arial" w:eastAsia="Arial" w:hAnsi="Arial"/>
          <w:b/>
          <w:bCs/>
        </w:rPr>
        <w:t xml:space="preserve">3.3 Data Center Investment Outlook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200"/>
      </w:tblGrid>
      <w:tr>
        <w:trPr>
          <w:cantSplit/>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Year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Global DC Capex</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AI Portion</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Key Driver</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$600B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$300B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Initial AI buildout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$700B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$450B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Foundation model race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 Trillion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$750B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Enterprise deployment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2027 (Est)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$1.3 Trillion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 Trillion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Full AI integration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2030 (Est)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$1.7 Trillion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$1.4 Trillion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infrastructure maturity</w:t>
            </w:r>
          </w:p>
        </w:tc>
      </w:tr>
    </w:tbl>
    <w:p/>
    <w:p>
      <w:r>
        <w:rPr>
          <w:rFonts w:ascii="Arial" w:cs="Arial" w:eastAsia="Arial" w:hAnsi="Arial"/>
        </w:rPr>
        <w:t xml:space="preserve">Source: Dell'Oro Group, Goldman Sachs Research</w:t>
      </w:r>
    </w:p>
    <w:p>
      <w:r>
        <w:br w:type="page"/>
      </w:r>
    </w:p>
    <w:p>
      <w:pPr>
        <w:pStyle w:val="Heading1"/>
      </w:pPr>
      <w:r>
        <w:rPr>
          <w:rFonts w:ascii="Arial" w:cs="Arial" w:eastAsia="Arial" w:hAnsi="Arial"/>
          <w:b/>
          <w:bCs/>
        </w:rPr>
        <w:t xml:space="preserve">4. Foundation Model Company Investments</w:t>
      </w:r>
    </w:p>
    <w:p>
      <w:pPr>
        <w:pStyle w:val="Heading2"/>
      </w:pPr>
      <w:r>
        <w:rPr>
          <w:rFonts w:ascii="Arial" w:cs="Arial" w:eastAsia="Arial" w:hAnsi="Arial"/>
          <w:b/>
          <w:bCs/>
        </w:rPr>
        <w:t xml:space="preserve">4.1 Major Foundation AI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000"/>
      </w:tblGrid>
      <w:tr>
        <w:trPr>
          <w:cantSplit/>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Company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Valuation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Total Raised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2026 Funding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$850B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$45B+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$120B (Mar 2026)</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Anthropic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$380B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$15B+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$30B (Feb 2026)</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xAI (Musk)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Mistral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TBD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Cohere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$5.5B+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$970M+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$500M+</w:t>
            </w:r>
          </w:p>
        </w:tc>
      </w:tr>
    </w:tbl>
    <w:p/>
    <w:p>
      <w:pPr>
        <w:pStyle w:val="Heading2"/>
      </w:pPr>
      <w:r>
        <w:rPr>
          <w:rFonts w:ascii="Arial" w:cs="Arial" w:eastAsia="Arial" w:hAnsi="Arial"/>
          <w:b/>
          <w:bCs/>
        </w:rPr>
        <w:t xml:space="preserve">4.2 OpenAI Details</w:t>
      </w:r>
    </w:p>
    <w:p>
      <w:pPr>
        <w:pStyle w:val="ListParagraph"/>
        <w:numPr>
          <w:ilvl w:val="0"/>
          <w:numId w:val="2"/>
        </w:numPr>
      </w:pPr>
      <w:r>
        <w:rPr>
          <w:rFonts w:ascii="Arial" w:cs="Arial" w:eastAsia="Arial" w:hAnsi="Arial"/>
        </w:rPr>
        <w:t xml:space="preserve">Record $120 billion funding round in March 2026 at $850B valuation</w:t>
      </w:r>
    </w:p>
    <w:p>
      <w:pPr>
        <w:pStyle w:val="ListParagraph"/>
        <w:numPr>
          <w:ilvl w:val="0"/>
          <w:numId w:val="2"/>
        </w:numPr>
      </w:pPr>
      <w:r>
        <w:rPr>
          <w:rFonts w:ascii="Arial" w:cs="Arial" w:eastAsia="Arial" w:hAnsi="Arial"/>
        </w:rPr>
        <w:t xml:space="preserve">Post-money valuation: $730B pre-money, $840B post-money</w:t>
      </w:r>
    </w:p>
    <w:p>
      <w:pPr>
        <w:pStyle w:val="ListParagraph"/>
        <w:numPr>
          <w:ilvl w:val="0"/>
          <w:numId w:val="2"/>
        </w:numPr>
      </w:pPr>
      <w:r>
        <w:rPr>
          <w:rFonts w:ascii="Arial" w:cs="Arial" w:eastAsia="Arial" w:hAnsi="Arial"/>
        </w:rPr>
        <w:t xml:space="preserve">SoftBank commitment: $40B total ($10B second tranche received April 2026)</w:t>
      </w:r>
    </w:p>
    <w:p>
      <w:pPr>
        <w:pStyle w:val="ListParagraph"/>
        <w:numPr>
          <w:ilvl w:val="0"/>
          <w:numId w:val="2"/>
        </w:numPr>
      </w:pPr>
      <w:r>
        <w:rPr>
          <w:rFonts w:ascii="Arial" w:cs="Arial" w:eastAsia="Arial" w:hAnsi="Arial"/>
        </w:rPr>
        <w:t xml:space="preserve">Revenue: Growing 3.4x year-over-year</w:t>
      </w:r>
    </w:p>
    <w:p>
      <w:pPr>
        <w:pStyle w:val="ListParagraph"/>
        <w:numPr>
          <w:ilvl w:val="0"/>
          <w:numId w:val="2"/>
        </w:numPr>
      </w:pPr>
      <w:r>
        <w:rPr>
          <w:rFonts w:ascii="Arial" w:cs="Arial" w:eastAsia="Arial" w:hAnsi="Arial"/>
        </w:rPr>
        <w:t xml:space="preserve">IPO Status: Not in near-term plans per CFO</w:t>
      </w:r>
    </w:p>
    <w:p/>
    <w:p>
      <w:pPr>
        <w:pStyle w:val="Heading2"/>
      </w:pPr>
      <w:r>
        <w:rPr>
          <w:rFonts w:ascii="Arial" w:cs="Arial" w:eastAsia="Arial" w:hAnsi="Arial"/>
          <w:b/>
          <w:bCs/>
        </w:rPr>
        <w:t xml:space="preserve">4.3 Anthropic IPO Details</w:t>
      </w:r>
    </w:p>
    <w:p>
      <w:pPr>
        <w:pStyle w:val="ListParagraph"/>
        <w:numPr>
          <w:ilvl w:val="0"/>
          <w:numId w:val="2"/>
        </w:numPr>
      </w:pPr>
      <w:r>
        <w:rPr>
          <w:rFonts w:ascii="Arial" w:cs="Arial" w:eastAsia="Arial" w:hAnsi="Arial"/>
        </w:rPr>
        <w:t xml:space="preserve">Target Timeline: Q4 2026 IPO</w:t>
      </w:r>
    </w:p>
    <w:p>
      <w:pPr>
        <w:pStyle w:val="ListParagraph"/>
        <w:numPr>
          <w:ilvl w:val="0"/>
          <w:numId w:val="2"/>
        </w:numPr>
      </w:pPr>
      <w:r>
        <w:rPr>
          <w:rFonts w:ascii="Arial" w:cs="Arial" w:eastAsia="Arial" w:hAnsi="Arial"/>
        </w:rPr>
        <w:t xml:space="preserve">Expected Raise: $60 billion+ (potentially largest tech IPO ever)</w:t>
      </w:r>
    </w:p>
    <w:p>
      <w:pPr>
        <w:pStyle w:val="ListParagraph"/>
        <w:numPr>
          <w:ilvl w:val="0"/>
          <w:numId w:val="2"/>
        </w:numPr>
      </w:pPr>
      <w:r>
        <w:rPr>
          <w:rFonts w:ascii="Arial" w:cs="Arial" w:eastAsia="Arial" w:hAnsi="Arial"/>
        </w:rPr>
        <w:t xml:space="preserve">Revenue: $19B ARR (March 2026), growing 10x/year</w:t>
      </w:r>
    </w:p>
    <w:p>
      <w:pPr>
        <w:pStyle w:val="ListParagraph"/>
        <w:numPr>
          <w:ilvl w:val="0"/>
          <w:numId w:val="2"/>
        </w:numPr>
      </w:pPr>
      <w:r>
        <w:rPr>
          <w:rFonts w:ascii="Arial" w:cs="Arial" w:eastAsia="Arial" w:hAnsi="Arial"/>
        </w:rPr>
        <w:t xml:space="preserve">Revenue Efficiency: $0.23 ARR per dollar raised (2x OpenAI's ratio)</w:t>
      </w:r>
    </w:p>
    <w:p>
      <w:pPr>
        <w:pStyle w:val="ListParagraph"/>
        <w:numPr>
          <w:ilvl w:val="0"/>
          <w:numId w:val="2"/>
        </w:numPr>
      </w:pPr>
      <w:r>
        <w:rPr>
          <w:rFonts w:ascii="Arial" w:cs="Arial" w:eastAsia="Arial" w:hAnsi="Arial"/>
        </w:rPr>
        <w:t xml:space="preserve">Customers: 8 Fortune 10 firms</w:t>
      </w:r>
    </w:p>
    <w:p>
      <w:pPr>
        <w:pStyle w:val="ListParagraph"/>
        <w:numPr>
          <w:ilvl w:val="0"/>
          <w:numId w:val="2"/>
        </w:numPr>
      </w:pPr>
      <w:r>
        <w:rPr>
          <w:rFonts w:ascii="Arial" w:cs="Arial" w:eastAsia="Arial" w:hAnsi="Arial"/>
        </w:rPr>
        <w:t xml:space="preserve">Lead Banks: Goldman Sachs, JPMorgan</w:t>
      </w:r>
    </w:p>
    <w:p>
      <w:pPr>
        <w:pStyle w:val="ListParagraph"/>
        <w:numPr>
          <w:ilvl w:val="0"/>
          <w:numId w:val="2"/>
        </w:numPr>
      </w:pPr>
      <w:r>
        <w:rPr>
          <w:rFonts w:ascii="Arial" w:cs="Arial" w:eastAsia="Arial" w:hAnsi="Arial"/>
        </w:rPr>
        <w:t xml:space="preserve">Legal Counsel: Wilson Sonsini</w:t>
      </w:r>
    </w:p>
    <w:p>
      <w:pPr>
        <w:pStyle w:val="ListParagraph"/>
        <w:numPr>
          <w:ilvl w:val="0"/>
          <w:numId w:val="2"/>
        </w:numPr>
      </w:pPr>
      <w:r>
        <w:rPr>
          <w:rFonts w:ascii="Arial" w:cs="Arial" w:eastAsia="Arial" w:hAnsi="Arial"/>
        </w:rPr>
        <w:t xml:space="preserve">SEC Consideration: Revenue recognition methodology changes may affect figures</w:t>
      </w:r>
    </w:p>
    <w:p/>
    <w:p>
      <w:pPr>
        <w:pStyle w:val="Heading2"/>
      </w:pPr>
      <w:r>
        <w:rPr>
          <w:rFonts w:ascii="Arial" w:cs="Arial" w:eastAsia="Arial" w:hAnsi="Arial"/>
          <w:b/>
          <w:bCs/>
        </w:rPr>
        <w:t xml:space="preserve">4.4 IPO Pipeline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200"/>
      </w:tblGrid>
      <w:tr>
        <w:trPr>
          <w:cantSplit/>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Company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Valuation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Expected Raise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Timeline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Lead Banks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Anthropic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$380B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Q4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Goldman Sachs, JPMorgan</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SpaceX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$800B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$75B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Multiple TBD</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$850B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Late 2026/Early 2027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TBD</w:t>
            </w:r>
          </w:p>
        </w:tc>
      </w:tr>
    </w:tbl>
    <w:p>
      <w:r>
        <w:br w:type="page"/>
      </w:r>
    </w:p>
    <w:p>
      <w:pPr>
        <w:pStyle w:val="Heading1"/>
      </w:pPr>
      <w:r>
        <w:rPr>
          <w:rFonts w:ascii="Arial" w:cs="Arial" w:eastAsia="Arial" w:hAnsi="Arial"/>
          <w:b/>
          <w:bCs/>
        </w:rPr>
        <w:t xml:space="preserve">5. Regional Investment Strategies</w:t>
      </w:r>
    </w:p>
    <w:p>
      <w:pPr>
        <w:pStyle w:val="Heading2"/>
      </w:pPr>
      <w:r>
        <w:rPr>
          <w:rFonts w:ascii="Arial" w:cs="Arial" w:eastAsia="Arial" w:hAnsi="Arial"/>
          <w:b/>
          <w:bCs/>
        </w:rPr>
        <w:t xml:space="preserve">5.1 United States Investment Strategy</w:t>
      </w:r>
    </w:p>
    <w:p>
      <w:pPr>
        <w:pStyle w:val="Heading3"/>
      </w:pPr>
      <w:r>
        <w:rPr>
          <w:rFonts w:ascii="Arial" w:cs="Arial" w:eastAsia="Arial" w:hAnsi="Arial"/>
          <w:b/>
          <w:bCs/>
        </w:rPr>
        <w:t xml:space="preserve">5.1.1 Key Focus Areas</w:t>
      </w:r>
    </w:p>
    <w:p>
      <w:pPr>
        <w:pStyle w:val="ListParagraph"/>
        <w:numPr>
          <w:ilvl w:val="0"/>
          <w:numId w:val="2"/>
        </w:numPr>
      </w:pPr>
      <w:r>
        <w:rPr>
          <w:rFonts w:ascii="Arial" w:cs="Arial" w:eastAsia="Arial" w:hAnsi="Arial"/>
        </w:rPr>
        <w:t xml:space="preserve">Foundation Models: $178B+ (Q1 2026)</w:t>
      </w:r>
    </w:p>
    <w:p>
      <w:pPr>
        <w:pStyle w:val="ListParagraph"/>
        <w:numPr>
          <w:ilvl w:val="0"/>
          <w:numId w:val="2"/>
        </w:numPr>
      </w:pPr>
      <w:r>
        <w:rPr>
          <w:rFonts w:ascii="Arial" w:cs="Arial" w:eastAsia="Arial" w:hAnsi="Arial"/>
        </w:rPr>
        <w:t xml:space="preserve">AI Infrastructure: $450B</w:t>
      </w:r>
    </w:p>
    <w:p>
      <w:pPr>
        <w:pStyle w:val="ListParagraph"/>
        <w:numPr>
          <w:ilvl w:val="0"/>
          <w:numId w:val="2"/>
        </w:numPr>
      </w:pPr>
      <w:r>
        <w:rPr>
          <w:rFonts w:ascii="Arial" w:cs="Arial" w:eastAsia="Arial" w:hAnsi="Arial"/>
        </w:rPr>
        <w:t xml:space="preserve">Enterprise AI: $37B</w:t>
      </w:r>
    </w:p>
    <w:p>
      <w:pPr>
        <w:pStyle w:val="ListParagraph"/>
        <w:numPr>
          <w:ilvl w:val="0"/>
          <w:numId w:val="2"/>
        </w:numPr>
      </w:pPr>
      <w:r>
        <w:rPr>
          <w:rFonts w:ascii="Arial" w:cs="Arial" w:eastAsia="Arial" w:hAnsi="Arial"/>
        </w:rPr>
        <w:t xml:space="preserve">Vertical AI: $3.5B+</w:t>
      </w:r>
    </w:p>
    <w:p>
      <w:pPr>
        <w:pStyle w:val="ListParagraph"/>
        <w:numPr>
          <w:ilvl w:val="0"/>
          <w:numId w:val="2"/>
        </w:numPr>
      </w:pPr>
      <w:r>
        <w:rPr>
          <w:rFonts w:ascii="Arial" w:cs="Arial" w:eastAsia="Arial" w:hAnsi="Arial"/>
        </w:rPr>
        <w:t xml:space="preserve">AI Security: $10B+</w:t>
      </w:r>
    </w:p>
    <w:p/>
    <w:p>
      <w:pPr>
        <w:pStyle w:val="Heading3"/>
      </w:pPr>
      <w:r>
        <w:rPr>
          <w:rFonts w:ascii="Arial" w:cs="Arial" w:eastAsia="Arial" w:hAnsi="Arial"/>
          <w:b/>
          <w:bCs/>
        </w:rPr>
        <w:t xml:space="preserve">5.1.2 Geographic Concentration</w:t>
      </w:r>
    </w:p>
    <w:p>
      <w:pPr>
        <w:pStyle w:val="ListParagraph"/>
        <w:numPr>
          <w:ilvl w:val="0"/>
          <w:numId w:val="2"/>
        </w:numPr>
      </w:pPr>
      <w:r>
        <w:rPr>
          <w:rFonts w:ascii="Arial" w:cs="Arial" w:eastAsia="Arial" w:hAnsi="Arial"/>
        </w:rPr>
        <w:t xml:space="preserve">San Francisco Bay Area: $122B (60% of U.S. total)</w:t>
      </w:r>
    </w:p>
    <w:p>
      <w:pPr>
        <w:pStyle w:val="ListParagraph"/>
        <w:numPr>
          <w:ilvl w:val="0"/>
          <w:numId w:val="2"/>
        </w:numPr>
      </w:pPr>
      <w:r>
        <w:rPr>
          <w:rFonts w:ascii="Arial" w:cs="Arial" w:eastAsia="Arial" w:hAnsi="Arial"/>
        </w:rPr>
        <w:t xml:space="preserve">New York: $25B</w:t>
      </w:r>
    </w:p>
    <w:p>
      <w:pPr>
        <w:pStyle w:val="ListParagraph"/>
        <w:numPr>
          <w:ilvl w:val="0"/>
          <w:numId w:val="2"/>
        </w:numPr>
      </w:pPr>
      <w:r>
        <w:rPr>
          <w:rFonts w:ascii="Arial" w:cs="Arial" w:eastAsia="Arial" w:hAnsi="Arial"/>
        </w:rPr>
        <w:t xml:space="preserve">Seattle: $15B</w:t>
      </w:r>
    </w:p>
    <w:p>
      <w:pPr>
        <w:pStyle w:val="ListParagraph"/>
        <w:numPr>
          <w:ilvl w:val="0"/>
          <w:numId w:val="2"/>
        </w:numPr>
      </w:pPr>
      <w:r>
        <w:rPr>
          <w:rFonts w:ascii="Arial" w:cs="Arial" w:eastAsia="Arial" w:hAnsi="Arial"/>
        </w:rPr>
        <w:t xml:space="preserve">Boston: $10B</w:t>
      </w:r>
    </w:p>
    <w:p/>
    <w:p>
      <w:pPr>
        <w:pStyle w:val="Heading2"/>
      </w:pPr>
      <w:r>
        <w:rPr>
          <w:rFonts w:ascii="Arial" w:cs="Arial" w:eastAsia="Arial" w:hAnsi="Arial"/>
          <w:b/>
          <w:bCs/>
        </w:rPr>
        <w:t xml:space="preserve">5.2 China AI Investment Plan</w:t>
      </w:r>
    </w:p>
    <w:p>
      <w:pPr>
        <w:pStyle w:val="Heading3"/>
      </w:pPr>
      <w:r>
        <w:rPr>
          <w:rFonts w:ascii="Arial" w:cs="Arial" w:eastAsia="Arial" w:hAnsi="Arial"/>
          <w:b/>
          <w:bCs/>
        </w:rPr>
        <w:t xml:space="preserve">5.2.1 Major Initiatives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rPr>
          <w:cantSplit/>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Initiative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Investment</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Timeline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Alibaba Cloud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$53B (RMB 380B)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 years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ByteDance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$23B (RMB 160B)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Huawei Ascend Chips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750,000 units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National AI Labs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5-year 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 Center Power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 GW capacity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 YoY</w:t>
            </w:r>
          </w:p>
        </w:tc>
      </w:tr>
    </w:tbl>
    <w:p/>
    <w:p>
      <w:pPr>
        <w:pStyle w:val="Heading3"/>
      </w:pPr>
      <w:r>
        <w:rPr>
          <w:rFonts w:ascii="Arial" w:cs="Arial" w:eastAsia="Arial" w:hAnsi="Arial"/>
          <w:b/>
          <w:bCs/>
        </w:rPr>
        <w:t xml:space="preserve">5.2.2 AI Independence Strategy</w:t>
      </w:r>
    </w:p>
    <w:p>
      <w:pPr>
        <w:pStyle w:val="ListParagraph"/>
        <w:numPr>
          <w:ilvl w:val="0"/>
          <w:numId w:val="2"/>
        </w:numPr>
      </w:pPr>
      <w:r>
        <w:rPr>
          <w:rFonts w:ascii="Arial" w:cs="Arial" w:eastAsia="Arial" w:hAnsi="Arial"/>
        </w:rPr>
        <w:t xml:space="preserve">Huawei Ascend 950PR: Near-CUDA compatible AI chip</w:t>
      </w:r>
    </w:p>
    <w:p>
      <w:pPr>
        <w:pStyle w:val="ListParagraph"/>
        <w:numPr>
          <w:ilvl w:val="0"/>
          <w:numId w:val="2"/>
        </w:numPr>
      </w:pPr>
      <w:r>
        <w:rPr>
          <w:rFonts w:ascii="Arial" w:cs="Arial" w:eastAsia="Arial" w:hAnsi="Arial"/>
        </w:rPr>
        <w:t xml:space="preserve">ByteDance &amp; Alibaba: $5.6B+ Huawei chip orders</w:t>
      </w:r>
    </w:p>
    <w:p>
      <w:pPr>
        <w:pStyle w:val="ListParagraph"/>
        <w:numPr>
          <w:ilvl w:val="0"/>
          <w:numId w:val="2"/>
        </w:numPr>
      </w:pPr>
      <w:r>
        <w:rPr>
          <w:rFonts w:ascii="Arial" w:cs="Arial" w:eastAsia="Arial" w:hAnsi="Arial"/>
        </w:rPr>
        <w:t xml:space="preserve">Global expansion: Data centers in Asia, Middle East, Latin America</w:t>
      </w:r>
    </w:p>
    <w:p>
      <w:pPr>
        <w:pStyle w:val="ListParagraph"/>
        <w:numPr>
          <w:ilvl w:val="0"/>
          <w:numId w:val="2"/>
        </w:numPr>
      </w:pPr>
      <w:r>
        <w:rPr>
          <w:rFonts w:ascii="Arial" w:cs="Arial" w:eastAsia="Arial" w:hAnsi="Arial"/>
        </w:rPr>
        <w:t xml:space="preserve">Focus on open-source AI communities</w:t>
      </w:r>
    </w:p>
    <w:p>
      <w:pPr>
        <w:pStyle w:val="ListParagraph"/>
        <w:numPr>
          <w:ilvl w:val="0"/>
          <w:numId w:val="2"/>
        </w:numPr>
      </w:pPr>
      <w:r>
        <w:rPr>
          <w:rFonts w:ascii="Arial" w:cs="Arial" w:eastAsia="Arial" w:hAnsi="Arial"/>
        </w:rPr>
        <w:t xml:space="preserve">Hyper-scale computing clusters with cheap electricity</w:t>
      </w:r>
    </w:p>
    <w:p/>
    <w:p>
      <w:pPr>
        <w:pStyle w:val="Heading2"/>
      </w:pPr>
      <w:r>
        <w:rPr>
          <w:rFonts w:ascii="Arial" w:cs="Arial" w:eastAsia="Arial" w:hAnsi="Arial"/>
          <w:b/>
          <w:bCs/>
        </w:rPr>
        <w:t xml:space="preserve">5.3 Europe Investment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cantSplit/>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Country/Initiative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Focus</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Investment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EU AI Act Compliance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Regulatory infrastructure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EUR 5B+</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Sovereign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National AI initiatives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EUR 10B+</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Quantum +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5-year plan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EUR 15B</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Germany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Manufacturing AI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EUR 8B</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Financial AI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EUR 5B</w:t>
            </w:r>
          </w:p>
        </w:tc>
      </w:tr>
    </w:tbl>
    <w:p>
      <w:r>
        <w:br w:type="page"/>
      </w:r>
    </w:p>
    <w:p>
      <w:pPr>
        <w:pStyle w:val="Heading1"/>
      </w:pPr>
      <w:r>
        <w:rPr>
          <w:rFonts w:ascii="Arial" w:cs="Arial" w:eastAsia="Arial" w:hAnsi="Arial"/>
          <w:b/>
          <w:bCs/>
        </w:rPr>
        <w:t xml:space="preserve">6. Hot Investment Sectors &amp; Opportunities</w:t>
      </w:r>
    </w:p>
    <w:p>
      <w:pPr>
        <w:pStyle w:val="Heading2"/>
      </w:pPr>
      <w:r>
        <w:rPr>
          <w:rFonts w:ascii="Arial" w:cs="Arial" w:eastAsia="Arial" w:hAnsi="Arial"/>
          <w:b/>
          <w:bCs/>
        </w:rPr>
        <w:t xml:space="preserve">6.1 Investment Priority Ranking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1600"/>
        <w:gridCol w:w="2400"/>
      </w:tblGrid>
      <w:tr>
        <w:trPr>
          <w:cantSplit/>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Rank</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Sector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Investment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Growth</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Risk Level</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Foundation AI Labs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$178B+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$450B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Enterprise Software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$37B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Low-Medium</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Vertical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$3.5B+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Agents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Medium-High</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Custom AI Chips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$50B+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Low-Medium</w:t>
            </w:r>
          </w:p>
        </w:tc>
      </w:tr>
    </w:tbl>
    <w:p/>
    <w:p>
      <w:pPr>
        <w:pStyle w:val="Heading2"/>
      </w:pPr>
      <w:r>
        <w:rPr>
          <w:rFonts w:ascii="Arial" w:cs="Arial" w:eastAsia="Arial" w:hAnsi="Arial"/>
          <w:b/>
          <w:bCs/>
        </w:rPr>
        <w:t xml:space="preserve">6.2 Enterprise AI ROI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900"/>
      </w:tblGrid>
      <w:tr>
        <w:trPr>
          <w:cantSplit/>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Metric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Value</w:t>
            </w:r>
          </w:p>
        </w:tc>
        <w:tc>
          <w:tcPr>
            <w:tcW w:type="dxa" w:w="3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Trend</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Organizations using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Up from 72% (2024)</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Regular Gen AI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Up from 65% (2024)</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ROI per $1 invested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$3.70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Proven across sectors</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Scaling AI agents by EOY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Up from &lt;5% (2025)</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Companies increasing AI budget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Strong confidence</w:t>
            </w:r>
          </w:p>
        </w:tc>
      </w:tr>
      <w:tr>
        <w:trPr>
          <w:cantSplit/>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Proven EBIT impact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Gap in measurement</w:t>
            </w:r>
          </w:p>
        </w:tc>
      </w:tr>
    </w:tbl>
    <w:p/>
    <w:p>
      <w:pPr>
        <w:pStyle w:val="Heading2"/>
      </w:pPr>
      <w:r>
        <w:rPr>
          <w:rFonts w:ascii="Arial" w:cs="Arial" w:eastAsia="Arial" w:hAnsi="Arial"/>
          <w:b/>
          <w:bCs/>
        </w:rPr>
        <w:t xml:space="preserve">6.3 Emerging Investment Themes</w:t>
      </w:r>
    </w:p>
    <w:p>
      <w:pPr>
        <w:pStyle w:val="Heading3"/>
      </w:pPr>
      <w:r>
        <w:rPr>
          <w:rFonts w:ascii="Arial" w:cs="Arial" w:eastAsia="Arial" w:hAnsi="Arial"/>
          <w:b/>
          <w:bCs/>
        </w:rPr>
        <w:t xml:space="preserve">6.3.1 AI Agents</w:t>
      </w:r>
    </w:p>
    <w:p>
      <w:r>
        <w:rPr>
          <w:rFonts w:ascii="Arial" w:cs="Arial" w:eastAsia="Arial" w:hAnsi="Arial"/>
        </w:rPr>
        <w:t xml:space="preserve">Enterprise deployment projected to jump from &lt;5% to 40% by end of 2026. Key applications include autonomous decision-making, workflow automation, and customer service. By 2028, 15% of day-to-day work decisions expected to be made autonomously by AI.</w:t>
      </w:r>
    </w:p>
    <w:p/>
    <w:p>
      <w:pPr>
        <w:pStyle w:val="Heading3"/>
      </w:pPr>
      <w:r>
        <w:rPr>
          <w:rFonts w:ascii="Arial" w:cs="Arial" w:eastAsia="Arial" w:hAnsi="Arial"/>
          <w:b/>
          <w:bCs/>
        </w:rPr>
        <w:t xml:space="preserve">6.3.2 Custom Silicon</w:t>
      </w:r>
    </w:p>
    <w:p>
      <w:r>
        <w:rPr>
          <w:rFonts w:ascii="Arial" w:cs="Arial" w:eastAsia="Arial" w:hAnsi="Arial"/>
        </w:rPr>
        <w:t xml:space="preserve">Broadcom emerging as key player designing custom AI chips for hyperscalers. Microsoft licensing OpenAI chip design IP. Intel Foundry securing contracts (Microsoft Maia 2). NVIDIA remains dominant but custom chips gaining share.</w:t>
      </w:r>
    </w:p>
    <w:p/>
    <w:p>
      <w:pPr>
        <w:pStyle w:val="Heading3"/>
      </w:pPr>
      <w:r>
        <w:rPr>
          <w:rFonts w:ascii="Arial" w:cs="Arial" w:eastAsia="Arial" w:hAnsi="Arial"/>
          <w:b/>
          <w:bCs/>
        </w:rPr>
        <w:t xml:space="preserve">6.3.3 Vertical AI</w:t>
      </w:r>
    </w:p>
    <w:p>
      <w:r>
        <w:rPr>
          <w:rFonts w:ascii="Arial" w:cs="Arial" w:eastAsia="Arial" w:hAnsi="Arial"/>
        </w:rPr>
        <w:t xml:space="preserve">$3.5B category in 2025, triple the investment from 2024. Strongest growth in healthcare, legal, and financial services verticals. Companies building industry-specific solutions showing better unit economics than horizontal players.</w:t>
      </w:r>
    </w:p>
    <w:p/>
    <w:p>
      <w:pPr>
        <w:pStyle w:val="Heading3"/>
      </w:pPr>
      <w:r>
        <w:rPr>
          <w:rFonts w:ascii="Arial" w:cs="Arial" w:eastAsia="Arial" w:hAnsi="Arial"/>
          <w:b/>
          <w:bCs/>
        </w:rPr>
        <w:t xml:space="preserve">6.3.4 AI Security &amp; Governance</w:t>
      </w:r>
    </w:p>
    <w:p>
      <w:r>
        <w:rPr>
          <w:rFonts w:ascii="Arial" w:cs="Arial" w:eastAsia="Arial" w:hAnsi="Arial"/>
        </w:rPr>
        <w:t xml:space="preserve">EU AI Act driving compliance costs upward. Organizations need AI governance, explainability, and security tools. Shadow AI problem (55% using unapproved tools) creating demand for secure enterprise solutions.</w:t>
      </w:r>
    </w:p>
    <w:p>
      <w:r>
        <w:br w:type="page"/>
      </w:r>
    </w:p>
    <w:p>
      <w:pPr>
        <w:pStyle w:val="Heading1"/>
      </w:pPr>
      <w:r>
        <w:rPr>
          <w:rFonts w:ascii="Arial" w:cs="Arial" w:eastAsia="Arial" w:hAnsi="Arial"/>
          <w:b/>
          <w:bCs/>
        </w:rPr>
        <w:t xml:space="preserve">7. Exit Strategies &amp; IPO Pipeline</w:t>
      </w:r>
    </w:p>
    <w:p>
      <w:pPr>
        <w:pStyle w:val="Heading2"/>
      </w:pPr>
      <w:r>
        <w:rPr>
          <w:rFonts w:ascii="Arial" w:cs="Arial" w:eastAsia="Arial" w:hAnsi="Arial"/>
          <w:b/>
          <w:bCs/>
        </w:rPr>
        <w:t xml:space="preserve">7.1 2026 IPO Watch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200"/>
      </w:tblGrid>
      <w:tr>
        <w:trPr>
          <w:cantSplit/>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Company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Valuation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Expected Raise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Timeline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Readiness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Anthropic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$380B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Q4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Advanced - Legal &amp; banks engaged</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SpaceX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$800B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$75B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Advanced - Bank interviews complete</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$850B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Late 2026/Early 2027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Evaluating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Databricks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$62B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$10-15B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2026-2027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Possible</w:t>
            </w:r>
          </w:p>
        </w:tc>
      </w:tr>
    </w:tbl>
    <w:p/>
    <w:p>
      <w:pPr>
        <w:pStyle w:val="Heading2"/>
      </w:pPr>
      <w:r>
        <w:rPr>
          <w:rFonts w:ascii="Arial" w:cs="Arial" w:eastAsia="Arial" w:hAnsi="Arial"/>
          <w:b/>
          <w:bCs/>
        </w:rPr>
        <w:t xml:space="preserve">7.2 Combined IPO Impact</w:t>
      </w:r>
    </w:p>
    <w:p>
      <w:pPr>
        <w:pStyle w:val="ListParagraph"/>
        <w:numPr>
          <w:ilvl w:val="0"/>
          <w:numId w:val="2"/>
        </w:numPr>
      </w:pPr>
      <w:r>
        <w:rPr>
          <w:rFonts w:ascii="Arial" w:cs="Arial" w:eastAsia="Arial" w:hAnsi="Arial"/>
        </w:rPr>
        <w:t xml:space="preserve">If SpaceX, OpenAI, and Anthropic go public: Combined $2+ trillion valuation</w:t>
      </w:r>
    </w:p>
    <w:p>
      <w:pPr>
        <w:pStyle w:val="ListParagraph"/>
        <w:numPr>
          <w:ilvl w:val="0"/>
          <w:numId w:val="2"/>
        </w:numPr>
      </w:pPr>
      <w:r>
        <w:rPr>
          <w:rFonts w:ascii="Arial" w:cs="Arial" w:eastAsia="Arial" w:hAnsi="Arial"/>
        </w:rPr>
        <w:t xml:space="preserve">Potential to be three largest venture-backed IPOs of all time</w:t>
      </w:r>
    </w:p>
    <w:p>
      <w:pPr>
        <w:pStyle w:val="ListParagraph"/>
        <w:numPr>
          <w:ilvl w:val="0"/>
          <w:numId w:val="2"/>
        </w:numPr>
      </w:pPr>
      <w:r>
        <w:rPr>
          <w:rFonts w:ascii="Arial" w:cs="Arial" w:eastAsia="Arial" w:hAnsi="Arial"/>
        </w:rPr>
        <w:t xml:space="preserve">Could unlock pent-up retail investor demand for AI exposure</w:t>
      </w:r>
    </w:p>
    <w:p>
      <w:pPr>
        <w:pStyle w:val="ListParagraph"/>
        <w:numPr>
          <w:ilvl w:val="0"/>
          <w:numId w:val="2"/>
        </w:numPr>
      </w:pPr>
      <w:r>
        <w:rPr>
          <w:rFonts w:ascii="Arial" w:cs="Arial" w:eastAsia="Arial" w:hAnsi="Arial"/>
        </w:rPr>
        <w:t xml:space="preserve">Creates massive liquidity event for early investors and employees</w:t>
      </w:r>
    </w:p>
    <w:p>
      <w:pPr>
        <w:pStyle w:val="ListParagraph"/>
        <w:numPr>
          <w:ilvl w:val="0"/>
          <w:numId w:val="2"/>
        </w:numPr>
      </w:pPr>
      <w:r>
        <w:rPr>
          <w:rFonts w:ascii="Arial" w:cs="Arial" w:eastAsia="Arial" w:hAnsi="Arial"/>
        </w:rPr>
        <w:t xml:space="preserve">Expected to reignite public market interest in AI sector</w:t>
      </w:r>
    </w:p>
    <w:p/>
    <w:p>
      <w:pPr>
        <w:pStyle w:val="Heading2"/>
      </w:pPr>
      <w:r>
        <w:rPr>
          <w:rFonts w:ascii="Arial" w:cs="Arial" w:eastAsia="Arial" w:hAnsi="Arial"/>
          <w:b/>
          <w:bCs/>
        </w:rPr>
        <w:t xml:space="preserve">7.3 Alternative Exit Strategies</w:t>
      </w:r>
    </w:p>
    <w:p>
      <w:pPr>
        <w:pStyle w:val="ListParagraph"/>
        <w:numPr>
          <w:ilvl w:val="0"/>
          <w:numId w:val="2"/>
        </w:numPr>
      </w:pPr>
      <w:r>
        <w:rPr>
          <w:rFonts w:ascii="Arial" w:cs="Arial" w:eastAsia="Arial" w:hAnsi="Arial"/>
        </w:rPr>
        <w:t xml:space="preserve">Strategic Acquisitions: OpenAI made 6 acquisitions in 2026 (nearly equal to all of 2025)</w:t>
      </w:r>
    </w:p>
    <w:p>
      <w:pPr>
        <w:pStyle w:val="ListParagraph"/>
        <w:numPr>
          <w:ilvl w:val="0"/>
          <w:numId w:val="2"/>
        </w:numPr>
      </w:pPr>
      <w:r>
        <w:rPr>
          <w:rFonts w:ascii="Arial" w:cs="Arial" w:eastAsia="Arial" w:hAnsi="Arial"/>
        </w:rPr>
        <w:t xml:space="preserve">M&amp;A Activity: $50B+ expected in AI sector</w:t>
      </w:r>
    </w:p>
    <w:p>
      <w:pPr>
        <w:pStyle w:val="ListParagraph"/>
        <w:numPr>
          <w:ilvl w:val="0"/>
          <w:numId w:val="2"/>
        </w:numPr>
      </w:pPr>
      <w:r>
        <w:rPr>
          <w:rFonts w:ascii="Arial" w:cs="Arial" w:eastAsia="Arial" w:hAnsi="Arial"/>
        </w:rPr>
        <w:t xml:space="preserve">Secondary Sales: $100B+ active market for private shares</w:t>
      </w:r>
    </w:p>
    <w:p>
      <w:pPr>
        <w:pStyle w:val="ListParagraph"/>
        <w:numPr>
          <w:ilvl w:val="0"/>
          <w:numId w:val="2"/>
        </w:numPr>
      </w:pPr>
      <w:r>
        <w:rPr>
          <w:rFonts w:ascii="Arial" w:cs="Arial" w:eastAsia="Arial" w:hAnsi="Arial"/>
        </w:rPr>
        <w:t xml:space="preserve">Corporate Investment: Microsoft $15B in Anthropic, Amazon/Google backing Anthropic</w:t>
      </w:r>
    </w:p>
    <w:p>
      <w:r>
        <w:br w:type="page"/>
      </w:r>
    </w:p>
    <w:p>
      <w:pPr>
        <w:pStyle w:val="Heading1"/>
      </w:pPr>
      <w:r>
        <w:rPr>
          <w:rFonts w:ascii="Arial" w:cs="Arial" w:eastAsia="Arial" w:hAnsi="Arial"/>
          <w:b/>
          <w:bCs/>
        </w:rPr>
        <w:t xml:space="preserve">8. Risk Analysis</w:t>
      </w:r>
    </w:p>
    <w:p>
      <w:pPr>
        <w:pStyle w:val="Heading2"/>
      </w:pPr>
      <w:r>
        <w:rPr>
          <w:rFonts w:ascii="Arial" w:cs="Arial" w:eastAsia="Arial" w:hAnsi="Arial"/>
          <w:b/>
          <w:bCs/>
        </w:rPr>
        <w:t xml:space="preserve">8.1 Key Investment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400"/>
      </w:tblGrid>
      <w:tr>
        <w:trPr>
          <w:cantSplit/>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Impact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Likelihood</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Mitigation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Bubble Burst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Diversify across layers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Revenue-Capex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Focus on profitability</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Regulatory Headwinds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EU/US compliance focus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China Tech Decoupling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Geographic diversification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Talent Shortage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Training/invest in education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Execution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Proof of ROI required</w:t>
            </w:r>
          </w:p>
        </w:tc>
      </w:tr>
    </w:tbl>
    <w:p/>
    <w:p>
      <w:pPr>
        <w:pStyle w:val="Heading2"/>
      </w:pPr>
      <w:r>
        <w:rPr>
          <w:rFonts w:ascii="Arial" w:cs="Arial" w:eastAsia="Arial" w:hAnsi="Arial"/>
          <w:b/>
          <w:bCs/>
        </w:rPr>
        <w:t xml:space="preserve">8.2 Warning Signs</w:t>
      </w:r>
    </w:p>
    <w:p>
      <w:pPr>
        <w:pStyle w:val="ListParagraph"/>
        <w:numPr>
          <w:ilvl w:val="0"/>
          <w:numId w:val="2"/>
        </w:numPr>
      </w:pPr>
      <w:r>
        <w:rPr>
          <w:rFonts w:ascii="Arial" w:cs="Arial" w:eastAsia="Arial" w:hAnsi="Arial"/>
        </w:rPr>
        <w:t xml:space="preserve">80%+ of organizations report NO measurable EBIT impact despite AI adoption</w:t>
      </w:r>
    </w:p>
    <w:p>
      <w:pPr>
        <w:pStyle w:val="ListParagraph"/>
        <w:numPr>
          <w:ilvl w:val="0"/>
          <w:numId w:val="2"/>
        </w:numPr>
      </w:pPr>
      <w:r>
        <w:rPr>
          <w:rFonts w:ascii="Arial" w:cs="Arial" w:eastAsia="Arial" w:hAnsi="Arial"/>
        </w:rPr>
        <w:t xml:space="preserve">Hyperscaler debt: $108B raised in 2025, $1.5T projected over coming years</w:t>
      </w:r>
    </w:p>
    <w:p>
      <w:pPr>
        <w:pStyle w:val="ListParagraph"/>
        <w:numPr>
          <w:ilvl w:val="0"/>
          <w:numId w:val="2"/>
        </w:numPr>
      </w:pPr>
      <w:r>
        <w:rPr>
          <w:rFonts w:ascii="Arial" w:cs="Arial" w:eastAsia="Arial" w:hAnsi="Arial"/>
        </w:rPr>
        <w:t xml:space="preserve">Capex growing 3x faster than revenue at some companies</w:t>
      </w:r>
    </w:p>
    <w:p>
      <w:pPr>
        <w:pStyle w:val="ListParagraph"/>
        <w:numPr>
          <w:ilvl w:val="0"/>
          <w:numId w:val="2"/>
        </w:numPr>
      </w:pPr>
      <w:r>
        <w:rPr>
          <w:rFonts w:ascii="Arial" w:cs="Arial" w:eastAsia="Arial" w:hAnsi="Arial"/>
        </w:rPr>
        <w:t xml:space="preserve">MIT study: 95% of generative AI initiatives reported as failing</w:t>
      </w:r>
    </w:p>
    <w:p>
      <w:pPr>
        <w:pStyle w:val="ListParagraph"/>
        <w:numPr>
          <w:ilvl w:val="0"/>
          <w:numId w:val="2"/>
        </w:numPr>
      </w:pPr>
      <w:r>
        <w:rPr>
          <w:rFonts w:ascii="Arial" w:cs="Arial" w:eastAsia="Arial" w:hAnsi="Arial"/>
        </w:rPr>
        <w:t xml:space="preserve">Investors rotating away from pure infrastructure plays</w:t>
      </w:r>
    </w:p>
    <w:p/>
    <w:p>
      <w:pPr>
        <w:pStyle w:val="Heading2"/>
      </w:pPr>
      <w:r>
        <w:rPr>
          <w:rFonts w:ascii="Arial" w:cs="Arial" w:eastAsia="Arial" w:hAnsi="Arial"/>
          <w:b/>
          <w:bCs/>
        </w:rPr>
        <w:t xml:space="preserve">8.3 Sustainability Questions</w:t>
      </w:r>
    </w:p>
    <w:p>
      <w:r>
        <w:rPr>
          <w:rFonts w:ascii="Arial" w:cs="Arial" w:eastAsia="Arial" w:hAnsi="Arial"/>
        </w:rPr>
        <w:t xml:space="preserve">Whether AI revenues can justify the scale of infrastructure investment underway remains the central question. Key metrics to monitor:</w:t>
      </w:r>
    </w:p>
    <w:p>
      <w:pPr>
        <w:pStyle w:val="ListParagraph"/>
        <w:numPr>
          <w:ilvl w:val="0"/>
          <w:numId w:val="2"/>
        </w:numPr>
      </w:pPr>
      <w:r>
        <w:rPr>
          <w:rFonts w:ascii="Arial" w:cs="Arial" w:eastAsia="Arial" w:hAnsi="Arial"/>
        </w:rPr>
        <w:t xml:space="preserve">Hyperscaler free cash flow generation vs. capex requirements</w:t>
      </w:r>
    </w:p>
    <w:p>
      <w:pPr>
        <w:pStyle w:val="ListParagraph"/>
        <w:numPr>
          <w:ilvl w:val="0"/>
          <w:numId w:val="2"/>
        </w:numPr>
      </w:pPr>
      <w:r>
        <w:rPr>
          <w:rFonts w:ascii="Arial" w:cs="Arial" w:eastAsia="Arial" w:hAnsi="Arial"/>
        </w:rPr>
        <w:t xml:space="preserve">Enterprise customer retention and expansion rates</w:t>
      </w:r>
    </w:p>
    <w:p>
      <w:pPr>
        <w:pStyle w:val="ListParagraph"/>
        <w:numPr>
          <w:ilvl w:val="0"/>
          <w:numId w:val="2"/>
        </w:numPr>
      </w:pPr>
      <w:r>
        <w:rPr>
          <w:rFonts w:ascii="Arial" w:cs="Arial" w:eastAsia="Arial" w:hAnsi="Arial"/>
        </w:rPr>
        <w:t xml:space="preserve">Path to profitability for foundation model companies</w:t>
      </w:r>
    </w:p>
    <w:p>
      <w:pPr>
        <w:pStyle w:val="ListParagraph"/>
        <w:numPr>
          <w:ilvl w:val="0"/>
          <w:numId w:val="2"/>
        </w:numPr>
      </w:pPr>
      <w:r>
        <w:rPr>
          <w:rFonts w:ascii="Arial" w:cs="Arial" w:eastAsia="Arial" w:hAnsi="Arial"/>
        </w:rPr>
        <w:t xml:space="preserve">Time to revenue positive for AI startups</w:t>
      </w:r>
    </w:p>
    <w:p>
      <w:r>
        <w:br w:type="page"/>
      </w:r>
    </w:p>
    <w:p>
      <w:pPr>
        <w:pStyle w:val="Heading1"/>
      </w:pPr>
      <w:r>
        <w:rPr>
          <w:rFonts w:ascii="Arial" w:cs="Arial" w:eastAsia="Arial" w:hAnsi="Arial"/>
          <w:b/>
          <w:bCs/>
        </w:rPr>
        <w:t xml:space="preserve">9. Investment Recommendations</w:t>
      </w:r>
    </w:p>
    <w:p>
      <w:pPr>
        <w:pStyle w:val="Heading2"/>
      </w:pPr>
      <w:r>
        <w:rPr>
          <w:rFonts w:ascii="Arial" w:cs="Arial" w:eastAsia="Arial" w:hAnsi="Arial"/>
          <w:b/>
          <w:bCs/>
        </w:rPr>
        <w:t xml:space="preserve">9.1 By Investor Type</w:t>
      </w:r>
    </w:p>
    <w:p>
      <w:pPr>
        <w:pStyle w:val="Heading3"/>
      </w:pPr>
      <w:r>
        <w:rPr>
          <w:rFonts w:ascii="Arial" w:cs="Arial" w:eastAsia="Arial" w:hAnsi="Arial"/>
          <w:b/>
          <w:bCs/>
        </w:rPr>
        <w:t xml:space="preserve">Venture Capital / Private Equity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cantSplit/>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Allocation</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Target</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Rationale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Vertical AI + Enterprise Software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Proven ROI, clear exits</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Infrastructure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Hyperscaler demand, stable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Foundation Models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 risk/reward, select opportunities</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Security/Governance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Regulatory tailwinds</w:t>
            </w:r>
          </w:p>
        </w:tc>
      </w:tr>
    </w:tbl>
    <w:p/>
    <w:p>
      <w:pPr>
        <w:pStyle w:val="Heading3"/>
      </w:pPr>
      <w:r>
        <w:rPr>
          <w:rFonts w:ascii="Arial" w:cs="Arial" w:eastAsia="Arial" w:hAnsi="Arial"/>
          <w:b/>
          <w:bCs/>
        </w:rPr>
        <w:t xml:space="preserve">Public Market Investors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cantSplit/>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Allocation</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Target</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rPr>
              <w:t xml:space="preserve">Rationale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Infrastructure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Hyperscaler exposure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Applications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Enterprise software winners</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Picks &amp; Shovels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NVIDIA, TSMC, Broadcom</w:t>
            </w:r>
          </w:p>
        </w:tc>
      </w:tr>
    </w:tbl>
    <w:p/>
    <w:p>
      <w:pPr>
        <w:pStyle w:val="Heading3"/>
      </w:pPr>
      <w:r>
        <w:rPr>
          <w:rFonts w:ascii="Arial" w:cs="Arial" w:eastAsia="Arial" w:hAnsi="Arial"/>
          <w:b/>
          <w:bCs/>
        </w:rPr>
        <w:t xml:space="preserve">Corporate Strategy</w:t>
      </w:r>
    </w:p>
    <w:p>
      <w:pPr>
        <w:pStyle w:val="ListParagraph"/>
        <w:numPr>
          <w:ilvl w:val="0"/>
          <w:numId w:val="2"/>
        </w:numPr>
      </w:pPr>
      <w:r>
        <w:rPr>
          <w:rFonts w:ascii="Arial" w:cs="Arial" w:eastAsia="Arial" w:hAnsi="Arial"/>
        </w:rPr>
        <w:t xml:space="preserve">Strategic partnerships with foundation model companies</w:t>
      </w:r>
    </w:p>
    <w:p>
      <w:pPr>
        <w:pStyle w:val="ListParagraph"/>
        <w:numPr>
          <w:ilvl w:val="0"/>
          <w:numId w:val="2"/>
        </w:numPr>
      </w:pPr>
      <w:r>
        <w:rPr>
          <w:rFonts w:ascii="Arial" w:cs="Arial" w:eastAsia="Arial" w:hAnsi="Arial"/>
        </w:rPr>
        <w:t xml:space="preserve">Build vs. buy analysis for core AI capabilities</w:t>
      </w:r>
    </w:p>
    <w:p>
      <w:pPr>
        <w:pStyle w:val="ListParagraph"/>
        <w:numPr>
          <w:ilvl w:val="0"/>
          <w:numId w:val="2"/>
        </w:numPr>
      </w:pPr>
      <w:r>
        <w:rPr>
          <w:rFonts w:ascii="Arial" w:cs="Arial" w:eastAsia="Arial" w:hAnsi="Arial"/>
        </w:rPr>
        <w:t xml:space="preserve">Vertical-specific AI solutions leveraging proprietary data</w:t>
      </w:r>
    </w:p>
    <w:p>
      <w:pPr>
        <w:pStyle w:val="ListParagraph"/>
        <w:numPr>
          <w:ilvl w:val="0"/>
          <w:numId w:val="2"/>
        </w:numPr>
      </w:pPr>
      <w:r>
        <w:rPr>
          <w:rFonts w:ascii="Arial" w:cs="Arial" w:eastAsia="Arial" w:hAnsi="Arial"/>
        </w:rPr>
        <w:t xml:space="preserve">M&amp;A opportunities in AI application layer</w:t>
      </w:r>
    </w:p>
    <w:p/>
    <w:p>
      <w:pPr>
        <w:pStyle w:val="Heading2"/>
      </w:pPr>
      <w:r>
        <w:rPr>
          <w:rFonts w:ascii="Arial" w:cs="Arial" w:eastAsia="Arial" w:hAnsi="Arial"/>
          <w:b/>
          <w:bCs/>
        </w:rPr>
        <w:t xml:space="preserve">9.2 Hot Investment Themes Q2 2026</w:t>
      </w:r>
    </w:p>
    <w:p>
      <w:pPr>
        <w:pStyle w:val="ListParagraph"/>
        <w:numPr>
          <w:ilvl w:val="0"/>
          <w:numId w:val="2"/>
        </w:numPr>
      </w:pPr>
      <w:r>
        <w:rPr>
          <w:rFonts w:ascii="Arial" w:cs="Arial" w:eastAsia="Arial" w:hAnsi="Arial"/>
        </w:rPr>
        <w:t xml:space="preserve">AI Agents - Enterprise deployment acceleration</w:t>
      </w:r>
    </w:p>
    <w:p>
      <w:pPr>
        <w:pStyle w:val="ListParagraph"/>
        <w:numPr>
          <w:ilvl w:val="0"/>
          <w:numId w:val="2"/>
        </w:numPr>
      </w:pPr>
      <w:r>
        <w:rPr>
          <w:rFonts w:ascii="Arial" w:cs="Arial" w:eastAsia="Arial" w:hAnsi="Arial"/>
        </w:rPr>
        <w:t xml:space="preserve">Custom Silicon - Broadcom, hyperscaler custom chips</w:t>
      </w:r>
    </w:p>
    <w:p>
      <w:pPr>
        <w:pStyle w:val="ListParagraph"/>
        <w:numPr>
          <w:ilvl w:val="0"/>
          <w:numId w:val="2"/>
        </w:numPr>
      </w:pPr>
      <w:r>
        <w:rPr>
          <w:rFonts w:ascii="Arial" w:cs="Arial" w:eastAsia="Arial" w:hAnsi="Arial"/>
        </w:rPr>
        <w:t xml:space="preserve">Vertical AI - Healthcare, legal, finance verticals</w:t>
      </w:r>
    </w:p>
    <w:p>
      <w:pPr>
        <w:pStyle w:val="ListParagraph"/>
        <w:numPr>
          <w:ilvl w:val="0"/>
          <w:numId w:val="2"/>
        </w:numPr>
      </w:pPr>
      <w:r>
        <w:rPr>
          <w:rFonts w:ascii="Arial" w:cs="Arial" w:eastAsia="Arial" w:hAnsi="Arial"/>
        </w:rPr>
        <w:t xml:space="preserve">AI Security - Compliance, trust, governance tools</w:t>
      </w:r>
    </w:p>
    <w:p>
      <w:pPr>
        <w:pStyle w:val="ListParagraph"/>
        <w:numPr>
          <w:ilvl w:val="0"/>
          <w:numId w:val="2"/>
        </w:numPr>
      </w:pPr>
      <w:r>
        <w:rPr>
          <w:rFonts w:ascii="Arial" w:cs="Arial" w:eastAsia="Arial" w:hAnsi="Arial"/>
        </w:rPr>
        <w:t xml:space="preserve">AI Infrastructure - Power, cooling, networking</w:t>
      </w:r>
    </w:p>
    <w:p/>
    <w:p>
      <w:pPr>
        <w:pStyle w:val="Heading2"/>
      </w:pPr>
      <w:r>
        <w:rPr>
          <w:rFonts w:ascii="Arial" w:cs="Arial" w:eastAsia="Arial" w:hAnsi="Arial"/>
          <w:b/>
          <w:bCs/>
        </w:rPr>
        <w:t xml:space="preserve">9.3 Key Success Factors</w:t>
      </w:r>
    </w:p>
    <w:p>
      <w:pPr>
        <w:pStyle w:val="ListParagraph"/>
        <w:numPr>
          <w:ilvl w:val="0"/>
          <w:numId w:val="2"/>
        </w:numPr>
      </w:pPr>
      <w:r>
        <w:rPr>
          <w:rFonts w:ascii="Arial" w:cs="Arial" w:eastAsia="Arial" w:hAnsi="Arial"/>
        </w:rPr>
        <w:t xml:space="preserve">Focus on demonstrable ROI over hype</w:t>
      </w:r>
    </w:p>
    <w:p>
      <w:pPr>
        <w:pStyle w:val="ListParagraph"/>
        <w:numPr>
          <w:ilvl w:val="0"/>
          <w:numId w:val="2"/>
        </w:numPr>
      </w:pPr>
      <w:r>
        <w:rPr>
          <w:rFonts w:ascii="Arial" w:cs="Arial" w:eastAsia="Arial" w:hAnsi="Arial"/>
        </w:rPr>
        <w:t xml:space="preserve">Prefer companies with clear path to profitability</w:t>
      </w:r>
    </w:p>
    <w:p>
      <w:pPr>
        <w:pStyle w:val="ListParagraph"/>
        <w:numPr>
          <w:ilvl w:val="0"/>
          <w:numId w:val="2"/>
        </w:numPr>
      </w:pPr>
      <w:r>
        <w:rPr>
          <w:rFonts w:ascii="Arial" w:cs="Arial" w:eastAsia="Arial" w:hAnsi="Arial"/>
        </w:rPr>
        <w:t xml:space="preserve">Diversify across AI value chain layers</w:t>
      </w:r>
    </w:p>
    <w:p>
      <w:pPr>
        <w:pStyle w:val="ListParagraph"/>
        <w:numPr>
          <w:ilvl w:val="0"/>
          <w:numId w:val="2"/>
        </w:numPr>
      </w:pPr>
      <w:r>
        <w:rPr>
          <w:rFonts w:ascii="Arial" w:cs="Arial" w:eastAsia="Arial" w:hAnsi="Arial"/>
        </w:rPr>
        <w:t xml:space="preserve">Monitor regulatory developments closely</w:t>
      </w:r>
    </w:p>
    <w:p>
      <w:pPr>
        <w:pStyle w:val="ListParagraph"/>
        <w:numPr>
          <w:ilvl w:val="0"/>
          <w:numId w:val="2"/>
        </w:numPr>
      </w:pPr>
      <w:r>
        <w:rPr>
          <w:rFonts w:ascii="Arial" w:cs="Arial" w:eastAsia="Arial" w:hAnsi="Arial"/>
        </w:rPr>
        <w:t xml:space="preserve">Watch for IPO opportunities for AI exposure</w:t>
      </w:r>
    </w:p>
    <w:p>
      <w:r>
        <w:br w:type="page"/>
      </w:r>
    </w:p>
    <w:p>
      <w:pPr>
        <w:pStyle w:val="Heading1"/>
      </w:pPr>
      <w:r>
        <w:rPr>
          <w:rFonts w:ascii="Arial" w:cs="Arial" w:eastAsia="Arial" w:hAnsi="Arial"/>
          <w:b/>
          <w:bCs/>
        </w:rPr>
        <w:t xml:space="preserve">10. References &amp; Sources</w:t>
      </w:r>
    </w:p>
    <w:p>
      <w:r>
        <w:rPr>
          <w:rFonts w:ascii="Arial" w:cs="Arial" w:eastAsia="Arial" w:hAnsi="Arial"/>
        </w:rPr>
        <w:t xml:space="preserve">Primary Data Sources:</w:t>
      </w:r>
    </w:p>
    <w:p>
      <w:pPr>
        <w:pStyle w:val="ListParagraph"/>
        <w:numPr>
          <w:ilvl w:val="0"/>
          <w:numId w:val="2"/>
        </w:numPr>
      </w:pPr>
      <w:r>
        <w:rPr>
          <w:rFonts w:ascii="Arial" w:cs="Arial" w:eastAsia="Arial" w:hAnsi="Arial"/>
        </w:rPr>
        <w:t xml:space="preserve">Stanford HAI AI Index Reports (2024, 2025)</w:t>
      </w:r>
    </w:p>
    <w:p>
      <w:pPr>
        <w:pStyle w:val="ListParagraph"/>
        <w:numPr>
          <w:ilvl w:val="0"/>
          <w:numId w:val="2"/>
        </w:numPr>
      </w:pPr>
      <w:r>
        <w:rPr>
          <w:rFonts w:ascii="Arial" w:cs="Arial" w:eastAsia="Arial" w:hAnsi="Arial"/>
        </w:rPr>
        <w:t xml:space="preserve">McKinsey State of AI Reports (2024, 2025)</w:t>
      </w:r>
    </w:p>
    <w:p>
      <w:pPr>
        <w:pStyle w:val="ListParagraph"/>
        <w:numPr>
          <w:ilvl w:val="0"/>
          <w:numId w:val="2"/>
        </w:numPr>
      </w:pPr>
      <w:r>
        <w:rPr>
          <w:rFonts w:ascii="Arial" w:cs="Arial" w:eastAsia="Arial" w:hAnsi="Arial"/>
        </w:rPr>
        <w:t xml:space="preserve">Crunchbase Venture Capital Data (2025, Q1 2026)</w:t>
      </w:r>
    </w:p>
    <w:p>
      <w:pPr>
        <w:pStyle w:val="ListParagraph"/>
        <w:numPr>
          <w:ilvl w:val="0"/>
          <w:numId w:val="2"/>
        </w:numPr>
      </w:pPr>
      <w:r>
        <w:rPr>
          <w:rFonts w:ascii="Arial" w:cs="Arial" w:eastAsia="Arial" w:hAnsi="Arial"/>
        </w:rPr>
        <w:t xml:space="preserve">Goldman Sachs Research - AI Capital Expenditure Analysis</w:t>
      </w:r>
    </w:p>
    <w:p>
      <w:pPr>
        <w:pStyle w:val="ListParagraph"/>
        <w:numPr>
          <w:ilvl w:val="0"/>
          <w:numId w:val="2"/>
        </w:numPr>
      </w:pPr>
      <w:r>
        <w:rPr>
          <w:rFonts w:ascii="Arial" w:cs="Arial" w:eastAsia="Arial" w:hAnsi="Arial"/>
        </w:rPr>
        <w:t xml:space="preserve">Deloitte Semiconductor Industry Outlook 2026</w:t>
      </w:r>
    </w:p>
    <w:p>
      <w:pPr>
        <w:pStyle w:val="ListParagraph"/>
        <w:numPr>
          <w:ilvl w:val="0"/>
          <w:numId w:val="2"/>
        </w:numPr>
      </w:pPr>
      <w:r>
        <w:rPr>
          <w:rFonts w:ascii="Arial" w:cs="Arial" w:eastAsia="Arial" w:hAnsi="Arial"/>
        </w:rPr>
        <w:t xml:space="preserve">Dell'Oro Group Data Center Capex Forecast</w:t>
      </w:r>
    </w:p>
    <w:p>
      <w:pPr>
        <w:pStyle w:val="ListParagraph"/>
        <w:numPr>
          <w:ilvl w:val="0"/>
          <w:numId w:val="2"/>
        </w:numPr>
      </w:pPr>
      <w:r>
        <w:rPr>
          <w:rFonts w:ascii="Arial" w:cs="Arial" w:eastAsia="Arial" w:hAnsi="Arial"/>
        </w:rPr>
        <w:t xml:space="preserve">Menlo Ventures State of Generative AI Report</w:t>
      </w:r>
    </w:p>
    <w:p>
      <w:pPr>
        <w:pStyle w:val="ListParagraph"/>
        <w:numPr>
          <w:ilvl w:val="0"/>
          <w:numId w:val="2"/>
        </w:numPr>
      </w:pPr>
      <w:r>
        <w:rPr>
          <w:rFonts w:ascii="Arial" w:cs="Arial" w:eastAsia="Arial" w:hAnsi="Arial"/>
        </w:rPr>
        <w:t xml:space="preserve">OECD Venture Capital in AI Report</w:t>
      </w:r>
    </w:p>
    <w:p>
      <w:pPr>
        <w:pStyle w:val="ListParagraph"/>
        <w:numPr>
          <w:ilvl w:val="0"/>
          <w:numId w:val="2"/>
        </w:numPr>
      </w:pPr>
      <w:r>
        <w:rPr>
          <w:rFonts w:ascii="Arial" w:cs="Arial" w:eastAsia="Arial" w:hAnsi="Arial"/>
        </w:rPr>
        <w:t xml:space="preserve">Gartner AI Market Analysis</w:t>
      </w:r>
    </w:p>
    <w:p/>
    <w:p>
      <w:r>
        <w:rPr>
          <w:rFonts w:ascii="Arial" w:cs="Arial" w:eastAsia="Arial" w:hAnsi="Arial"/>
        </w:rPr>
        <w:t xml:space="preserve">News Sources:</w:t>
      </w:r>
    </w:p>
    <w:p>
      <w:pPr>
        <w:pStyle w:val="ListParagraph"/>
        <w:numPr>
          <w:ilvl w:val="0"/>
          <w:numId w:val="2"/>
        </w:numPr>
      </w:pPr>
      <w:r>
        <w:rPr>
          <w:rFonts w:ascii="Arial" w:cs="Arial" w:eastAsia="Arial" w:hAnsi="Arial"/>
        </w:rPr>
        <w:t xml:space="preserve">Reuters - Anthropic IPO plans, China AI investment</w:t>
      </w:r>
    </w:p>
    <w:p>
      <w:pPr>
        <w:pStyle w:val="ListParagraph"/>
        <w:numPr>
          <w:ilvl w:val="0"/>
          <w:numId w:val="2"/>
        </w:numPr>
      </w:pPr>
      <w:r>
        <w:rPr>
          <w:rFonts w:ascii="Arial" w:cs="Arial" w:eastAsia="Arial" w:hAnsi="Arial"/>
        </w:rPr>
        <w:t xml:space="preserve">CNBC - Hyperscaler earnings and capex</w:t>
      </w:r>
    </w:p>
    <w:p>
      <w:pPr>
        <w:pStyle w:val="ListParagraph"/>
        <w:numPr>
          <w:ilvl w:val="0"/>
          <w:numId w:val="2"/>
        </w:numPr>
      </w:pPr>
      <w:r>
        <w:rPr>
          <w:rFonts w:ascii="Arial" w:cs="Arial" w:eastAsia="Arial" w:hAnsi="Arial"/>
        </w:rPr>
        <w:t xml:space="preserve">New York Times - AI IPO mega-trend</w:t>
      </w:r>
    </w:p>
    <w:p>
      <w:pPr>
        <w:pStyle w:val="ListParagraph"/>
        <w:numPr>
          <w:ilvl w:val="0"/>
          <w:numId w:val="2"/>
        </w:numPr>
      </w:pPr>
      <w:r>
        <w:rPr>
          <w:rFonts w:ascii="Arial" w:cs="Arial" w:eastAsia="Arial" w:hAnsi="Arial"/>
        </w:rPr>
        <w:t xml:space="preserve">Financial Times - Foundation model funding</w:t>
      </w:r>
    </w:p>
    <w:p>
      <w:pPr>
        <w:pStyle w:val="ListParagraph"/>
        <w:numPr>
          <w:ilvl w:val="0"/>
          <w:numId w:val="2"/>
        </w:numPr>
      </w:pPr>
      <w:r>
        <w:rPr>
          <w:rFonts w:ascii="Arial" w:cs="Arial" w:eastAsia="Arial" w:hAnsi="Arial"/>
        </w:rPr>
        <w:t xml:space="preserve">Business Insider - Big Tech AI spending</w:t>
      </w:r>
    </w:p>
    <w:p/>
    <w:p/>
    <w:p>
      <w:r>
        <w:rPr>
          <w:rFonts w:ascii="Arial" w:cs="Arial" w:eastAsia="Arial" w:hAnsi="Arial"/>
        </w:rPr>
        <w:t xml:space="preserve">DISCLAIMER: This report is for informational purposes only and does not constitute investment advice. All data is sourced from publicly available information and may be subject to change. Past performance is not indicative of future results. Investment in AI companies involves substantial risk including the risk of total loss.</w:t>
      </w:r>
    </w:p>
    <w:p/>
    <w:p>
      <w:r>
        <w:rPr>
          <w:rFonts w:ascii="Arial" w:cs="Arial" w:eastAsia="Arial" w:hAnsi="Arial"/>
        </w:rPr>
        <w:t xml:space="preserve">Report prepared: April 2026</w:t>
      </w:r>
    </w:p>
    <w:p>
      <w:r>
        <w:rPr>
          <w:rFonts w:ascii="Arial" w:cs="Arial" w:eastAsia="Arial" w:hAnsi="Arial"/>
        </w:rPr>
        <w:t xml:space="preserve">Document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Research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Global AI Investment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20" w:before="240"/>
      <w:outlineLvl w:val="0"/>
    </w:pPr>
    <w:rPr>
      <w:rFonts w:ascii="Arial" w:cs="Arial" w:eastAsia="Arial" w:hAnsi="Arial"/>
      <w:b/>
      <w:bCs/>
      <w:color w:val="1E3A5F"/>
      <w:sz w:val="32"/>
      <w:szCs w:val="32"/>
    </w:rPr>
  </w:style>
  <w:style w:type="paragraph" w:styleId="Heading2">
    <w:name w:val="Heading 2"/>
    <w:basedOn w:val="Normal"/>
    <w:next w:val="Normal"/>
    <w:qFormat/>
    <w:pPr>
      <w:keepNext w:val="false"/>
      <w:keepLines w:val="false"/>
      <w:spacing w:after="100" w:before="200"/>
      <w:outlineLvl w:val="1"/>
    </w:pPr>
    <w:rPr>
      <w:rFonts w:ascii="Arial" w:cs="Arial" w:eastAsia="Arial" w:hAnsi="Arial"/>
      <w:b/>
      <w:bCs/>
      <w:color w:val="2E5090"/>
      <w:sz w:val="26"/>
      <w:szCs w:val="26"/>
    </w:rPr>
  </w:style>
  <w:style w:type="paragraph" w:styleId="Heading3">
    <w:name w:val="Heading 3"/>
    <w:basedOn w:val="Normal"/>
    <w:next w:val="Normal"/>
    <w:qFormat/>
    <w:pPr>
      <w:keepNext w:val="false"/>
      <w:keepLines w:val="false"/>
      <w:spacing w:after="80" w:before="160"/>
      <w:outlineLvl w:val="2"/>
    </w:pPr>
    <w:rPr>
      <w:rFonts w:ascii="Arial" w:cs="Arial" w:eastAsia="Arial" w:hAnsi="Arial"/>
      <w:b/>
      <w:bCs/>
      <w:color w:val="4060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2026-04-05T00:07:09.600Z</dcterms:created>
  <dcterms:modified xsi:type="dcterms:W3CDTF">2026-04-05T00:07:09.600Z</dcterms:modified>
</cp:coreProperties>
</file>

<file path=docProps/custom.xml><?xml version="1.0" encoding="utf-8"?>
<Properties xmlns="http://schemas.openxmlformats.org/officeDocument/2006/custom-properties" xmlns:vt="http://schemas.openxmlformats.org/officeDocument/2006/docPropsVTypes"/>
</file>