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11C954">
      <w:pPr>
        <w:pStyle w:val="2"/>
        <w:bidi w:val="0"/>
        <w:jc w:val="center"/>
      </w:pPr>
      <w:bookmarkStart w:id="0" w:name="llmchain_白皮书_v1_0_草案"/>
      <w:r>
        <w:t xml:space="preserve">LLMChain 白皮书 </w:t>
      </w:r>
      <w:bookmarkEnd w:id="0"/>
    </w:p>
    <w:p w14:paraId="510412CA">
      <w:pPr>
        <w:pStyle w:val="3"/>
        <w:bidi w:val="0"/>
      </w:pPr>
      <w:bookmarkStart w:id="1" w:name="第一部分_概览_第_1_3_页"/>
      <w:r>
        <w:t>第一部分 · 概览</w:t>
      </w:r>
      <w:bookmarkEnd w:id="1"/>
    </w:p>
    <w:p w14:paraId="46BD8D62">
      <w:pPr>
        <w:pStyle w:val="4"/>
        <w:bidi w:val="0"/>
      </w:pPr>
      <w:bookmarkStart w:id="2" w:name="人类交易靠发票_agent_交易靠什么"/>
      <w:r>
        <w:t>人类交易靠发票，Agent 交易靠什么？</w:t>
      </w:r>
      <w:bookmarkEnd w:id="2"/>
    </w:p>
    <w:p w14:paraId="54C2F5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人类之间的每一笔交易都有凭证：发票、合同、银行流水。凭证让陌生人之间可以合作，也让纠纷有据可查。</w:t>
      </w:r>
    </w:p>
    <w:p w14:paraId="6550D3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AI Agent 正在成为新的经济主体。它们一天发起成千上万次推理调用，向不同的模型服务商付费，再把结果卖给下一个 Agent。但今天，</w:t>
      </w:r>
      <w:r>
        <w:rPr>
          <w:rFonts w:ascii="source serif 4" w:hAnsi="source serif 4" w:eastAsia="source serif 4" w:cs="source serif 4"/>
          <w:b/>
          <w:color w:val="000000"/>
        </w:rPr>
        <w:t>一次推理调用发生之后，没有任何凭证能证明它真的发生过、用的是声明的那个模型、价格是双方约定的那个价格</w:t>
      </w:r>
      <w:r>
        <w:rPr>
          <w:rFonts w:ascii="source serif 4" w:hAnsi="source serif 4" w:eastAsia="source serif 4" w:cs="source serif 4"/>
          <w:color w:val="000000"/>
        </w:rPr>
        <w:t>。</w:t>
      </w:r>
    </w:p>
    <w:p w14:paraId="1EEE5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LLMChain 为 Agent 经济提供这张凭证</w:t>
      </w:r>
      <w:r>
        <w:rPr>
          <w:rFonts w:hint="eastAsia" w:ascii="source serif 4" w:hAnsi="source serif 4" w:eastAsia="source serif 4" w:cs="source serif 4"/>
          <w:color w:val="000000"/>
          <w:lang w:eastAsia="zh-CN"/>
        </w:rPr>
        <w:t>，</w:t>
      </w:r>
      <w:r>
        <w:rPr>
          <w:rFonts w:ascii="source serif 4" w:hAnsi="source serif 4" w:eastAsia="source serif 4" w:cs="source serif 4"/>
          <w:b w:val="0"/>
          <w:bCs/>
          <w:color w:val="000000"/>
        </w:rPr>
        <w:t>LLMChain 是一条把推理调用变成可验证、可结算、可组合的链上原语的独立公链。</w:t>
      </w:r>
    </w:p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</w:rPr>
        <w:t xml:space="preserve">基金会做链，社区做生态。</w:t>
      </w:r>
      <w:r>
        <w:rPr>
          <w:rFonts w:ascii="source serif 4" w:hAnsi="source serif 4" w:eastAsia="source serif 4" w:cs="source serif 4"/>
          <w:color w:val="000000"/>
        </w:rPr>
        <w:t xml:space="preserve">基金会只负责一个足够薄、足够可信的验证与结算底座：provider 验证、VSR 收据、支付通道、质押与客观罚没。多方分账等会随 Agent 商业模式快速变化的逻辑，由社区在合约层开发、迭代，不进入链的内核。</w:t>
      </w:r>
    </w:p>
    <w:p w14:paraId="1985E6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3" w:name="三个要点"/>
      <w:r>
        <w:rPr>
          <w:rFonts w:ascii="source serif 4" w:hAnsi="source serif 4" w:eastAsia="source serif 4" w:cs="source serif 4"/>
          <w:b/>
          <w:color w:val="000000"/>
        </w:rPr>
        <w:t xml:space="preserve">LLMChain </w:t>
      </w:r>
      <w:r>
        <w:rPr>
          <w:rFonts w:ascii="source serif 4" w:hAnsi="source serif 4" w:eastAsia="source serif 4" w:cs="source serif 4"/>
          <w:b/>
          <w:color w:val="000000"/>
          <w:sz w:val="24"/>
        </w:rPr>
        <w:t>三个要点</w:t>
      </w:r>
      <w:bookmarkEnd w:id="3"/>
    </w:p>
    <w:p w14:paraId="3E15FDBB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可验证收据（VSR）是唯一上链的对象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 —— 每一次被完成的推理调用生成一张收据，收据即结算。</w:t>
      </w:r>
    </w:p>
    <w:p w14:paraId="18A35D1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毫秒级调用，不等区块确认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 —— 选服务商、付款、执行全部在链下完成，只有结算上链。</w:t>
      </w:r>
    </w:p>
    <w:p w14:paraId="416C408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造假可被抓、抓到即罚没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 —— 隐蔽挑战 + 保真证明 + 质押罚没，让以次充好在经济上不划算。</w:t>
      </w:r>
    </w:p>
    <w:p w14:paraId="49F137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4" w:name="关键参数"/>
      <w:r>
        <w:rPr>
          <w:rFonts w:ascii="source serif 4" w:hAnsi="source serif 4" w:eastAsia="source serif 4" w:cs="source serif 4"/>
          <w:b/>
          <w:color w:val="000000"/>
          <w:sz w:val="24"/>
        </w:rPr>
        <w:t>关键参数</w:t>
      </w:r>
      <w:bookmarkEnd w:id="4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14"/>
        <w:gridCol w:w="3459"/>
      </w:tblGrid>
      <w:tr w14:paraId="0D409991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2676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参数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94B80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数值</w:t>
            </w:r>
          </w:p>
        </w:tc>
      </w:tr>
      <w:tr w14:paraId="7466C929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69F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调用延迟开销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94900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链下完成，不等区块确认</w:t>
            </w:r>
          </w:p>
        </w:tc>
      </w:tr>
      <w:tr w14:paraId="469CC749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EFE9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出块时间 / 最终性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3E083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【待定】约 1 秒 / 亚秒级确定性最终性</w:t>
            </w:r>
          </w:p>
        </w:tc>
      </w:tr>
      <w:tr w14:paraId="30B4D29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4273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共识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DAB24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纯质押 PoS，服务量不进入共识权重</w:t>
            </w:r>
          </w:p>
        </w:tc>
      </w:tr>
      <w:tr w14:paraId="70CE70E2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53A7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服务商准入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C14DB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普通 GPU 即可；GPU TEE 为可选机密级</w:t>
            </w:r>
          </w:p>
        </w:tc>
      </w:tr>
    </w:tbl>
    <w:p w14:paraId="6EE308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6D8B74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5" w:name="一次调用的四步"/>
      <w:r>
        <w:rPr>
          <w:rFonts w:ascii="source serif 4" w:hAnsi="source serif 4" w:eastAsia="source serif 4" w:cs="source serif 4"/>
          <w:b/>
          <w:color w:val="000000"/>
          <w:sz w:val="24"/>
        </w:rPr>
        <w:t>一次调用的四步</w:t>
      </w:r>
      <w:bookmarkEnd w:id="5"/>
    </w:p>
    <w:p w14:paraId="5590AC2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选择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 —— Agent 查询链上挂单簿，按模型、价格、证明等级选定服务商</w:t>
      </w:r>
    </w:p>
    <w:p w14:paraId="3C208CC8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付款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 —— 通过 x402 建立支付通道，服务商链下当场决定是否接单</w:t>
      </w:r>
    </w:p>
    <w:p w14:paraId="7341144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执行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 —— 服务商完成推理，返回结果与签名</w:t>
      </w:r>
    </w:p>
    <w:p w14:paraId="09EEB8F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结算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 —— 签发 VSR 收据上链，资金按收据结算</w:t>
      </w:r>
    </w:p>
    <w:p w14:paraId="19DDBA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BC6898A">
      <w:pPr>
        <w:pStyle w:val="4"/>
        <w:bidi w:val="0"/>
      </w:pPr>
      <w:bookmarkStart w:id="6" w:name="第_2_页_为什么是现在_为什么是我们"/>
      <w:r>
        <w:t>为什么是现在，为什么是我们</w:t>
      </w:r>
      <w:bookmarkEnd w:id="6"/>
    </w:p>
    <w:p w14:paraId="61D9AD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7" w:name="时机_agent_正在成为推理的主要消费者"/>
      <w:r>
        <w:rPr>
          <w:rFonts w:ascii="source serif 4" w:hAnsi="source serif 4" w:eastAsia="source serif 4" w:cs="source serif 4"/>
          <w:b/>
          <w:color w:val="000000"/>
          <w:sz w:val="24"/>
        </w:rPr>
        <w:t>时机：Agent 正在成为推理的主要消费者</w:t>
      </w:r>
      <w:bookmarkEnd w:id="7"/>
    </w:p>
    <w:p w14:paraId="026E8C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推理需求的主角正在从"人在聊天框里提问"转向"Agent </w:t>
      </w:r>
      <w:r>
        <w:rPr>
          <w:rFonts w:hint="eastAsia" w:ascii="source serif 4" w:hAnsi="source serif 4" w:eastAsia="source serif 4" w:cs="source serif 4"/>
          <w:color w:val="000000"/>
          <w:lang w:val="en-US" w:eastAsia="zh-CN"/>
        </w:rPr>
        <w:t>以及Agent</w:t>
      </w:r>
      <w:r>
        <w:rPr>
          <w:rFonts w:ascii="source serif 4" w:hAnsi="source serif 4" w:eastAsia="source serif 4" w:cs="source serif 4"/>
          <w:color w:val="000000"/>
        </w:rPr>
        <w:t>之间自动调用"。Agent 调用的特点是：频次高、单价低、链路长（一个任务递归调用多个下游 Agent 与模型）、全程无人值守。</w:t>
      </w:r>
    </w:p>
    <w:p w14:paraId="6968D9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无人值守意味着</w:t>
      </w:r>
      <w:r>
        <w:rPr>
          <w:rFonts w:ascii="source serif 4" w:hAnsi="source serif 4" w:eastAsia="source serif 4" w:cs="source serif 4"/>
          <w:b/>
          <w:color w:val="000000"/>
        </w:rPr>
        <w:t>没有人会逐条核对结果</w:t>
      </w:r>
      <w:r>
        <w:rPr>
          <w:rFonts w:ascii="source serif 4" w:hAnsi="source serif 4" w:eastAsia="source serif 4" w:cs="source serif 4"/>
          <w:color w:val="000000"/>
        </w:rPr>
        <w:t>。这让信任问题从"体验问题"变成了"结算问题"。</w:t>
      </w:r>
    </w:p>
    <w:p w14:paraId="0FDD4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8" w:name="问题_今天的推理市场无法自证"/>
      <w:r>
        <w:rPr>
          <w:rFonts w:ascii="source serif 4" w:hAnsi="source serif 4" w:eastAsia="source serif 4" w:cs="source serif 4"/>
          <w:b/>
          <w:color w:val="000000"/>
          <w:sz w:val="24"/>
        </w:rPr>
        <w:t>问题：今天的推理市场无法自证</w:t>
      </w:r>
      <w:bookmarkEnd w:id="8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45"/>
        <w:gridCol w:w="6445"/>
      </w:tblGrid>
      <w:tr w14:paraId="0750841C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102A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问题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2D063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具体表现</w:t>
            </w:r>
          </w:p>
        </w:tc>
      </w:tr>
      <w:tr w14:paraId="3270C61A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274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以次充好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55CBE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中转商挂旗舰模型、报三折价，背地里换成便宜的开源小模型，用户无法逐字核对</w:t>
            </w:r>
          </w:p>
        </w:tc>
      </w:tr>
      <w:tr w14:paraId="0DA63536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CBC1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调用无凭证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F1581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账单由平台单方面出具，Agent 之间转售推理时没有可追溯的结算事实</w:t>
            </w:r>
          </w:p>
        </w:tc>
      </w:tr>
      <w:tr w14:paraId="2F531DF5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A4D4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平台托管资金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BAFA8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聚合平台先收钱再分发，调用方必须信任中介</w:t>
            </w:r>
          </w:p>
        </w:tc>
      </w:tr>
      <w:tr w14:paraId="6CAF81D9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4E42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递归分账困难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7FD0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Agent A 调 B、B 调 C，收入如何按链路自动分配，没有通用原语</w:t>
            </w:r>
          </w:p>
        </w:tc>
      </w:tr>
    </w:tbl>
    <w:p w14:paraId="5EF3FF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现有项目大致分成两个阵营。</w:t>
      </w:r>
      <w:r>
        <w:rPr>
          <w:rFonts w:ascii="source serif 4" w:hAnsi="source serif 4" w:eastAsia="source serif 4" w:cs="source serif 4"/>
          <w:b/>
          <w:color w:val="000000"/>
        </w:rPr>
        <w:t xml:space="preserve">证明派</w:t>
      </w:r>
      <w:r>
        <w:rPr>
          <w:rFonts w:ascii="source serif 4" w:hAnsi="source serif 4" w:eastAsia="source serif 4" w:cs="source serif 4"/>
          <w:color w:val="000000"/>
        </w:rPr>
        <w:t xml:space="preserve">（如 OpenGradient、Phala、Gensyn）致力于证明"推理是否正确"，但没有结算层：证明交付后，谁该被付钱、谁该被罚没，不归它们管。</w:t>
      </w:r>
      <w:r>
        <w:rPr>
          <w:rFonts w:ascii="source serif 4" w:hAnsi="source serif 4" w:eastAsia="source serif 4" w:cs="source serif 4"/>
          <w:b/>
          <w:color w:val="000000"/>
        </w:rPr>
        <w:t xml:space="preserve">市场派</w:t>
      </w:r>
      <w:r>
        <w:rPr>
          <w:rFonts w:ascii="source serif 4" w:hAnsi="source serif 4" w:eastAsia="source serif 4" w:cs="source serif 4"/>
          <w:color w:val="000000"/>
        </w:rPr>
        <w:t xml:space="preserve">（如 Akash、io.net）已经有真实的算力与推理成交量，但对服务是否按声明发生不做任何证明。</w:t>
      </w:r>
    </w:p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LLMChain 站在两者之间：把可验证的服务事实与原生结算放进同一个状态机。</w:t>
      </w:r>
    </w:p>
    <w:p w14:paraId="433EE5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9" w:name="我们与现有方案的区别"/>
      <w:r>
        <w:rPr>
          <w:rFonts w:ascii="source serif 4" w:hAnsi="source serif 4" w:eastAsia="source serif 4" w:cs="source serif 4"/>
          <w:b/>
          <w:color w:val="000000"/>
          <w:sz w:val="24"/>
        </w:rPr>
        <w:t>我们与现有方案的区别</w:t>
      </w:r>
      <w:bookmarkEnd w:id="9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80"/>
        <w:gridCol w:w="1875"/>
        <w:gridCol w:w="2484"/>
        <w:gridCol w:w="1371"/>
        <w:gridCol w:w="2158"/>
        <w:gridCol w:w="1072"/>
      </w:tblGrid>
      <w:tr w14:paraId="3D298FEF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6D6D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FE5D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LLMChain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EBD7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推理证明预言机（如 OpenGradient）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62BD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推理 L1（如 Flop）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2EAA0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去中心化 AI 网络（如 Bittensor）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6811D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中心化聚合平台</w:t>
            </w:r>
          </w:p>
        </w:tc>
      </w:tr>
      <w:tr w14:paraId="0BB564FA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3C77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结算对象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B8C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单次调用 VSR 收据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7C9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供合约查询的证明结果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92C8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会话证明哈希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20E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子网评分与排放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C51B5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平台账单</w:t>
            </w:r>
          </w:p>
        </w:tc>
      </w:tr>
      <w:tr w14:paraId="1048A90A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80C2F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资金托管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61B8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非托管，调用方直连服务商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27DD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3F4F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链上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375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链上排放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8A28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平台托管</w:t>
            </w:r>
          </w:p>
        </w:tc>
      </w:tr>
      <w:tr w14:paraId="229352FD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88AC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共识权重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56F7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纯质押，与服务量脱钩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BD9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A177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质押 + 有用推理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FBD5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验证者评分影响矿工收益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CB5E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—</w:t>
            </w:r>
          </w:p>
        </w:tc>
      </w:tr>
      <w:tr w14:paraId="57007FB0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EAAA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防以次充好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C55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保真证明 + 隐蔽挑战 + 罚没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4BF8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zkML / 乐观证明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BAA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指纹 + 抽样重执行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3BCA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主观评分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4738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依赖平台信誉</w:t>
            </w:r>
          </w:p>
        </w:tc>
      </w:tr>
    </w:tbl>
    <w:p w14:paraId="16839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23BD01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</w:rPr>
        <w:t>我们的核心判断</w:t>
      </w:r>
      <w:r>
        <w:rPr>
          <w:rFonts w:ascii="source serif 4" w:hAnsi="source serif 4" w:eastAsia="source serif 4" w:cs="source serif 4"/>
          <w:color w:val="000000"/>
        </w:rPr>
        <w:t>：推理市场需要的不是"证明回答是正确的"（这在开放式生成任务中不可能做到），而是"证明调用是真实的"。把问题收窄，才能把证明做实。</w:t>
      </w:r>
    </w:p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</w:rPr>
        <w:t xml:space="preserve">我们是 x402 和 ERC-8004 缺的下半段。</w:t>
      </w:r>
      <w:r>
        <w:rPr>
          <w:rFonts w:ascii="source serif 4" w:hAnsi="source serif 4" w:eastAsia="source serif 4" w:cs="source serif 4"/>
          <w:color w:val="000000"/>
        </w:rPr>
        <w:t xml:space="preserve">x402 解决了"单次调用怎么付钱"，ERC-8004 解决了"Agent 是谁"，两者都明确不处理"这次调用是否按声明发生、多方之间如何结清"。LLMChain 补的正是这一段：任何 ERC-8004 注册的 Agent、任何 x402 付款，都可以直接接入 LLMChain 的收据与结算，无需经过特定应用。AgentStore 是第一个客户，不是唯一入口。</w:t>
      </w:r>
    </w:p>
    <w:p w14:paraId="628A51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CEA9BA6">
      <w:pPr>
        <w:pStyle w:val="4"/>
        <w:bidi w:val="0"/>
      </w:pPr>
      <w:bookmarkStart w:id="10" w:name="第_3_页_代币与路线图"/>
      <w:r>
        <w:t>代币与路线图</w:t>
      </w:r>
      <w:bookmarkEnd w:id="10"/>
    </w:p>
    <w:p w14:paraId="28B81E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11" w:name="代币用途_代币名_待定_下称_llm"/>
      <w:r>
        <w:rPr>
          <w:rFonts w:ascii="source serif 4" w:hAnsi="source serif 4" w:eastAsia="source serif 4" w:cs="source serif 4"/>
          <w:b/>
          <w:color w:val="000000"/>
          <w:sz w:val="24"/>
        </w:rPr>
        <w:t>代币用途（代币名【待定】，下称 $LLM）</w:t>
      </w:r>
      <w:bookmarkEnd w:id="11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75"/>
        <w:gridCol w:w="4242"/>
      </w:tblGrid>
      <w:tr w14:paraId="5FD180A5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B0C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用途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160C1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说明</w:t>
            </w:r>
          </w:p>
        </w:tc>
      </w:tr>
      <w:tr w14:paraId="5C4DF53A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C39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调用支付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6B4D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Agent 用 $LLM（或经兑换的稳定币）支付推理费用</w:t>
            </w:r>
          </w:p>
        </w:tc>
      </w:tr>
      <w:tr w14:paraId="3376ADAD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B3A6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服务商质押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1AB1C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挂单前必须质押，造假即罚没</w:t>
            </w:r>
          </w:p>
        </w:tc>
      </w:tr>
      <w:tr w14:paraId="1CF8678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F751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审计员质押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08550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获得发起隐蔽挑战的资格，抓到造假获得赏金</w:t>
            </w:r>
          </w:p>
        </w:tc>
      </w:tr>
      <w:tr w14:paraId="0B12C486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9FA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验证人质押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6DF6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参与 PoS 共识出块，获取出块奖励与协议费分成</w:t>
            </w:r>
          </w:p>
        </w:tc>
      </w:tr>
      <w:tr w14:paraId="3AE37C33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3F98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治理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6B5DB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协议参数调整、模块升级投票</w:t>
            </w:r>
          </w:p>
        </w:tc>
      </w:tr>
    </w:tbl>
    <w:p w14:paraId="084F76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78B09D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12" w:name="价值闭环"/>
      <w:r>
        <w:rPr>
          <w:rFonts w:ascii="source serif 4" w:hAnsi="source serif 4" w:eastAsia="source serif 4" w:cs="source serif 4"/>
          <w:b/>
          <w:color w:val="000000"/>
          <w:sz w:val="24"/>
        </w:rPr>
        <w:t>价值闭环</w:t>
      </w:r>
      <w:bookmarkEnd w:id="12"/>
    </w:p>
    <w:p w14:paraId="6032D901">
      <w:pPr>
        <w:keepNext w:val="0"/>
        <w:keepLines w:val="0"/>
        <w:pageBreakBefore w:val="0"/>
        <w:widowControl/>
        <w:shd w:val="clear" w:fill="F8F8FA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Style w:val="7"/>
          <w:rFonts w:ascii="menlo" w:hAnsi="menlo" w:eastAsia="menlo" w:cs="menlo"/>
          <w:color w:val="000000"/>
          <w:sz w:val="18"/>
        </w:rPr>
        <w:t>Agent 调用付费 → 协议费累积 → 质押收益提升 → 更多服务商与验证人质押</w:t>
      </w:r>
      <w:r>
        <w:rPr>
          <w:rStyle w:val="7"/>
          <w:rFonts w:ascii="menlo" w:hAnsi="menlo" w:eastAsia="menlo" w:cs="menlo"/>
          <w:color w:val="000000"/>
          <w:sz w:val="18"/>
        </w:rPr>
        <w:br w:type="textWrapping"/>
      </w:r>
      <w:r>
        <w:rPr>
          <w:rStyle w:val="7"/>
          <w:rFonts w:ascii="menlo" w:hAnsi="menlo" w:eastAsia="menlo" w:cs="menlo"/>
          <w:color w:val="000000"/>
          <w:sz w:val="18"/>
        </w:rPr>
        <w:t xml:space="preserve">      ↑                                                     ↓</w:t>
      </w:r>
      <w:r>
        <w:rPr>
          <w:rStyle w:val="7"/>
          <w:rFonts w:ascii="menlo" w:hAnsi="menlo" w:eastAsia="menlo" w:cs="menlo"/>
          <w:color w:val="000000"/>
          <w:sz w:val="18"/>
        </w:rPr>
        <w:br w:type="textWrapping"/>
      </w:r>
      <w:r>
        <w:rPr>
          <w:rStyle w:val="7"/>
          <w:rFonts w:ascii="menlo" w:hAnsi="menlo" w:eastAsia="menlo" w:cs="menlo"/>
          <w:color w:val="000000"/>
          <w:sz w:val="18"/>
        </w:rPr>
        <w:t xml:space="preserve">  更多 Agent 接入 ←  更低价格、更可信的供给  ←  供给规模扩大</w:t>
      </w:r>
      <w:r>
        <w:rPr>
          <w:rStyle w:val="7"/>
          <w:rFonts w:ascii="menlo" w:hAnsi="menlo" w:eastAsia="menlo" w:cs="menlo"/>
          <w:color w:val="000000"/>
          <w:sz w:val="18"/>
        </w:rPr>
        <w:br w:type="textWrapping"/>
      </w:r>
    </w:p>
    <w:p w14:paraId="554EB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调用量越大，协议费越多；协议费越多，质押需求越强；质押越多，造假成本越高、网络越可信。</w:t>
      </w:r>
    </w:p>
    <w:p w14:paraId="35287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jc w:val="left"/>
        <w:textAlignment w:val="auto"/>
      </w:pPr>
      <w:bookmarkStart w:id="13" w:name="路线图"/>
      <w:r>
        <w:rPr>
          <w:rFonts w:ascii="source serif 4" w:hAnsi="source serif 4" w:eastAsia="source serif 4" w:cs="source serif 4"/>
          <w:b/>
          <w:color w:val="000000"/>
          <w:sz w:val="24"/>
        </w:rPr>
        <w:t>路线图</w:t>
      </w:r>
      <w:bookmarkEnd w:id="13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87"/>
        <w:gridCol w:w="1000"/>
        <w:gridCol w:w="4178"/>
      </w:tblGrid>
      <w:tr w14:paraId="3CBCDD12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2810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阶段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6985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时间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2619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里程碑</w:t>
            </w:r>
          </w:p>
        </w:tc>
      </w:tr>
      <w:tr w14:paraId="79B7ADDD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380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测试网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B0EE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【待定】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B2A4F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五大原生模块上线；开源模型自托管服务商接入</w:t>
            </w:r>
          </w:p>
        </w:tc>
      </w:tr>
      <w:tr w14:paraId="46805A0D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F0B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主网 Beta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6DC8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【待定】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5751F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VSR 结算、审计员挑战与罚没生效；首批路由服务</w:t>
            </w:r>
          </w:p>
        </w:tc>
      </w:tr>
      <w:tr w14:paraId="2841C36D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77BC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主网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133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【待定】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D1568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闭源模型中转（保真证明）、GPU TEE 机密级服务</w:t>
            </w:r>
          </w:p>
        </w:tc>
      </w:tr>
      <w:tr w14:paraId="4D35E86A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3180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生态扩展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3358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【待定】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A635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多方分账合约标准、Agent 应用商店</w:t>
            </w:r>
          </w:p>
        </w:tc>
      </w:tr>
    </w:tbl>
    <w:p w14:paraId="73A77B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5A832A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ABBA4FE">
      <w:pPr>
        <w:pStyle w:val="3"/>
        <w:bidi w:val="0"/>
        <w:rPr>
          <w:rFonts w:hint="eastAsia"/>
          <w:lang w:eastAsia="zh-CN"/>
        </w:rPr>
      </w:pPr>
      <w:bookmarkStart w:id="14" w:name="第二部分_机制_第_4_6_页"/>
      <w:r>
        <w:t>第二部分 · 机制</w:t>
      </w:r>
      <w:bookmarkEnd w:id="14"/>
    </w:p>
    <w:p w14:paraId="47C00F83">
      <w:pPr>
        <w:pStyle w:val="4"/>
        <w:bidi w:val="0"/>
      </w:pPr>
      <w:bookmarkStart w:id="15" w:name="第_4_页_为什么必须是一条独立公链"/>
      <w:r>
        <w:t>为什么必须是一条独立公链</w:t>
      </w:r>
      <w:bookmarkEnd w:id="15"/>
    </w:p>
    <w:p w14:paraId="3D8F9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我们曾考虑把 LLMChain 做成部署在现有 EVM 链或 Rollup 上的合约集。最终选择独立 L1，原因有三。</w:t>
      </w:r>
    </w:p>
    <w:p w14:paraId="179686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16" w:name="理由一_收据是协议级原语_不是应用"/>
      <w:r>
        <w:rPr>
          <w:rFonts w:ascii="source serif 4" w:hAnsi="source serif 4" w:eastAsia="source serif 4" w:cs="source serif 4"/>
          <w:b/>
          <w:color w:val="000000"/>
          <w:sz w:val="24"/>
        </w:rPr>
        <w:t>理由一：收据是协议级原语，不是应用</w:t>
      </w:r>
      <w:bookmarkEnd w:id="16"/>
    </w:p>
    <w:p w14:paraId="719026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VSR 收据是唯一穿透链下与链上的对象。每次调用的收据都要被签发、聚合、验证和结算，且调用频次远高于普通 DeFi 交易。在通用链上用合约实现，每张收据都要支付通用 EVM 的验签与存储开销；在独立链上，收据的签发、聚合、验证由</w:t>
      </w:r>
      <w:r>
        <w:rPr>
          <w:rFonts w:ascii="source serif 4" w:hAnsi="source serif 4" w:eastAsia="source serif 4" w:cs="source serif 4"/>
          <w:b/>
          <w:color w:val="000000"/>
        </w:rPr>
        <w:t>原生模块和预编译</w:t>
      </w:r>
      <w:r>
        <w:rPr>
          <w:rFonts w:ascii="source serif 4" w:hAnsi="source serif 4" w:eastAsia="source serif 4" w:cs="source serif 4"/>
          <w:color w:val="000000"/>
        </w:rPr>
        <w:t>直接支持，成本和吞吐都不在一个量级。</w:t>
      </w:r>
    </w:p>
    <w:p w14:paraId="69AF74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17" w:name="理由二_共识安全模型必须为推理市场定制"/>
      <w:r>
        <w:rPr>
          <w:rFonts w:ascii="source serif 4" w:hAnsi="source serif 4" w:eastAsia="source serif 4" w:cs="source serif 4"/>
          <w:b/>
          <w:color w:val="000000"/>
          <w:sz w:val="24"/>
        </w:rPr>
        <w:t>理由二：共识安全模型必须为推理市场定制</w:t>
      </w:r>
      <w:bookmarkEnd w:id="17"/>
    </w:p>
    <w:p w14:paraId="1F677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我们坚持一条第一原则：</w:t>
      </w:r>
      <w:r>
        <w:rPr>
          <w:rFonts w:ascii="source serif 4" w:hAnsi="source serif 4" w:eastAsia="source serif 4" w:cs="source serif 4"/>
          <w:b/>
          <w:color w:val="000000"/>
        </w:rPr>
        <w:t>服务量不得进入共识权重</w:t>
      </w:r>
      <w:r>
        <w:rPr>
          <w:rFonts w:ascii="source serif 4" w:hAnsi="source serif 4" w:eastAsia="source serif 4" w:cs="source serif 4"/>
          <w:color w:val="000000"/>
        </w:rPr>
        <w:t>。</w:t>
      </w:r>
    </w:p>
    <w:p w14:paraId="7D5CCA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LLMChain 采用纯质押共识：共识权重只来自质押；服务收益只由用户付费决定；罚没只由</w:t>
      </w:r>
      <w:r>
        <w:rPr>
          <w:rFonts w:ascii="source serif 4" w:hAnsi="source serif 4" w:eastAsia="source serif 4" w:cs="source serif 4"/>
          <w:b/>
          <w:color w:val="000000"/>
        </w:rPr>
        <w:t>客观失败</w:t>
      </w:r>
      <w:r>
        <w:rPr>
          <w:rFonts w:ascii="source serif 4" w:hAnsi="source serif 4" w:eastAsia="source serif 4" w:cs="source serif 4"/>
          <w:color w:val="000000"/>
        </w:rPr>
        <w:t>触发（如拿不出转发证据、签名不符），不由任何人的主观评分触发。这套规则需要在共识层定义，无法在别人的链上实现。</w:t>
      </w:r>
    </w:p>
    <w:p w14:paraId="6BF56C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18" w:name="理由三_链下调用与链上结算的边界需要原生定义"/>
      <w:r>
        <w:rPr>
          <w:rFonts w:ascii="source serif 4" w:hAnsi="source serif 4" w:eastAsia="source serif 4" w:cs="source serif 4"/>
          <w:b/>
          <w:color w:val="000000"/>
          <w:sz w:val="24"/>
        </w:rPr>
        <w:t>理由三：链下调用与链上结算的边界需要原生定义</w:t>
      </w:r>
      <w:bookmarkEnd w:id="18"/>
    </w:p>
    <w:p w14:paraId="00179B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调用必须是毫秒级的，不能等区块确认。这要求链原生理解"支付通道 + 链下接单 + 链上结算"这一模式：挂单簿可被高频查询、通道可被快速开设、只有完成的调用才上链。被拒绝的请求不消耗链上资源。这是一套完整的协议设计，不是几个合约能拼出来的。</w:t>
      </w:r>
    </w:p>
    <w:p w14:paraId="020F8B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19" w:name="我们刻意不做的事"/>
      <w:r>
        <w:rPr>
          <w:rFonts w:ascii="source serif 4" w:hAnsi="source serif 4" w:eastAsia="source serif 4" w:cs="source serif 4"/>
          <w:b/>
          <w:color w:val="000000"/>
          <w:sz w:val="24"/>
        </w:rPr>
        <w:t>我们刻意不做的事</w:t>
      </w:r>
      <w:bookmarkEnd w:id="19"/>
    </w:p>
    <w:p w14:paraId="2F34285B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不做协议级智能路由</w:t>
      </w:r>
      <w:r>
        <w:rPr>
          <w:rFonts w:ascii="source serif 4" w:hAnsi="source serif 4" w:eastAsia="source serif 4" w:cs="source serif 4"/>
          <w:color w:val="000000"/>
          <w:sz w:val="21"/>
        </w:rPr>
        <w:t>：一次请求只发给一个服务商，一次会话只锁定一个服务商。用单点故障风险换取协议逻辑的可验证性；冗余与重试交给协议之上的路由服务。</w:t>
      </w:r>
    </w:p>
    <w:p w14:paraId="0F9BE1AA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不在链内核做多方分账</w:t>
      </w:r>
      <w:r>
        <w:rPr>
          <w:rFonts w:ascii="source serif 4" w:hAnsi="source serif 4" w:eastAsia="source serif 4" w:cs="source serif 4"/>
          <w:color w:val="000000"/>
          <w:sz w:val="21"/>
        </w:rPr>
        <w:t>：Agent 商业模式变化太快，分账规则留在合约层，由社区演进。</w:t>
      </w:r>
    </w:p>
    <w:p w14:paraId="396FEFD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不强制 GPU TEE</w:t>
      </w:r>
      <w:r>
        <w:rPr>
          <w:rFonts w:ascii="source serif 4" w:hAnsi="source serif 4" w:eastAsia="source serif 4" w:cs="source serif 4"/>
          <w:color w:val="000000"/>
          <w:sz w:val="21"/>
        </w:rPr>
        <w:t>：硬件门槛会压缩供给；机密性与完整性是两种不同的保证，分开提供。</w:t>
      </w:r>
    </w:p>
    <w:p w14:paraId="10939E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56C59AE">
      <w:pPr>
        <w:pStyle w:val="4"/>
        <w:bidi w:val="0"/>
      </w:pPr>
      <w:bookmarkStart w:id="20" w:name="第_5_页_信任机制_如何让造假不划算"/>
      <w:r>
        <w:t>信任机制：如何让造假不划算</w:t>
      </w:r>
      <w:bookmarkEnd w:id="20"/>
    </w:p>
    <w:p w14:paraId="047B3D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21" w:name="四层保障"/>
      <w:r>
        <w:rPr>
          <w:rFonts w:ascii="source serif 4" w:hAnsi="source serif 4" w:eastAsia="source serif 4" w:cs="source serif 4"/>
          <w:b/>
          <w:color w:val="000000"/>
          <w:sz w:val="24"/>
        </w:rPr>
        <w:t>四层保障</w:t>
      </w:r>
      <w:bookmarkEnd w:id="21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35"/>
        <w:gridCol w:w="4060"/>
        <w:gridCol w:w="3045"/>
      </w:tblGrid>
      <w:tr w14:paraId="234C506B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2914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层级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BF0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机制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E3D9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保证什么</w:t>
            </w:r>
          </w:p>
        </w:tc>
      </w:tr>
      <w:tr w14:paraId="62C0167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E01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准入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5B3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服务商注册时验证质押与远程证明（attestation）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C8B5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只有有身份、有抵押的服务商能挂单</w:t>
            </w:r>
          </w:p>
        </w:tc>
      </w:tr>
      <w:tr w14:paraId="3D5E841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5237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完整性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0B6A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Tier 0/1/2 分级保真证明 + 强制确定性复算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A1C5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调用真的发生在声明的模型上</w:t>
            </w:r>
          </w:p>
        </w:tc>
      </w:tr>
      <w:tr w14:paraId="676A7691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BC7F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发现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98E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审计员隐蔽挑战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DD6B1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服务商无法分辨真实调用与审计探测</w:t>
            </w:r>
          </w:p>
        </w:tc>
      </w:tr>
      <w:tr w14:paraId="54F4CEA5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D47A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惩罚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8A2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客观违约即罚没，部分罚没所得作为审计员赏金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D4D9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造假的期望收益为负</w:t>
            </w:r>
          </w:p>
        </w:tc>
      </w:tr>
    </w:tbl>
    <w:p w14:paraId="59924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751BD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保真证明：Tier 0/1/2 分级验证</w:t>
      </w:r>
    </w:p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不同调用对信任的要求不同，强制所有调用使用最高等级只会压缩供给。LLMChain 把保真证明分为三级，provider 在挂单时声明自己支持的等级，调用方按需选择；等级写入 VSR 收据的 proofTier 字段，结算与罚没规则按等级执行。</w:t>
      </w:r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35"/>
        <w:gridCol w:w="4060"/>
        <w:gridCol w:w="3045"/>
      </w:tblGrid>
      <w:tr w14:paraId="234C506B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2914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等级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BF01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机制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E3D9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适用场景</w:t>
            </w:r>
          </w:p>
        </w:tc>
      </w:tr>
      <w:tr w14:paraId="62C0167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E01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Tier 0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5B3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双方签名收据 + 质押担保；依靠审计员隐蔽挑战事后发现违约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C8B5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低单价、高频调用；provider 起步接入</w:t>
            </w:r>
          </w:p>
        </w:tc>
      </w:tr>
      <w:tr w14:paraId="62C0167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E01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Tier 1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5B3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Tier 0 + 抽样指纹 + 强制确定性复算：审计员抽样重放，输出必须逐位一致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C8B5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开源权重自托管的默认等级</w:t>
            </w:r>
          </w:p>
        </w:tc>
      </w:tr>
      <w:tr w14:paraId="62C0167E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BE010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Tier 2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5B3F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Tier 1 + TEE 远程证明：执行或上游转发在 enclave 内完成，并叠加随机强制 ZK 抽查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C8B5B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闭源模型中转（必须）、高价值调用</w:t>
            </w:r>
          </w:p>
        </w:tc>
      </w:tr>
    </w:tbl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开源权重自托管是网络的核心供给：权重哈希公开，声明可被核对，从 Tier 0/1 起步即可接入。闭源模型中转是可插拔的许可制附加模块，必须达到 Tier 2：向上游的真实转发必须在 TEE 内完成，enclave 记录 TLS 会话证据；审计员随时可以发起隐蔽挑战，服务商拿不出转发证据即触发客观违约罚没。</w:t>
      </w:r>
    </w:p>
    <w:p w14:paraId="751BD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借鉴前沿研究的三项升级</w:t>
      </w:r>
    </w:p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我们早期的设计使用 top-k logprob 分布加统计容差来识别模型指纹偏差。这一做法落后于已发表的研究：容差阈值缺少可靠的定量校准方法，设松了放过作弊，设紧了误罚老实 provider。我们直接借鉴以下三项成果，不从头重新推导：</w:t>
      </w:r>
    </w:p>
    <w:p w14:paraId="5D1244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 xml:space="preserve">强制确定性执行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（借鉴 Gensyn RepOps 思路）：约束算子实现与执行顺序，使同一输入在同一模型上产生逐位一致的输出。判定从"偏差是否可接受"变成"结果是否一致"，客观、二值、可复现，符合"验证人只做客观裁决"的原则。统计指纹保留为发现可疑行为的辅助信号，不作为罚没依据。</w:t>
      </w:r>
    </w:p>
    <w:p w14:paraId="5D1244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 xml:space="preserve">二分争议博弈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（借鉴乐观 TEE-Rollup 研究）：作为申诉机制。挑战方与 provider 对执行轨迹逐轮二分，把争议收敛到单个计算步骤，链上只需验证这一步。这样既降低单次裁决的误判成本，也让复杂案件能被拆小到链上可负担的验证粒度。</w:t>
      </w:r>
    </w:p>
    <w:p w14:paraId="5D1244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 xml:space="preserve">随机强制 ZK 抽查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：作为 TEE 被攻破后的第二道防线，详见下文。</w:t>
      </w:r>
    </w:p>
    <w:p w14:paraId="751BD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ZK 在 LLMChain 中的角色</w:t>
      </w:r>
    </w:p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对大模型的每一次推理都生成零知识证明（zkML），目前在成本和延迟上都不可行。因此 LLMChain 不把 ZK 作为默认路径，而是放在三个"少量但关键"的位置：</w:t>
      </w:r>
    </w:p>
    <w:p w14:paraId="5D1244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 xml:space="preserve">随机强制抽查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：协议按随机数选中少量 Tier 2 调用，要求 provider 在规定时限内补交 ZK 证明。provider 无法预判哪一次会被抽中，因此"攻破一个 enclave 就能长期稳定作弊"的假设不再成立。ZK 的价值不在覆盖率，而在于让作弊的期望收益为负。</w:t>
      </w:r>
    </w:p>
    <w:p w14:paraId="5D1244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 xml:space="preserve">争议的最终一步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：二分争议博弈收敛到单个计算步骤后，该步骤可以用 ZK 证明在链上验证，取代重新执行。</w:t>
      </w:r>
    </w:p>
    <w:p w14:paraId="5D12440E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 xml:space="preserve">可选的最高保证等级</w:t>
      </w:r>
      <w:r>
        <w:rPr>
          <w:rFonts w:ascii="source serif 4" w:hAnsi="source serif 4" w:eastAsia="source serif 4" w:cs="source serif 4"/>
          <w:color w:val="000000"/>
          <w:sz w:val="21"/>
        </w:rPr>
        <w:t xml:space="preserve">：对小模型或高价值调用，调用方可以要求每次附带 ZK 证明，由 proof 模块的验证预编译在链上校验，费用由调用方承担。</w:t>
      </w:r>
    </w:p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ZK 证明系统与电路选型【待定】，将随 zkML 证明成本的下降逐步扩大适用范围；协议只固定"证明的验证接口"，不绑定某一种证明系统。</w:t>
      </w:r>
    </w:p>
    <w:p w14:paraId="751BD1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4"/>
        </w:rPr>
        <w:t xml:space="preserve">多厂商 TEE 信任根</w:t>
      </w:r>
    </w:p>
    <w:p w14:paraId="4AC5C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Tier 2 目前依赖单一厂商的 TEE。路线图上，我们将在 SGX 之外至少支持一种机密计算信任根（AMD SEV-SNP 或机密 GPU attestation）。真正的难点在于跨厂商失效时的一致裁决：某一厂商爆出漏洞、大规模撤销证书时，链如何在不停机、不误罚老实 provider 的前提下降级运行。这一层我们尚无完整答案，不会先于实现宣称已解决；它排在递归结算旗舰演示之后，不阻塞主线。</w:t>
      </w:r>
    </w:p>
    <w:p w14:paraId="05417C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23" w:name="审计员与验证人分离"/>
      <w:r>
        <w:rPr>
          <w:rFonts w:ascii="source serif 4" w:hAnsi="source serif 4" w:eastAsia="source serif 4" w:cs="source serif 4"/>
          <w:b/>
          <w:color w:val="000000"/>
          <w:sz w:val="24"/>
        </w:rPr>
        <w:t>审计员与验证人分离</w:t>
      </w:r>
      <w:bookmarkEnd w:id="23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35"/>
        <w:gridCol w:w="3720"/>
        <w:gridCol w:w="1005"/>
      </w:tblGrid>
      <w:tr w14:paraId="63EB4402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1D00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角色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6B0C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职责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37FD9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质押对应</w:t>
            </w:r>
          </w:p>
        </w:tc>
      </w:tr>
      <w:tr w14:paraId="526735BC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385F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审计员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AAF3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发起隐蔽挑战（找问题），不裁决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1360C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挑战资格</w:t>
            </w:r>
          </w:p>
        </w:tc>
      </w:tr>
      <w:tr w14:paraId="497A0686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EE48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验证人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C3DD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作为共识的一部分客观裁决、执行罚没与结算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0E977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出块权重</w:t>
            </w:r>
          </w:p>
        </w:tc>
      </w:tr>
    </w:tbl>
    <w:p w14:paraId="6AB874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3CFE72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分离的原因很简单：如果审计员能自己裁定输赢，就有动机诬告或纵容。裁决权收归客观的链上逻辑，审计员只负责找问题、领赏金。</w:t>
      </w:r>
    </w:p>
    <w:p w14:paraId="5ABBAE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24" w:name="机密性是可选的独立服务"/>
      <w:r>
        <w:rPr>
          <w:rFonts w:ascii="source serif 4" w:hAnsi="source serif 4" w:eastAsia="source serif 4" w:cs="source serif 4"/>
          <w:b/>
          <w:color w:val="000000"/>
          <w:sz w:val="24"/>
        </w:rPr>
        <w:t>机密性是可选的独立服务</w:t>
      </w:r>
      <w:bookmarkEnd w:id="24"/>
    </w:p>
    <w:p w14:paraId="47D628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保真证明保证的是</w:t>
      </w:r>
      <w:r>
        <w:rPr>
          <w:rFonts w:ascii="source serif 4" w:hAnsi="source serif 4" w:eastAsia="source serif 4" w:cs="source serif 4"/>
          <w:b/>
          <w:color w:val="000000"/>
        </w:rPr>
        <w:t>执行完整性</w:t>
      </w:r>
      <w:r>
        <w:rPr>
          <w:rFonts w:ascii="source serif 4" w:hAnsi="source serif 4" w:eastAsia="source serif 4" w:cs="source serif 4"/>
          <w:color w:val="000000"/>
        </w:rPr>
        <w:t>，不是 prompt 的机密性。需要机密性的调用可以选择机密级服务商，这类服务商必须提供 CPU/GPU 联合远程证明，机密请求只路由到具备该能力的节点。普通级调用的完整性由保真证明、隐蔽挑战、质押罚没和客户端脱敏共同保障。</w:t>
      </w:r>
    </w:p>
    <w:p w14:paraId="616167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25" w:name="主要攻击与防护"/>
      <w:r>
        <w:rPr>
          <w:rFonts w:ascii="source serif 4" w:hAnsi="source serif 4" w:eastAsia="source serif 4" w:cs="source serif 4"/>
          <w:b/>
          <w:color w:val="000000"/>
          <w:sz w:val="24"/>
        </w:rPr>
        <w:t>主要攻击与防护</w:t>
      </w:r>
      <w:bookmarkEnd w:id="25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705"/>
        <w:gridCol w:w="3725"/>
      </w:tblGrid>
      <w:tr w14:paraId="1A7C3C07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534B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攻击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57F2B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防护</w:t>
            </w:r>
          </w:p>
        </w:tc>
      </w:tr>
      <w:tr w14:paraId="2B81DA09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2B85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服务商以小模型冒充大模型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1DB0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确定性复算 + 二分争议 + 罚没</w:t>
            </w:r>
          </w:p>
        </w:tc>
      </w:tr>
      <w:tr w14:paraId="0731D1F8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888E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中转商伪造上游调用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3228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TEE 内 TLS 会话证据 + 随机强制 ZK 抽查，拿不出即罚没</w:t>
            </w:r>
          </w:p>
        </w:tc>
      </w:tr>
      <w:tr w14:paraId="49D15CE0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5D46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服务商识别并特殊对待审计请求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101B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隐蔽挑战与真实调用不可区分</w:t>
            </w:r>
          </w:p>
        </w:tc>
      </w:tr>
      <w:tr w14:paraId="01078BF2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ACE2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审计员诬告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616C7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审计员无裁决权，挑战失败扣除挑战押金</w:t>
            </w:r>
          </w:p>
        </w:tc>
      </w:tr>
      <w:tr w14:paraId="311F7F0D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E668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验证人串通操纵服务商收益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CDF70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服务收益只由用户付费决定，验证人无评分权</w:t>
            </w:r>
          </w:p>
        </w:tc>
      </w:tr>
      <w:tr w14:paraId="65ACA82F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DEAE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调用方完成调用后拒付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56F5A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支付通道预锁资金，VSR 签发即结算</w:t>
            </w:r>
          </w:p>
        </w:tc>
      </w:tr>
    </w:tbl>
    <w:p w14:paraId="1B2AAD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3734B0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56C113FD">
      <w:pPr>
        <w:pStyle w:val="3"/>
        <w:bidi w:val="0"/>
      </w:pPr>
      <w:bookmarkStart w:id="26" w:name="第三部分_构建_第_7_10_页"/>
      <w:r>
        <w:t>第三部分 · 构建</w:t>
      </w:r>
      <w:bookmarkEnd w:id="26"/>
    </w:p>
    <w:p w14:paraId="65D7A8D2">
      <w:pPr>
        <w:pStyle w:val="4"/>
        <w:bidi w:val="0"/>
      </w:pPr>
      <w:bookmarkStart w:id="27" w:name="第_7_页_架构"/>
      <w:r>
        <w:t>架构</w:t>
      </w:r>
      <w:bookmarkEnd w:id="27"/>
      <w:bookmarkStart w:id="36" w:name="_GoBack"/>
      <w:bookmarkEnd w:id="36"/>
    </w:p>
    <w:p w14:paraId="7E2C9108">
      <w:r>
        <w:drawing>
          <wp:inline distT="0" distB="0" distL="114300" distR="114300">
            <wp:extent cx="6179820" cy="4952365"/>
            <wp:effectExtent l="0" t="0" r="17780" b="635"/>
            <wp:docPr id="2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9523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0BC4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28" w:name="五个原生模块"/>
      <w:r>
        <w:rPr>
          <w:rFonts w:ascii="source serif 4" w:hAnsi="source serif 4" w:eastAsia="source serif 4" w:cs="source serif 4"/>
          <w:b/>
          <w:color w:val="000000"/>
          <w:sz w:val="24"/>
        </w:rPr>
        <w:t>五个原生模块</w:t>
      </w:r>
      <w:bookmarkEnd w:id="28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46"/>
        <w:gridCol w:w="5687"/>
      </w:tblGrid>
      <w:tr w14:paraId="6ED4ED96">
        <w:trPr>
          <w:cantSplit/>
          <w:tblCellSpacing w:w="0" w:type="dxa"/>
          <w:jc w:val="center"/>
        </w:trPr>
        <w:tc>
          <w:tcPr>
            <w:tcW w:w="10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4A3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模块</w:t>
            </w:r>
          </w:p>
        </w:tc>
        <w:tc>
          <w:tcPr>
            <w:tcW w:w="5687" w:type="dxa"/>
            <w:tcBorders>
              <w:top w:val="single" w:color="000000" w:sz="0" w:space="0"/>
              <w:bottom w:val="single" w:color="000000" w:sz="0" w:space="0"/>
            </w:tcBorders>
          </w:tcPr>
          <w:p w14:paraId="453A37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职责</w:t>
            </w:r>
          </w:p>
        </w:tc>
      </w:tr>
      <w:tr w14:paraId="0DEE8411">
        <w:trPr>
          <w:cantSplit/>
          <w:tblCellSpacing w:w="0" w:type="dxa"/>
          <w:jc w:val="center"/>
        </w:trPr>
        <w:tc>
          <w:tcPr>
            <w:tcW w:w="10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C54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provider</w:t>
            </w:r>
          </w:p>
        </w:tc>
        <w:tc>
          <w:tcPr>
            <w:tcW w:w="5687" w:type="dxa"/>
            <w:tcBorders>
              <w:top w:val="single" w:color="000000" w:sz="0" w:space="0"/>
              <w:bottom w:val="single" w:color="000000" w:sz="0" w:space="0"/>
            </w:tcBorders>
          </w:tcPr>
          <w:p w14:paraId="12DED6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服务商注册、质押、远程证明校验、退出与罚没</w:t>
            </w:r>
          </w:p>
        </w:tc>
      </w:tr>
      <w:tr w14:paraId="2778D94C">
        <w:trPr>
          <w:cantSplit/>
          <w:tblCellSpacing w:w="0" w:type="dxa"/>
          <w:jc w:val="center"/>
        </w:trPr>
        <w:tc>
          <w:tcPr>
            <w:tcW w:w="10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214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market</w:t>
            </w:r>
          </w:p>
        </w:tc>
        <w:tc>
          <w:tcPr>
            <w:tcW w:w="5687" w:type="dxa"/>
            <w:tcBorders>
              <w:top w:val="single" w:color="000000" w:sz="0" w:space="0"/>
              <w:bottom w:val="single" w:color="000000" w:sz="0" w:space="0"/>
            </w:tcBorders>
          </w:tcPr>
          <w:p w14:paraId="18E5D7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链上可查询挂单簿：模型、单价、证明等级、可用容量、可选机密级声明</w:t>
            </w:r>
          </w:p>
        </w:tc>
      </w:tr>
      <w:tr w14:paraId="4A604C55">
        <w:trPr>
          <w:cantSplit/>
          <w:tblCellSpacing w:w="0" w:type="dxa"/>
          <w:jc w:val="center"/>
        </w:trPr>
        <w:tc>
          <w:tcPr>
            <w:tcW w:w="10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9BE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channel</w:t>
            </w:r>
          </w:p>
        </w:tc>
        <w:tc>
          <w:tcPr>
            <w:tcW w:w="5687" w:type="dxa"/>
            <w:tcBorders>
              <w:top w:val="single" w:color="000000" w:sz="0" w:space="0"/>
              <w:bottom w:val="single" w:color="000000" w:sz="0" w:space="0"/>
            </w:tcBorders>
          </w:tcPr>
          <w:p w14:paraId="5024AC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调用方与服务商之间的支付通道：开设、预锁、关闭</w:t>
            </w:r>
          </w:p>
        </w:tc>
      </w:tr>
      <w:tr w14:paraId="3F8A41C2">
        <w:trPr>
          <w:cantSplit/>
          <w:tblCellSpacing w:w="0" w:type="dxa"/>
          <w:jc w:val="center"/>
        </w:trPr>
        <w:tc>
          <w:tcPr>
            <w:tcW w:w="10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095F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receipt</w:t>
            </w:r>
          </w:p>
        </w:tc>
        <w:tc>
          <w:tcPr>
            <w:tcW w:w="5687" w:type="dxa"/>
            <w:tcBorders>
              <w:top w:val="single" w:color="000000" w:sz="0" w:space="0"/>
              <w:bottom w:val="single" w:color="000000" w:sz="0" w:space="0"/>
            </w:tcBorders>
          </w:tcPr>
          <w:p w14:paraId="2C8E47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VSR 收据的签发验证、聚合与结算</w:t>
            </w:r>
          </w:p>
        </w:tc>
      </w:tr>
      <w:tr w14:paraId="4B2A9848">
        <w:trPr>
          <w:cantSplit/>
          <w:tblCellSpacing w:w="0" w:type="dxa"/>
          <w:jc w:val="center"/>
        </w:trPr>
        <w:tc>
          <w:tcPr>
            <w:tcW w:w="1046" w:type="dxa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C25A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proof</w:t>
            </w:r>
          </w:p>
        </w:tc>
        <w:tc>
          <w:tcPr>
            <w:tcW w:w="5687" w:type="dxa"/>
            <w:tcBorders>
              <w:top w:val="single" w:color="000000" w:sz="0" w:space="0"/>
              <w:bottom w:val="single" w:color="000000" w:sz="0" w:space="0"/>
            </w:tcBorders>
          </w:tcPr>
          <w:p w14:paraId="32317A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保真证明、隐蔽挑战、指纹判定与罚没执行</w:t>
            </w:r>
          </w:p>
        </w:tc>
      </w:tr>
    </w:tbl>
    <w:p w14:paraId="48A64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593A17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29" w:name="关于_market_挂单簿"/>
      <w:r>
        <w:rPr>
          <w:rFonts w:ascii="source serif 4" w:hAnsi="source serif 4" w:eastAsia="source serif 4" w:cs="source serif 4"/>
          <w:b/>
          <w:color w:val="000000"/>
          <w:sz w:val="24"/>
        </w:rPr>
        <w:t>关于 market 挂单簿</w:t>
      </w:r>
      <w:bookmarkEnd w:id="29"/>
    </w:p>
    <w:p w14:paraId="410FA7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market 不是 mempool 那种打包后即消失的交易缓冲区，而是一个持久的服务目录：服务商声明的挂单会一直有效，直到自己更新或撤下。</w:t>
      </w:r>
    </w:p>
    <w:p w14:paraId="13F6C9A6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挂单由服务商自己声明</w:t>
      </w:r>
      <w:r>
        <w:rPr>
          <w:rFonts w:ascii="source serif 4" w:hAnsi="source serif 4" w:eastAsia="source serif 4" w:cs="source serif 4"/>
          <w:color w:val="000000"/>
          <w:sz w:val="21"/>
        </w:rPr>
        <w:t>，验证人只在注册阶段把关一次（远程证明与质押）；</w:t>
      </w:r>
    </w:p>
    <w:p w14:paraId="667D201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  <w:sz w:val="21"/>
        </w:rPr>
        <w:t>报价与容量的真实性交给市场纠偏：用户用脚投票、复购率、历史信誉；</w:t>
      </w:r>
    </w:p>
    <w:p w14:paraId="244CA553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  <w:sz w:val="21"/>
        </w:rPr>
        <w:t>容量字段是"上次同步的参考值"，允许滞后；真正的接单裁决由服务商在请求到达时链下做出。</w:t>
      </w:r>
    </w:p>
    <w:p w14:paraId="44A886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pict>
          <v:rect id="_x0000_s1033" o:spid="_x0000_s1033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9BED5C3">
      <w:pPr>
        <w:pStyle w:val="4"/>
        <w:bidi w:val="0"/>
      </w:pPr>
      <w:bookmarkStart w:id="30" w:name="第_8_页_一次调用的完整生命周期"/>
      <w:r>
        <w:t>一次调用的完整生命周期</w:t>
      </w:r>
      <w:bookmarkEnd w:id="30"/>
    </w:p>
    <w:p w14:paraId="6646C28C">
      <w:r>
        <w:drawing>
          <wp:inline distT="0" distB="0" distL="114300" distR="114300">
            <wp:extent cx="5661025" cy="5827395"/>
            <wp:effectExtent l="0" t="0" r="3175" b="14605"/>
            <wp:docPr id="5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1025" cy="5827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47C1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31" w:name="关键设计"/>
      <w:r>
        <w:rPr>
          <w:rFonts w:ascii="source serif 4" w:hAnsi="source serif 4" w:eastAsia="source serif 4" w:cs="source serif 4"/>
          <w:b/>
          <w:color w:val="000000"/>
          <w:sz w:val="24"/>
        </w:rPr>
        <w:t>关键设计</w:t>
      </w:r>
      <w:bookmarkEnd w:id="31"/>
    </w:p>
    <w:p w14:paraId="10C28FCB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毫秒级，不等区块</w:t>
      </w:r>
      <w:r>
        <w:rPr>
          <w:rFonts w:ascii="source serif 4" w:hAnsi="source serif 4" w:eastAsia="source serif 4" w:cs="source serif 4"/>
          <w:color w:val="000000"/>
          <w:sz w:val="21"/>
        </w:rPr>
        <w:t>：第 1–4 步全部在链下完成。调用延迟只取决于推理本身。</w:t>
      </w:r>
    </w:p>
    <w:p w14:paraId="3DDC40A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只有完成的调用才上链</w:t>
      </w:r>
      <w:r>
        <w:rPr>
          <w:rFonts w:ascii="source serif 4" w:hAnsi="source serif 4" w:eastAsia="source serif 4" w:cs="source serif 4"/>
          <w:color w:val="000000"/>
          <w:sz w:val="21"/>
        </w:rPr>
        <w:t>：服务商拒绝的请求不产生收据，不消耗链上资源，不产生费用。</w:t>
      </w:r>
    </w:p>
    <w:p w14:paraId="417C6D6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失败处理</w:t>
      </w:r>
      <w:r>
        <w:rPr>
          <w:rFonts w:ascii="source serif 4" w:hAnsi="source serif 4" w:eastAsia="source serif 4" w:cs="source serif 4"/>
          <w:color w:val="000000"/>
          <w:sz w:val="21"/>
        </w:rPr>
        <w:t>：服务商拒单或超时，调用方直接换下一个候选；该逻辑可由路由服务自动完成。</w:t>
      </w:r>
    </w:p>
    <w:p w14:paraId="515BF190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收据可聚合</w:t>
      </w:r>
      <w:r>
        <w:rPr>
          <w:rFonts w:ascii="source serif 4" w:hAnsi="source serif 4" w:eastAsia="source serif 4" w:cs="source serif 4"/>
          <w:color w:val="000000"/>
          <w:sz w:val="21"/>
        </w:rPr>
        <w:t>：高频调用的收据可在通道关闭时批量聚合提交，由预编译验证。</w:t>
      </w:r>
    </w:p>
    <w:p w14:paraId="1A61F1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32" w:name="vsr_收据核心字段"/>
      <w:r>
        <w:rPr>
          <w:rFonts w:ascii="source serif 4" w:hAnsi="source serif 4" w:eastAsia="source serif 4" w:cs="source serif 4"/>
          <w:b/>
          <w:color w:val="000000"/>
          <w:sz w:val="24"/>
        </w:rPr>
        <w:t>VSR 收据核心字段</w:t>
      </w:r>
      <w:bookmarkEnd w:id="32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437"/>
        <w:gridCol w:w="3385"/>
      </w:tblGrid>
      <w:tr w14:paraId="758E87FF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1025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字段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C816A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含义</w:t>
            </w:r>
          </w:p>
        </w:tc>
      </w:tr>
      <w:tr w14:paraId="0A687E34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C66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callId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F444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本次调用唯一标识</w:t>
            </w:r>
          </w:p>
        </w:tc>
      </w:tr>
      <w:tr w14:paraId="548B11AB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C2C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parentCallId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28997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父调用标识（递归调用时）</w:t>
            </w:r>
          </w:p>
        </w:tc>
      </w:tr>
      <w:tr w14:paraId="6F77D1A1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36F9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rootCallId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DD65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调用链根标识</w:t>
            </w:r>
          </w:p>
        </w:tc>
      </w:tr>
      <w:tr w14:paraId="6B41DBA0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D74B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caller / provider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4D31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调用方与服务商地址</w:t>
            </w:r>
          </w:p>
        </w:tc>
      </w:tr>
      <w:tr w14:paraId="7E154972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394A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modelHash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A4274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声明的模型权重哈希</w:t>
            </w:r>
          </w:p>
        </w:tc>
      </w:tr>
      <w:tr w14:paraId="7247A5C4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16D1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proofTier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FAD6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证明等级（Tier 0/1/2）</w:t>
            </w:r>
          </w:p>
        </w:tc>
      </w:tr>
      <w:tr w14:paraId="462B53E5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19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inputDigest / outputDigest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A123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输入输出摘要（不含明文）</w:t>
            </w:r>
          </w:p>
        </w:tc>
      </w:tr>
      <w:tr w14:paraId="5EDE4FA6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101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amount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5D628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结算金额</w:t>
            </w:r>
          </w:p>
        </w:tc>
      </w:tr>
      <w:tr w14:paraId="28C14931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FD9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authToken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088A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父调用方签署的授权令牌（递归调用时）</w:t>
            </w:r>
          </w:p>
        </w:tc>
      </w:tr>
      <w:tr w14:paraId="5D706F0F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0C41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signatures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E4B5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双方签名</w:t>
            </w:r>
          </w:p>
        </w:tc>
      </w:tr>
    </w:tbl>
    <w:p w14:paraId="09CC2B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17C893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</w:rPr>
        <w:t>为什么用调用标识而非父收据关联？</w:t>
      </w:r>
      <w:r>
        <w:rPr>
          <w:rFonts w:ascii="source serif 4" w:hAnsi="source serif 4" w:eastAsia="source serif 4" w:cs="source serif 4"/>
          <w:color w:val="000000"/>
        </w:rPr>
        <w:t xml:space="preserve"> 子调用发生时，父调用尚未完成、父收据尚未签发。用 </w:t>
      </w:r>
      <w:r>
        <w:rPr>
          <w:rStyle w:val="7"/>
          <w:rFonts w:ascii="menlo" w:hAnsi="menlo" w:eastAsia="menlo" w:cs="menlo"/>
          <w:color w:val="000000"/>
          <w:sz w:val="18"/>
          <w:shd w:val="clear" w:color="auto" w:fill="F8F8FA"/>
        </w:rPr>
        <w:t>callId / parentCallId / rootCallId</w:t>
      </w:r>
      <w:r>
        <w:rPr>
          <w:rFonts w:ascii="source serif 4" w:hAnsi="source serif 4" w:eastAsia="source serif 4" w:cs="source serif 4"/>
          <w:color w:val="000000"/>
        </w:rPr>
        <w:t xml:space="preserve"> 加授权令牌，receipt 模块即可在子调用结算时验证授权关系，多方分账规则再交给合约层处理。</w:t>
      </w:r>
    </w:p>
    <w:p w14:paraId="637197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pict>
          <v:rect id="_x0000_s1034" o:spid="_x0000_s1034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13B034A">
      <w:pPr>
        <w:pStyle w:val="4"/>
        <w:bidi w:val="0"/>
      </w:pPr>
      <w:bookmarkStart w:id="33" w:name="第_9_页_生态角色与收益"/>
      <w:r>
        <w:t>生态角色与收益</w:t>
      </w:r>
      <w:bookmarkEnd w:id="33"/>
    </w:p>
    <w:tbl>
      <w:tblPr>
        <w:tblStyle w:val="8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55"/>
        <w:gridCol w:w="1332"/>
        <w:gridCol w:w="1688"/>
        <w:gridCol w:w="2472"/>
        <w:gridCol w:w="2593"/>
      </w:tblGrid>
      <w:tr w14:paraId="79E1A8DC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407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角色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9D14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准入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7905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质押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EB0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收入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39E6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罚没条件</w:t>
            </w:r>
          </w:p>
        </w:tc>
      </w:tr>
      <w:tr w14:paraId="72CC8547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0690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服务商（Provider）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558C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注册 + 远程证明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3FED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必需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1C93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调用费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BC0DF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客观违约：转发证据缺失、签名不符等</w:t>
            </w:r>
          </w:p>
        </w:tc>
      </w:tr>
      <w:tr w14:paraId="219560A0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30CD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审计员（Auditor）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6C4D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质押即可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B12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必需（挑战资格）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2B4D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罚没赏金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8669E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挑战失败扣除挑战押金</w:t>
            </w:r>
          </w:p>
        </w:tc>
      </w:tr>
      <w:tr w14:paraId="3F88E82B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9CDA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验证人（Validator）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F358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PoS 质押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1569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必需（出块权重）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730F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出块奖励 + 协议费分成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F3ACF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双签、离线等共识违约</w:t>
            </w:r>
          </w:p>
        </w:tc>
      </w:tr>
      <w:tr w14:paraId="1C0F35C6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26D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路由服务（Router）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9C1F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无需许可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7A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EE4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订阅费、API 接入费、服务商引流费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1E60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—</w:t>
            </w:r>
          </w:p>
        </w:tc>
      </w:tr>
      <w:tr w14:paraId="50979C70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AE6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应用开发者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442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无需许可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5AE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F6B5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自定义：分账合约、Agent 服务费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E30B9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—</w:t>
            </w:r>
          </w:p>
        </w:tc>
      </w:tr>
      <w:tr w14:paraId="12C9FD77"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DBC9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委托人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600F0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持币即可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36E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委托给验证人或服务商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907F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按比例分享收益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00B1E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40" w:lineRule="auto"/>
              <w:textAlignment w:val="auto"/>
            </w:pPr>
            <w:r>
              <w:rPr>
                <w:rFonts w:ascii="source sans 3" w:hAnsi="source sans 3" w:eastAsia="source sans 3" w:cs="source sans 3"/>
                <w:color w:val="000000"/>
                <w:sz w:val="17"/>
              </w:rPr>
              <w:t>随被委托方罚没</w:t>
            </w:r>
          </w:p>
        </w:tc>
      </w:tr>
    </w:tbl>
    <w:p w14:paraId="7CC58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</w:p>
    <w:p w14:paraId="43A4FFC2">
      <w:pPr>
        <w:pStyle w:val="4"/>
        <w:bidi w:val="0"/>
      </w:pPr>
      <w:bookmarkStart w:id="34" w:name="路由服务_协议之上的开放商业层"/>
      <w:r>
        <w:t>路由服务：协议之上的开放商业层</w:t>
      </w:r>
      <w:bookmarkEnd w:id="34"/>
    </w:p>
    <w:p w14:paraId="7BE502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路由服务对 Agent 提供一个简单接口（可做成 OpenAI 兼容格式），背后完成"查挂单 → 选服务商 → 发请求 → 失败重试"的循环。</w:t>
      </w:r>
    </w:p>
    <w:p w14:paraId="2489972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非托管</w:t>
      </w:r>
      <w:r>
        <w:rPr>
          <w:rFonts w:ascii="source serif 4" w:hAnsi="source serif 4" w:eastAsia="source serif 4" w:cs="source serif 4"/>
          <w:color w:val="000000"/>
          <w:sz w:val="21"/>
        </w:rPr>
        <w:t>：路由服务只编排信息，不经手资金，通道仍由调用方直连服务商；</w:t>
      </w:r>
    </w:p>
    <w:p w14:paraId="57850CA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可竞争</w:t>
      </w:r>
      <w:r>
        <w:rPr>
          <w:rFonts w:ascii="source serif 4" w:hAnsi="source serif 4" w:eastAsia="source serif 4" w:cs="source serif 4"/>
          <w:color w:val="000000"/>
          <w:sz w:val="21"/>
        </w:rPr>
        <w:t>：任何人都可以运营路由服务，优势来自更新鲜的健康度数据与更好的选择策略；</w:t>
      </w:r>
    </w:p>
    <w:p w14:paraId="40D5CCC3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b/>
          <w:color w:val="000000"/>
          <w:sz w:val="21"/>
        </w:rPr>
        <w:t>商业收入与 VSR 隔离</w:t>
      </w:r>
      <w:r>
        <w:rPr>
          <w:rFonts w:ascii="source serif 4" w:hAnsi="source serif 4" w:eastAsia="source serif 4" w:cs="source serif 4"/>
          <w:color w:val="000000"/>
          <w:sz w:val="21"/>
        </w:rPr>
        <w:t>：路由服务的收入是链下商业协议，不进入收据结算。</w:t>
      </w:r>
    </w:p>
    <w:p w14:paraId="44C05C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愿意自己动手的高级 Agent 可以绕过路由服务，直接与协议交互。</w:t>
      </w:r>
    </w:p>
    <w:p w14:paraId="5D169C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ind w:left="-30"/>
        <w:jc w:val="left"/>
        <w:textAlignment w:val="auto"/>
      </w:pPr>
      <w:bookmarkStart w:id="35" w:name="多方分账_以_agentstore_为例"/>
      <w:r>
        <w:rPr>
          <w:rFonts w:ascii="source serif 4" w:hAnsi="source serif 4" w:eastAsia="source serif 4" w:cs="source serif 4"/>
          <w:b/>
          <w:color w:val="000000"/>
          <w:sz w:val="24"/>
        </w:rPr>
        <w:t>多方分账：以 AgentStore 为例</w:t>
      </w:r>
      <w:bookmarkEnd w:id="35"/>
    </w:p>
    <w:p w14:paraId="15FEC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 xml:space="preserve">Agent A 接到用户任务，调用 Agent B，B 再调用模型服务商 C。三次调用各自生成 VSR 收据，通过 </w:t>
      </w:r>
      <w:r>
        <w:rPr>
          <w:rStyle w:val="7"/>
          <w:rFonts w:ascii="menlo" w:hAnsi="menlo" w:eastAsia="menlo" w:cs="menlo"/>
          <w:color w:val="000000"/>
          <w:sz w:val="18"/>
          <w:shd w:val="clear" w:color="auto" w:fill="F8F8FA"/>
        </w:rPr>
        <w:t>rootCallId</w:t>
      </w:r>
      <w:r>
        <w:rPr>
          <w:rFonts w:ascii="source serif 4" w:hAnsi="source serif 4" w:eastAsia="source serif 4" w:cs="source serif 4"/>
          <w:color w:val="000000"/>
        </w:rPr>
        <w:t xml:space="preserve"> 串成一条调用链。部署在合约层的分账合约读取这条链，按 A、B 预先设定的规则自动分配收入。</w:t>
      </w:r>
    </w:p>
    <w:p w14:paraId="341006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40" w:lineRule="auto"/>
        <w:textAlignment w:val="auto"/>
      </w:pPr>
      <w:r>
        <w:rPr>
          <w:rFonts w:ascii="source serif 4" w:hAnsi="source serif 4" w:eastAsia="source serif 4" w:cs="source serif 4"/>
          <w:color w:val="000000"/>
        </w:rPr>
        <w:t>分账规则是合约，不是链内核：Agent 商业模式变化快，社区可以随时发布新的分账标准，而不需要修改协议。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erif 4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urce sans 3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E8AFD"/>
    <w:multiLevelType w:val="singleLevel"/>
    <w:tmpl w:val="BF7E8AF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">
    <w:nsid w:val="BFFEF8E2"/>
    <w:multiLevelType w:val="singleLevel"/>
    <w:tmpl w:val="BFFEF8E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">
    <w:nsid w:val="D6F2A292"/>
    <w:multiLevelType w:val="singleLevel"/>
    <w:tmpl w:val="D6F2A29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F7EE2AE5"/>
    <w:multiLevelType w:val="singleLevel"/>
    <w:tmpl w:val="F7EE2AE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F93BD572"/>
    <w:multiLevelType w:val="singleLevel"/>
    <w:tmpl w:val="F93BD57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5">
    <w:nsid w:val="FDBEEBE2"/>
    <w:multiLevelType w:val="singleLevel"/>
    <w:tmpl w:val="FDBEEBE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7F7359FA"/>
    <w:multiLevelType w:val="singleLevel"/>
    <w:tmpl w:val="7F7359F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77739C2"/>
    <w:rsid w:val="2F7F6E67"/>
    <w:rsid w:val="417B9323"/>
    <w:rsid w:val="4F1F9C11"/>
    <w:rsid w:val="5F1515FC"/>
    <w:rsid w:val="69BC20EF"/>
    <w:rsid w:val="77FDFE7A"/>
    <w:rsid w:val="7D3FCF55"/>
    <w:rsid w:val="7DFF2ED4"/>
    <w:rsid w:val="7F7AFA57"/>
    <w:rsid w:val="7FD8BF0B"/>
    <w:rsid w:val="7FE3DC8F"/>
    <w:rsid w:val="7FFB6F4E"/>
    <w:rsid w:val="9BA75D8C"/>
    <w:rsid w:val="ACEFF7C5"/>
    <w:rsid w:val="B5318FDC"/>
    <w:rsid w:val="B67B979C"/>
    <w:rsid w:val="CFDF57A0"/>
    <w:rsid w:val="DF9D51C5"/>
    <w:rsid w:val="E57F7016"/>
    <w:rsid w:val="EB7EB4D4"/>
    <w:rsid w:val="EEF7779D"/>
    <w:rsid w:val="F76D2A5F"/>
    <w:rsid w:val="F7FD5E16"/>
    <w:rsid w:val="F9D7738B"/>
    <w:rsid w:val="F9FF86A8"/>
    <w:rsid w:val="FDBDE1BF"/>
    <w:rsid w:val="FFBF9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nhideWhenUsed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7">
    <w:name w:val="Verbatim Char"/>
    <w:uiPriority w:val="0"/>
    <w:rPr>
      <w:rFonts w:ascii="Consolas" w:hAnsi="Consolas"/>
      <w:sz w:val="22"/>
    </w:rPr>
  </w:style>
  <w:style w:type="table" w:customStyle="1" w:styleId="8">
    <w:name w:val="Normal Grid"/>
    <w:basedOn w:val="5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7"/>
    <customShpInfo spid="_x0000_s1028"/>
    <customShpInfo spid="_x0000_s1029"/>
    <customShpInfo spid="_x0000_s1030"/>
    <customShpInfo spid="_x0000_s1032"/>
    <customShpInfo spid="_x0000_s1033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17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大头菜</cp:lastModifiedBy>
  <dcterms:modified xsi:type="dcterms:W3CDTF">2026-10-12T13:16:04Z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881B490FCB66A8C63E64CC6A432C719E_42</vt:lpwstr>
  </property>
</Properties>
</file>