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"/>
        <w:jc w:val="center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WILSON</w:t>
      </w:r>
    </w:p>
    <w:p>
      <w:pPr>
        <w:spacing w:after="20" w:before="0" w:line="247"/>
        <w:jc w:val="center"/>
      </w:pPr>
      <w:r>
        <w:rPr>
          <w:rFonts w:ascii="Calibri" w:cs="Calibri" w:eastAsia="Calibri" w:hAnsi="Calibri"/>
          <w:color w:val="000000"/>
          <w:sz w:val="18"/>
          <w:szCs w:val="18"/>
        </w:rPr>
        <w:t xml:space="preserve">Singapore PR  |  +65 8655 9547  |  Skyzhang1028@gmail.com  |  Singapore</w:t>
      </w:r>
    </w:p>
    <w:p>
      <w:pPr>
        <w:spacing w:after="40" w:before="0" w:line="247"/>
        <w:jc w:val="center"/>
      </w:pPr>
      <w:r>
        <w:rPr>
          <w:rFonts w:ascii="Calibri" w:cs="Calibri" w:eastAsia="Calibri" w:hAnsi="Calibri"/>
          <w:b/>
          <w:bCs/>
          <w:color w:val="FF0000"/>
          <w:sz w:val="19"/>
          <w:szCs w:val="19"/>
        </w:rPr>
        <w:t xml:space="preserve">Banking Technology Leader — Payment Middleware &amp; Productised SaaS  |  Solution Design to Delivery</w:t>
      </w:r>
    </w:p>
    <w:p>
      <w:pPr>
        <w:keepNext/>
        <w:keepLines/>
        <w:pBdr>
          <w:bottom w:val="single" w:color="1F3864" w:sz="6" w:space="1"/>
        </w:pBdr>
        <w:spacing w:after="45" w:before="110" w:line="3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PROFESSIONAL SUMMARY</w:t>
      </w:r>
    </w:p>
    <w:p>
      <w:pPr>
        <w:spacing w:after="80" w:before="0" w:line="247"/>
      </w:pPr>
      <w:r>
        <w:rPr>
          <w:rFonts w:ascii="Calibri" w:cs="Calibri" w:eastAsia="Calibri" w:hAnsi="Calibri"/>
          <w:color w:val="FF0000"/>
          <w:sz w:val="19"/>
          <w:szCs w:val="19"/>
        </w:rPr>
        <w:t xml:space="preserve">Banking technology leader who designs and delivers payment middleware between a Tier-1 bank's channels and its core banking — validation, enrichment and ISO 20022 messaging (SWIFT's MT-to-MX migration) — and has taken a configurable SaaS product from 0 to 1, with 18+ years across software engineering, architecture and delivery. Vice President at UOB since 2022, leading 25 onshore and offshore engineers on payment and lending platforms serving millions of accounts.</w:t>
      </w:r>
    </w:p>
    <w:p>
      <w:pPr>
        <w:spacing w:after="80" w:before="0" w:line="247"/>
      </w:pPr>
      <w:r>
        <w:rPr>
          <w:rFonts w:ascii="Calibri" w:cs="Calibri" w:eastAsia="Calibri" w:hAnsi="Calibri"/>
          <w:color w:val="FF0000"/>
          <w:sz w:val="19"/>
          <w:szCs w:val="19"/>
        </w:rPr>
        <w:t xml:space="preserve">Began as an engineer and technical lead on e-commerce and news-content platforms at Renren, Sohu and Baidu, then spent 2016–2022 in head-of-technology and architect roles at start-ups and scale-ups — heading technology at a smart-parking IoT company, co-founding an audio-learning platform and leading VV Technology's 140-person technology organisation through its managers.</w:t>
      </w:r>
    </w:p>
    <w:p>
      <w:pPr>
        <w:spacing w:after="80" w:before="0" w:line="247"/>
      </w:pPr>
      <w:r>
        <w:rPr>
          <w:rFonts w:ascii="Calibri" w:cs="Calibri" w:eastAsia="Calibri" w:hAnsi="Calibri"/>
          <w:color w:val="FF0000"/>
          <w:sz w:val="19"/>
          <w:szCs w:val="19"/>
        </w:rPr>
        <w:t xml:space="preserve">On the commercial side, has led winning technical bids as a vendor and, at UOB, holds decision or joint-decision authority on vendor selection as the buyer. Delivers end to end — requirements, solution design, testing, release and production support — under banking-grade change, release and access controls.</w:t>
      </w:r>
    </w:p>
    <w:p>
      <w:pPr>
        <w:keepNext/>
        <w:keepLines/>
        <w:pBdr>
          <w:bottom w:val="single" w:color="1F3864" w:sz="6" w:space="1"/>
        </w:pBdr>
        <w:spacing w:after="45" w:before="110" w:line="3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CORE COMPETENCIES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8"/>
        <w:gridCol w:w="7858"/>
      </w:tblGrid>
      <w:tr>
        <w:trPr>
          <w:cantSplit/>
        </w:trPr>
        <w:tc>
          <w:tcPr>
            <w:tcW w:type="dxa" w:w="234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2F8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7"/>
            </w:pPr>
            <w:r>
              <w:rPr>
                <w:rFonts w:ascii="Calibri" w:cs="Calibri" w:eastAsia="Calibri" w:hAnsi="Calibri"/>
                <w:b/>
                <w:bCs/>
                <w:color w:val="FF0000"/>
                <w:sz w:val="18"/>
                <w:szCs w:val="18"/>
              </w:rPr>
              <w:t xml:space="preserve">Banking Solutions</w:t>
            </w:r>
          </w:p>
        </w:tc>
        <w:tc>
          <w:tcPr>
            <w:tcW w:type="dxa" w:w="785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7"/>
            </w:pPr>
            <w:r>
              <w:rPr>
                <w:rFonts w:ascii="Calibri" w:cs="Calibri" w:eastAsia="Calibri" w:hAnsi="Calibri"/>
                <w:color w:val="FF0000"/>
                <w:sz w:val="18"/>
                <w:szCs w:val="18"/>
              </w:rPr>
              <w:t xml:space="preserve">Payment initiation, validation, enrichment and status tracking; ISO 20022 (MT-to-MX) messaging migration; core-banking integration; retail lending servicing and collections</w:t>
            </w:r>
          </w:p>
        </w:tc>
      </w:tr>
      <w:tr>
        <w:trPr>
          <w:cantSplit/>
        </w:trPr>
        <w:tc>
          <w:tcPr>
            <w:tcW w:type="dxa" w:w="234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2F8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7"/>
            </w:pPr>
            <w:r>
              <w:rPr>
                <w:rFonts w:ascii="Calibri" w:cs="Calibri" w:eastAsia="Calibri" w:hAnsi="Calibri"/>
                <w:b/>
                <w:bCs/>
                <w:color w:val="FF0000"/>
                <w:sz w:val="18"/>
                <w:szCs w:val="18"/>
              </w:rPr>
              <w:t xml:space="preserve">Solution Architecture</w:t>
            </w:r>
          </w:p>
        </w:tc>
        <w:tc>
          <w:tcPr>
            <w:tcW w:type="dxa" w:w="785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7"/>
            </w:pPr>
            <w:r>
              <w:rPr>
                <w:rFonts w:ascii="Calibri" w:cs="Calibri" w:eastAsia="Calibri" w:hAnsi="Calibri"/>
                <w:color w:val="FF0000"/>
                <w:sz w:val="18"/>
                <w:szCs w:val="18"/>
              </w:rPr>
              <w:t xml:space="preserve">Payment middleware, API design, microservices, Apache Camel, event-driven integration, service orchestration, AI workflow automation, legacy modernisation with phased cut-over</w:t>
            </w:r>
          </w:p>
        </w:tc>
      </w:tr>
      <w:tr>
        <w:trPr>
          <w:cantSplit/>
        </w:trPr>
        <w:tc>
          <w:tcPr>
            <w:tcW w:type="dxa" w:w="234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2F8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7"/>
            </w:pPr>
            <w:r>
              <w:rPr>
                <w:rFonts w:ascii="Calibri" w:cs="Calibri" w:eastAsia="Calibri" w:hAnsi="Calibri"/>
                <w:b/>
                <w:bCs/>
                <w:color w:val="FF0000"/>
                <w:sz w:val="18"/>
                <w:szCs w:val="18"/>
              </w:rPr>
              <w:t xml:space="preserve">Productisation</w:t>
            </w:r>
          </w:p>
        </w:tc>
        <w:tc>
          <w:tcPr>
            <w:tcW w:type="dxa" w:w="785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7"/>
            </w:pPr>
            <w:r>
              <w:rPr>
                <w:rFonts w:ascii="Calibri" w:cs="Calibri" w:eastAsia="Calibri" w:hAnsi="Calibri"/>
                <w:color w:val="FF0000"/>
                <w:sz w:val="18"/>
                <w:szCs w:val="18"/>
              </w:rPr>
              <w:t xml:space="preserve">Configurable multi-tenant SaaS from 0 to 1, reusable backend services, a SaaS model for business and public-sector customers, release planning and governance</w:t>
            </w:r>
          </w:p>
        </w:tc>
      </w:tr>
      <w:tr>
        <w:trPr>
          <w:cantSplit/>
        </w:trPr>
        <w:tc>
          <w:tcPr>
            <w:tcW w:type="dxa" w:w="234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2F8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7"/>
            </w:pPr>
            <w:r>
              <w:rPr>
                <w:rFonts w:ascii="Calibri" w:cs="Calibri" w:eastAsia="Calibri" w:hAnsi="Calibri"/>
                <w:b/>
                <w:bCs/>
                <w:color w:val="FF0000"/>
                <w:sz w:val="18"/>
                <w:szCs w:val="18"/>
              </w:rPr>
              <w:t xml:space="preserve">Bids &amp; Commercial</w:t>
            </w:r>
          </w:p>
        </w:tc>
        <w:tc>
          <w:tcPr>
            <w:tcW w:type="dxa" w:w="785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7"/>
            </w:pPr>
            <w:r>
              <w:rPr>
                <w:rFonts w:ascii="Calibri" w:cs="Calibri" w:eastAsia="Calibri" w:hAnsi="Calibri"/>
                <w:color w:val="FF0000"/>
                <w:sz w:val="18"/>
                <w:szCs w:val="18"/>
              </w:rPr>
              <w:t xml:space="preserve">Technical bids and tender responses; buyer-side vendor evaluation and selection, SOW/licence negotiation, vendor performance reviews; delivery and technology budgets</w:t>
            </w:r>
          </w:p>
        </w:tc>
      </w:tr>
      <w:tr>
        <w:trPr>
          <w:cantSplit/>
        </w:trPr>
        <w:tc>
          <w:tcPr>
            <w:tcW w:type="dxa" w:w="234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2F8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7"/>
            </w:pPr>
            <w:r>
              <w:rPr>
                <w:rFonts w:ascii="Calibri" w:cs="Calibri" w:eastAsia="Calibri" w:hAnsi="Calibri"/>
                <w:b/>
                <w:bCs/>
                <w:color w:val="FF0000"/>
                <w:sz w:val="18"/>
                <w:szCs w:val="18"/>
              </w:rPr>
              <w:t xml:space="preserve">Governance &amp; Quality</w:t>
            </w:r>
          </w:p>
        </w:tc>
        <w:tc>
          <w:tcPr>
            <w:tcW w:type="dxa" w:w="785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7"/>
            </w:pPr>
            <w:r>
              <w:rPr>
                <w:rFonts w:ascii="Calibri" w:cs="Calibri" w:eastAsia="Calibri" w:hAnsi="Calibri"/>
                <w:color w:val="FF0000"/>
                <w:sz w:val="18"/>
                <w:szCs w:val="18"/>
              </w:rPr>
              <w:t xml:space="preserve">Secure SDLC, role-based access control, change control, release governance, SIT/UAT sign-off, disaster recovery (DR) and failover, MAS TRM (Singapore technology-risk rules)</w:t>
            </w:r>
          </w:p>
        </w:tc>
      </w:tr>
      <w:tr>
        <w:trPr>
          <w:cantSplit/>
        </w:trPr>
        <w:tc>
          <w:tcPr>
            <w:tcW w:type="dxa" w:w="234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2F8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7"/>
            </w:pPr>
            <w:r>
              <w:rPr>
                <w:rFonts w:ascii="Calibri" w:cs="Calibri" w:eastAsia="Calibri" w:hAnsi="Calibri"/>
                <w:b/>
                <w:bCs/>
                <w:color w:val="FF0000"/>
                <w:sz w:val="18"/>
                <w:szCs w:val="18"/>
              </w:rPr>
              <w:t xml:space="preserve">End-to-End Delivery</w:t>
            </w:r>
          </w:p>
        </w:tc>
        <w:tc>
          <w:tcPr>
            <w:tcW w:type="dxa" w:w="785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7"/>
            </w:pPr>
            <w:r>
              <w:rPr>
                <w:rFonts w:ascii="Calibri" w:cs="Calibri" w:eastAsia="Calibri" w:hAnsi="Calibri"/>
                <w:color w:val="FF0000"/>
                <w:sz w:val="18"/>
                <w:szCs w:val="18"/>
              </w:rPr>
              <w:t xml:space="preserve">Requirements to production support; Agile/Scrum and hybrid Waterfall; risks, dependencies and scope trade-offs; data migration; steering-committee reporting</w:t>
            </w:r>
          </w:p>
        </w:tc>
      </w:tr>
      <w:tr>
        <w:trPr>
          <w:cantSplit/>
        </w:trPr>
        <w:tc>
          <w:tcPr>
            <w:tcW w:type="dxa" w:w="234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2F8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7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Technical</w:t>
            </w:r>
          </w:p>
        </w:tc>
        <w:tc>
          <w:tcPr>
            <w:tcW w:type="dxa" w:w="785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7"/>
            </w:pPr>
            <w:r>
              <w:rPr>
                <w:rFonts w:ascii="Calibri" w:cs="Calibri" w:eastAsia="Calibri" w:hAnsi="Calibri"/>
                <w:color w:val="FF0000"/>
                <w:sz w:val="18"/>
                <w:szCs w:val="18"/>
              </w:rPr>
              <w:t xml:space="preserve">Java, Spring Boot, Spring Cloud, Apache Camel, Kafka, Kubernetes, Docker, AWS, Linux (RHEL), SQL</w:t>
            </w:r>
          </w:p>
        </w:tc>
      </w:tr>
    </w:tbl>
    <w:p>
      <w:pPr>
        <w:keepNext/>
        <w:keepLines/>
        <w:pBdr>
          <w:bottom w:val="single" w:color="1F3864" w:sz="6" w:space="1"/>
        </w:pBdr>
        <w:spacing w:after="45" w:before="110" w:line="3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SELECTED ACHIEVEMENTS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b/>
          <w:bCs/>
          <w:color w:val="FF0000"/>
          <w:sz w:val="19"/>
          <w:szCs w:val="19"/>
        </w:rPr>
        <w:t xml:space="preserve">Payment middleware in a Tier-1 bank: </w:t>
      </w:r>
      <w:r>
        <w:rPr>
          <w:rFonts w:ascii="Calibri" w:cs="Calibri" w:eastAsia="Calibri" w:hAnsi="Calibri"/>
          <w:color w:val="FF0000"/>
          <w:sz w:val="19"/>
          <w:szCs w:val="19"/>
        </w:rPr>
        <w:t xml:space="preserve">Led end-to-end design of a payment-initiation hub — API contracts, validation, enrichment and status tracking — that connects channels and vendor systems and hands payments to core banking for settlement.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b/>
          <w:bCs/>
          <w:color w:val="FF0000"/>
          <w:sz w:val="19"/>
          <w:szCs w:val="19"/>
        </w:rPr>
        <w:t xml:space="preserve">Modernisation without disruption: </w:t>
      </w:r>
      <w:r>
        <w:rPr>
          <w:rFonts w:ascii="Calibri" w:cs="Calibri" w:eastAsia="Calibri" w:hAnsi="Calibri"/>
          <w:color w:val="FF0000"/>
          <w:sz w:val="19"/>
          <w:szCs w:val="19"/>
        </w:rPr>
        <w:t xml:space="preserve">Planned and architected the phased move of cross-border payments to ISO 20022 (SWIFT's MT-to-MX migration), running old and new message formats side by side: new-format messaging went live in May and August 2025, ahead of SWIFT's November 2025 deadline, and the old path was retired in August 2026 with no service interruption.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b/>
          <w:bCs/>
          <w:color w:val="FF0000"/>
          <w:sz w:val="19"/>
          <w:szCs w:val="19"/>
        </w:rPr>
        <w:t xml:space="preserve">Winning technical bids: </w:t>
      </w:r>
      <w:r>
        <w:rPr>
          <w:rFonts w:ascii="Calibri" w:cs="Calibri" w:eastAsia="Calibri" w:hAnsi="Calibri"/>
          <w:color w:val="FF0000"/>
          <w:sz w:val="19"/>
          <w:szCs w:val="19"/>
        </w:rPr>
        <w:t xml:space="preserve">At AI Park, led technical bids that won city parking projects in Shijiazhuang, Handan and Beijing, and launched pilots in Shijiazhuang (2016), Handan (2017) and Beijing Chaoyang (2017).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b/>
          <w:bCs/>
          <w:color w:val="FF0000"/>
          <w:sz w:val="19"/>
          <w:szCs w:val="19"/>
        </w:rPr>
        <w:t xml:space="preserve">Buyer-side commercial authority: </w:t>
      </w:r>
      <w:r>
        <w:rPr>
          <w:rFonts w:ascii="Calibri" w:cs="Calibri" w:eastAsia="Calibri" w:hAnsi="Calibri"/>
          <w:color w:val="FF0000"/>
          <w:sz w:val="19"/>
          <w:szCs w:val="19"/>
        </w:rPr>
        <w:t xml:space="preserve">At UOB, hold decision or joint-decision authority on technology investment, vendor selection and SOW/licence negotiation, and chair budget and performance reviews for four IT service vendors.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b/>
          <w:bCs/>
          <w:color w:val="FF0000"/>
          <w:sz w:val="19"/>
          <w:szCs w:val="19"/>
        </w:rPr>
        <w:t xml:space="preserve">Configurable SaaS product: </w:t>
      </w:r>
      <w:r>
        <w:rPr>
          <w:rFonts w:ascii="Calibri" w:cs="Calibri" w:eastAsia="Calibri" w:hAnsi="Calibri"/>
          <w:color w:val="FF0000"/>
          <w:sz w:val="19"/>
          <w:szCs w:val="19"/>
        </w:rPr>
        <w:t xml:space="preserve">Architected and delivered, from 0 to 1, a multi-tenant SaaS platform for online-game businesses — reusable services for KYC, bonuses, VIP tiers, analytics and payments — on Spring Cloud, Kubernetes and AWS.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b/>
          <w:bCs/>
          <w:color w:val="FF0000"/>
          <w:sz w:val="19"/>
          <w:szCs w:val="19"/>
        </w:rPr>
        <w:t xml:space="preserve">Banking-grade governance: </w:t>
      </w:r>
      <w:r>
        <w:rPr>
          <w:rFonts w:ascii="Calibri" w:cs="Calibri" w:eastAsia="Calibri" w:hAnsi="Calibri"/>
          <w:color w:val="FF0000"/>
          <w:sz w:val="19"/>
          <w:szCs w:val="19"/>
        </w:rPr>
        <w:t xml:space="preserve">Established release governance with SIT/UAT sign-off for every release, designed role-based permissions and encryption under MAS TRM, and personally led DR and failover drills for the real-time payment middleware, sustaining 99.9%+ availability.</w:t>
      </w:r>
    </w:p>
    <w:p>
      <w:pPr>
        <w:keepNext/>
        <w:keepLines/>
        <w:pageBreakBefore/>
        <w:pBdr>
          <w:bottom w:val="single" w:color="1F3864" w:sz="6" w:space="1"/>
        </w:pBdr>
        <w:spacing w:after="45" w:before="110" w:line="3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PROFESSIONAL EXPERIENCE</w:t>
      </w:r>
    </w:p>
    <w:p>
      <w:pPr>
        <w:keepNext/>
        <w:keepLines/>
        <w:tabs>
          <w:tab w:val="right" w:pos="10206"/>
        </w:tabs>
        <w:spacing w:after="5" w:before="100" w:line="300"/>
      </w:pPr>
      <w:r>
        <w:rPr>
          <w:rFonts w:ascii="Calibri" w:cs="Calibri" w:eastAsia="Calibri" w:hAnsi="Calibri"/>
          <w:b/>
          <w:bCs/>
          <w:color w:val="156082"/>
          <w:sz w:val="22"/>
          <w:szCs w:val="22"/>
        </w:rPr>
        <w:t xml:space="preserve">United Overseas Bank (UOB)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 |  Singapore</w:t>
      </w: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/>
        <w:tab/>
        <w:t xml:space="preserve">Oct 2022 – Present</w:t>
      </w:r>
    </w:p>
    <w:p>
      <w:pPr>
        <w:keepNext/>
        <w:spacing w:after="25" w:before="0" w:line="247"/>
      </w:pP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Vice President (VP2) / Technical Delivery Manager — Real-Time &amp; Payment Data Services, Group Technology &amp; Operations</w:t>
      </w:r>
    </w:p>
    <w:p>
      <w:pPr>
        <w:spacing w:after="25" w:before="0" w:line="247"/>
      </w:pPr>
      <w:r>
        <w:rPr>
          <w:rFonts w:ascii="Calibri" w:cs="Calibri" w:eastAsia="Calibri" w:hAnsi="Calibri"/>
          <w:color w:val="FF0000"/>
          <w:sz w:val="19"/>
          <w:szCs w:val="19"/>
        </w:rPr>
        <w:t xml:space="preserve">Technology leader for two mission-critical platform lines in a MAS-regulated Tier-1 bank, serving millions of accounts: cross-border payments (SWIFT ISO 20022 messaging) and retail unsecured lending — payment initiation, validation and lifecycle tracking, plus post-disbursement collections across credit-card and unsecured-loan portfolios.</w:t>
      </w:r>
    </w:p>
    <w:p>
      <w:pPr>
        <w:keepNext/>
        <w:spacing w:after="15" w:before="45" w:line="247"/>
      </w:pPr>
      <w:r>
        <w:rPr>
          <w:rFonts w:ascii="Calibri" w:cs="Calibri" w:eastAsia="Calibri" w:hAnsi="Calibri"/>
          <w:b/>
          <w:bCs/>
          <w:i/>
          <w:iCs/>
          <w:color w:val="FF0000"/>
          <w:sz w:val="19"/>
          <w:szCs w:val="19"/>
        </w:rPr>
        <w:t xml:space="preserve">Solution Architecture &amp; Engineering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color w:val="FF0000"/>
          <w:sz w:val="19"/>
          <w:szCs w:val="19"/>
        </w:rPr>
        <w:t xml:space="preserve">Personally built the payment-initiation hub's core modules — payment-transaction initiation, concurrency control, the corporate- and user-role permission matrix and processing of payment status results returned by downstream systems.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color w:val="FF0000"/>
          <w:sz w:val="19"/>
          <w:szCs w:val="19"/>
        </w:rPr>
        <w:t xml:space="preserve">Reduced end-to-end transaction latency under high load by tuning thread pools and the Java virtual machine (JVM) and removing synchronous blocking calls.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color w:val="FF0000"/>
          <w:sz w:val="19"/>
          <w:szCs w:val="19"/>
        </w:rPr>
        <w:t xml:space="preserve">Lead the 10-engineer backend team of a regional customer-360 platform (in production since 2022) that takes daily account summaries from core banking for portfolio analysis; personally built its data-analysis module and Spring Batch jobs.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color w:val="FF0000"/>
          <w:sz w:val="19"/>
          <w:szCs w:val="19"/>
        </w:rPr>
        <w:t xml:space="preserve">Designed and built two AI workflow automations: a code-review service — live since May 2026 after formal architecture and risk approval, with humans keeping merge authority — and an agent that removed a manual document-reconciliation task.</w:t>
      </w:r>
    </w:p>
    <w:p>
      <w:pPr>
        <w:keepNext/>
        <w:spacing w:after="15" w:before="45" w:line="247"/>
      </w:pPr>
      <w:r>
        <w:rPr>
          <w:rFonts w:ascii="Calibri" w:cs="Calibri" w:eastAsia="Calibri" w:hAnsi="Calibri"/>
          <w:b/>
          <w:bCs/>
          <w:i/>
          <w:iCs/>
          <w:color w:val="FF0000"/>
          <w:sz w:val="19"/>
          <w:szCs w:val="19"/>
        </w:rPr>
        <w:t xml:space="preserve">Delivery, Governance &amp; Support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color w:val="FF0000"/>
          <w:sz w:val="19"/>
          <w:szCs w:val="19"/>
        </w:rPr>
        <w:t xml:space="preserve">Own end-to-end delivery of the ISO 20022 programme with a 15-engineer onshore/offshore team — scope, roadmap, risks, dependencies on channels and vendor systems, release planning and production rollout — shipping upgrades every 2–3 months.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color w:val="FF0000"/>
          <w:sz w:val="19"/>
          <w:szCs w:val="19"/>
        </w:rPr>
        <w:t xml:space="preserve">Led data migration for the payment-initiation hub, the retail-lending platform and the customer-360 platform, with sensitive-data encryption and credential management.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color w:val="FF0000"/>
          <w:sz w:val="19"/>
          <w:szCs w:val="19"/>
        </w:rPr>
        <w:t xml:space="preserve">Enforce CI/CD quality gates — JUnit, a 99% SonarQube coverage gate on all code, automated regression and penetration testing — and run secure SDLC, data protection impact assessments (DPIA) and data governance in line with MAS TRM.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color w:val="FF0000"/>
          <w:sz w:val="19"/>
          <w:szCs w:val="19"/>
        </w:rPr>
        <w:t xml:space="preserve">Coordinate P1–P3 incidents end to end — escalation, stakeholder communication, root-cause analysis (RCA) and post-incident reports; with no separate SRE team, the platform teams own production support, service-level indicators/objectives and Splunk monitoring.</w:t>
      </w:r>
    </w:p>
    <w:p>
      <w:pPr>
        <w:keepNext/>
        <w:spacing w:after="15" w:before="45" w:line="247"/>
      </w:pPr>
      <w:r>
        <w:rPr>
          <w:rFonts w:ascii="Calibri" w:cs="Calibri" w:eastAsia="Calibri" w:hAnsi="Calibri"/>
          <w:b/>
          <w:bCs/>
          <w:i/>
          <w:iCs/>
          <w:color w:val="1F3864"/>
          <w:sz w:val="19"/>
          <w:szCs w:val="19"/>
        </w:rPr>
        <w:t xml:space="preserve">Commercial &amp; Stakeholders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color w:val="FF0000"/>
          <w:sz w:val="19"/>
          <w:szCs w:val="19"/>
        </w:rPr>
        <w:t xml:space="preserve">Lead technical evaluation of vendors as input to vendor-selection and SOW/licence decisions.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color w:val="FF0000"/>
          <w:sz w:val="19"/>
          <w:szCs w:val="19"/>
        </w:rPr>
        <w:t xml:space="preserve">Resolve schedule conflicts between the two platform lines by agreeing MVP scope with the requirement, project and technical leads, confirming dependencies and setting a sequence all parties accept.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color w:val="FF0000"/>
          <w:sz w:val="19"/>
          <w:szCs w:val="19"/>
        </w:rPr>
        <w:t xml:space="preserve">Act as the primary interface between business stakeholders, product owners, operations, compliance, architects and engineering managers; present status, risks and decisions to senior management and the steering committee.</w:t>
      </w:r>
    </w:p>
    <w:p>
      <w:pPr>
        <w:keepNext/>
        <w:keepLines/>
        <w:tabs>
          <w:tab w:val="right" w:pos="10206"/>
        </w:tabs>
        <w:spacing w:after="5" w:before="100" w:line="300"/>
      </w:pPr>
      <w:r>
        <w:rPr>
          <w:rFonts w:ascii="Calibri" w:cs="Calibri" w:eastAsia="Calibri" w:hAnsi="Calibri"/>
          <w:b/>
          <w:bCs/>
          <w:color w:val="156082"/>
          <w:sz w:val="22"/>
          <w:szCs w:val="22"/>
        </w:rPr>
        <w:t xml:space="preserve">Golden Bridge Drive (SG) Pte. Ltd.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 |  Singapore</w:t>
      </w: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/>
        <w:tab/>
        <w:t xml:space="preserve">Nov 2020 – Jul 2022</w:t>
      </w:r>
    </w:p>
    <w:p>
      <w:pPr>
        <w:keepNext/>
        <w:spacing w:after="25" w:before="0" w:line="247"/>
      </w:pP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Project Manager &amp; Architect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color w:val="FF0000"/>
          <w:sz w:val="19"/>
          <w:szCs w:val="19"/>
        </w:rPr>
        <w:t xml:space="preserve">Led a 40-person project team, including outsourced staff, introduced Agile/Scrum from scratch and CI on Jenkins and Amazon ECR, and owned delivery budget, capacity and launch readiness for the multi-tenant SaaS platform.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color w:val="FF0000"/>
          <w:sz w:val="19"/>
          <w:szCs w:val="19"/>
        </w:rPr>
        <w:t xml:space="preserve">Ran hybrid delivery — Waterfall for scope, budget, milestones and resource planning; Agile sprints for execution, backlog tracking and iterative delivery.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color w:val="FF0000"/>
          <w:sz w:val="19"/>
          <w:szCs w:val="19"/>
        </w:rPr>
        <w:t xml:space="preserve">Designed hierarchical KYC identity verification and configurable rule models for authentication levels and for bonus eligibility, triggers and distribution.</w:t>
      </w:r>
    </w:p>
    <w:p>
      <w:pPr>
        <w:keepNext/>
        <w:keepLines/>
        <w:tabs>
          <w:tab w:val="right" w:pos="10206"/>
        </w:tabs>
        <w:spacing w:after="5" w:before="100" w:line="300"/>
      </w:pPr>
      <w:r>
        <w:rPr>
          <w:rFonts w:ascii="Calibri" w:cs="Calibri" w:eastAsia="Calibri" w:hAnsi="Calibri"/>
          <w:b/>
          <w:bCs/>
          <w:color w:val="156082"/>
          <w:sz w:val="22"/>
          <w:szCs w:val="22"/>
        </w:rPr>
        <w:t xml:space="preserve">VV Technology Pte. Ltd.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 |  Singapore</w:t>
      </w: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/>
        <w:tab/>
        <w:t xml:space="preserve">Apr 2019 – Jun 2020</w:t>
      </w:r>
    </w:p>
    <w:p>
      <w:pPr>
        <w:keepNext/>
        <w:spacing w:after="25" w:before="0" w:line="247"/>
      </w:pP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Head of Technical Centre</w:t>
      </w:r>
    </w:p>
    <w:p>
      <w:pPr>
        <w:spacing w:after="25" w:before="0" w:line="247"/>
      </w:pPr>
      <w:r>
        <w:rPr>
          <w:rFonts w:ascii="Calibri" w:cs="Calibri" w:eastAsia="Calibri" w:hAnsi="Calibri"/>
          <w:color w:val="303030"/>
          <w:sz w:val="19"/>
          <w:szCs w:val="19"/>
        </w:rPr>
        <w:t xml:space="preserve">VV-Life: a local-life services platform connecting offline merchants — food, fresh produce, travel and everyday services.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color w:val="FF0000"/>
          <w:sz w:val="19"/>
          <w:szCs w:val="19"/>
        </w:rPr>
        <w:t xml:space="preserve">Led VV's 140-person technology organisation through its managers and built its microservices platform from scratch, owning technology selection and the technology budget.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color w:val="FF0000"/>
          <w:sz w:val="19"/>
          <w:szCs w:val="19"/>
        </w:rPr>
        <w:t xml:space="preserve">Delivered the first VV-Life release in 2019 and architected its payment subsystem, integrating UnionPay, Visa/Mastercard, Google Pay and GrabPay payments with settlement reconciliation.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color w:val="FF0000"/>
          <w:sz w:val="19"/>
          <w:szCs w:val="19"/>
        </w:rPr>
        <w:t xml:space="preserve">Designed the shared back-end platform architecture (Spring Boot, MySQL cluster, Redis, RocketMQ) for a B2B online-office product serving Southeast Asia, governing solution design, cost evaluation, staffing and acceptance.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Introduced CI/CD, code standards and containerised deployment with rollback on Kubernetes; defined production-incident priority levels and tiered emergency-response plans.</w:t>
      </w:r>
    </w:p>
    <w:p>
      <w:pPr>
        <w:keepNext/>
        <w:keepLines/>
        <w:tabs>
          <w:tab w:val="right" w:pos="10206"/>
        </w:tabs>
        <w:spacing w:after="5" w:before="100" w:line="300"/>
      </w:pPr>
      <w:r>
        <w:rPr>
          <w:rFonts w:ascii="Calibri" w:cs="Calibri" w:eastAsia="Calibri" w:hAnsi="Calibri"/>
          <w:b/>
          <w:bCs/>
          <w:color w:val="156082"/>
          <w:sz w:val="22"/>
          <w:szCs w:val="22"/>
        </w:rPr>
        <w:t xml:space="preserve">Hengshunyuan Information Technology Co., Ltd.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 |  China</w:t>
      </w: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/>
        <w:tab/>
        <w:t xml:space="preserve">Oct 2017 – Sep 2019</w:t>
      </w:r>
    </w:p>
    <w:p>
      <w:pPr>
        <w:keepNext/>
        <w:spacing w:after="25" w:before="0" w:line="247"/>
      </w:pP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Co-founder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color w:val="FF0000"/>
          <w:sz w:val="19"/>
          <w:szCs w:val="19"/>
        </w:rPr>
        <w:t xml:space="preserve">Owned product, architecture and technical delivery of an audio-learning platform, reaching a peak of ~100k daily active users; ran content licensing with rights holders, bringing ~1,500 licensed titles and albums onto the platform at launch.</w:t>
      </w:r>
    </w:p>
    <w:p>
      <w:pPr>
        <w:keepNext/>
        <w:keepLines/>
        <w:tabs>
          <w:tab w:val="right" w:pos="10206"/>
        </w:tabs>
        <w:spacing w:after="5" w:before="100" w:line="300"/>
      </w:pPr>
      <w:r>
        <w:rPr>
          <w:rFonts w:ascii="Calibri" w:cs="Calibri" w:eastAsia="Calibri" w:hAnsi="Calibri"/>
          <w:b/>
          <w:bCs/>
          <w:color w:val="156082"/>
          <w:sz w:val="22"/>
          <w:szCs w:val="22"/>
        </w:rPr>
        <w:t xml:space="preserve">AI Park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 |  China</w:t>
      </w: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/>
        <w:tab/>
        <w:t xml:space="preserve">Apr 2016 – Sep 2017</w:t>
      </w:r>
    </w:p>
    <w:p>
      <w:pPr>
        <w:keepNext/>
        <w:spacing w:after="25" w:before="0" w:line="247"/>
      </w:pP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VP of Technical Department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Led architecture, delivery, budget and the technical team for a smart-parking IoT platform connecting car parks to the cloud for automated management, online payment and recommendations.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color w:val="FF0000"/>
          <w:sz w:val="19"/>
          <w:szCs w:val="19"/>
        </w:rPr>
        <w:t xml:space="preserve">Introduced a SaaS model for future business and government customers.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color w:val="FF0000"/>
          <w:sz w:val="19"/>
          <w:szCs w:val="19"/>
        </w:rPr>
        <w:t xml:space="preserve">Brought Spring Cloud microservices into the architecture, with Kafka for asynchronous flows and caching to shield the database, achieving millisecond-level service processing.</w:t>
      </w:r>
    </w:p>
    <w:p>
      <w:pPr>
        <w:keepNext/>
        <w:keepLines/>
        <w:pBdr>
          <w:bottom w:val="single" w:color="1F3864" w:sz="6" w:space="1"/>
        </w:pBdr>
        <w:spacing w:after="45" w:before="110" w:line="3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EARLIER EXPERIENCE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Baidu — Technical Specialist, Nuomi group-buying e-commerce platform (May 2014 – Dec 2014, China): </w:t>
      </w:r>
      <w:r>
        <w:rPr>
          <w:rFonts w:ascii="Calibri" w:cs="Calibri" w:eastAsia="Calibri" w:hAnsi="Calibri"/>
          <w:color w:val="FF0000"/>
          <w:sz w:val="19"/>
          <w:szCs w:val="19"/>
        </w:rPr>
        <w:t xml:space="preserve">As project leader, re-architected the merchant-side order system and delivered two months ahead of plan; designed and coded Nuomi's payment-gateway integration with Alipay, WeChat Pay and UnionPay.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Sohu.com — Technical Leader / Project Leader, Sohu News content platform (Mar 2012 – May 2014, China): </w:t>
      </w:r>
      <w:r>
        <w:rPr>
          <w:rFonts w:ascii="Calibri" w:cs="Calibri" w:eastAsia="Calibri" w:hAnsi="Calibri"/>
          <w:color w:val="FF0000"/>
          <w:sz w:val="19"/>
          <w:szCs w:val="19"/>
        </w:rPr>
        <w:t xml:space="preserve">Led the re-architecture of the fifth-generation CMS onto Spring MVC and a Redis cluster, and delivered its OpenAPI messaging platform.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Renren Network — Senior R&amp;D Engineer (Jul 2008 – Mar 2012, China): </w:t>
      </w:r>
      <w:r>
        <w:rPr>
          <w:rFonts w:ascii="Calibri" w:cs="Calibri" w:eastAsia="Calibri" w:hAnsi="Calibri"/>
          <w:color w:val="FF0000"/>
          <w:sz w:val="19"/>
          <w:szCs w:val="19"/>
        </w:rPr>
        <w:t xml:space="preserve">Developed Renren's shopping website, Renren Mall and CRM, and designed and coded Renren Mall's payment integration with Alipay and UnionPay.</w:t>
      </w:r>
    </w:p>
    <w:p>
      <w:pPr>
        <w:keepNext/>
        <w:keepLines/>
        <w:pBdr>
          <w:bottom w:val="single" w:color="1F3864" w:sz="6" w:space="1"/>
        </w:pBdr>
        <w:spacing w:after="45" w:before="110" w:line="3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EDUCATION, CERTIFICATIONS &amp; LANGUAGES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Master's degree in Computer Science and Technology — Liaoning University (2005 – 2008)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Bachelor's degree in Applied Mathematics — Shenyang University of Technology (2000 – 2004)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Software Designer (Intermediate) — Qualification Certificate of Computer and Software Technology Proficiency (2006) · PMP — in progress · Site Reliability Engineering (SRE) — formal training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Languages: English and Mandarin (professional working proficiency in both)</w:t>
      </w:r>
    </w:p>
    <w:sectPr>
      <w:footerReference w:type="default" r:id="rId7"/>
      <w:pgSz w:w="11906" w:h="16838" w:orient="portrait"/>
      <w:pgMar w:top="720" w:right="850" w:bottom="720" w:left="850" w:header="709" w:footer="709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80808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8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SG"/>
        <w:rFonts w:ascii="Calibri" w:cs="Calibri" w:eastAsia="Calibri" w:hAnsi="Calibri"/>
        <w:sz w:val="19"/>
        <w:szCs w:val="19"/>
      </w:rPr>
    </w:rPrDefault>
    <w:pPrDefault>
      <w:pPr>
        <w:spacing w:line="247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Wilson — Resume</dc:title>
  <dc:creator>Wilson</dc:creator>
  <cp:lastModifiedBy>Wilson</cp:lastModifiedBy>
  <cp:revision>1</cp:revision>
  <dcterms:created xsi:type="dcterms:W3CDTF">2026-10-17T02:43:03.205Z</dcterms:created>
  <dcterms:modified xsi:type="dcterms:W3CDTF">2026-10-17T02:43:03.207Z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