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rFonts w:ascii="Georgia" w:hAnsi="Georgia"/>
          <w:b/>
          <w:i w:val="0"/>
          <w:color w:val="9598E8"/>
          <w:sz w:val="28"/>
        </w:rPr>
        <w:t>LIGHTPATH</w:t>
      </w:r>
    </w:p>
    <w:p>
      <w:pPr>
        <w:spacing w:after="80"/>
        <w:jc w:val="center"/>
      </w:pPr>
      <w:r>
        <w:rPr>
          <w:rFonts w:ascii="Georgia" w:hAnsi="Georgia"/>
          <w:b w:val="0"/>
          <w:i w:val="0"/>
          <w:color w:val="1C1C1E"/>
          <w:sz w:val="64"/>
        </w:rPr>
        <w:t>Marketplace Strategy</w:t>
      </w:r>
    </w:p>
    <w:p>
      <w:pPr>
        <w:spacing w:after="480"/>
        <w:jc w:val="center"/>
      </w:pPr>
      <w:r>
        <w:rPr>
          <w:rFonts w:ascii="Georgia" w:hAnsi="Georgia"/>
          <w:b w:val="0"/>
          <w:i w:val="0"/>
          <w:color w:val="5C6578"/>
          <w:sz w:val="26"/>
        </w:rPr>
        <w:t>Positioning, Monetization, Communication, and Build Plan</w:t>
      </w:r>
    </w:p>
    <w:p>
      <w:pPr>
        <w:spacing w:before="240" w:after="240"/>
        <w:pBdr>
          <w:bottom w:val="single" w:sz="4" w:space="1" w:color="E8E0FA"/>
        </w:pBdr>
      </w:pPr>
    </w:p>
    <w:p>
      <w:pPr>
        <w:spacing w:after="480"/>
        <w:jc w:val="center"/>
      </w:pPr>
      <w:r>
        <w:rPr>
          <w:b w:val="0"/>
          <w:i/>
          <w:color w:val="8E96A6"/>
          <w:sz w:val="20"/>
        </w:rPr>
        <w:t>A strategic document for product direction, investor materials, partner outreach, provider acquisition, and internal alignment.</w:t>
      </w:r>
    </w:p>
    <w:p>
      <w:pPr>
        <w:pStyle w:val="ListBullet"/>
        <w:spacing w:after="60"/>
        <w:ind w:left="360"/>
      </w:pPr>
      <w:r>
        <w:t>Strategic positioning and brand architecture</w:t>
      </w:r>
    </w:p>
    <w:p>
      <w:pPr>
        <w:pStyle w:val="ListBullet"/>
        <w:spacing w:after="60"/>
        <w:ind w:left="360"/>
      </w:pPr>
      <w:r>
        <w:t>Stakeholder value exchange and marketplace design</w:t>
      </w:r>
    </w:p>
    <w:p>
      <w:pPr>
        <w:pStyle w:val="ListBullet"/>
        <w:spacing w:after="60"/>
        <w:ind w:left="360"/>
      </w:pPr>
      <w:r>
        <w:t>Provider acquisition and design-partner strategy</w:t>
      </w:r>
    </w:p>
    <w:p>
      <w:pPr>
        <w:pStyle w:val="ListBullet"/>
        <w:spacing w:after="60"/>
        <w:ind w:left="360"/>
      </w:pPr>
      <w:r>
        <w:t>Monetization framework and pricing logic</w:t>
      </w:r>
    </w:p>
    <w:p>
      <w:pPr>
        <w:pStyle w:val="ListBullet"/>
        <w:spacing w:after="60"/>
        <w:ind w:left="360"/>
      </w:pPr>
      <w:r>
        <w:t>Communication strategy across all stakeholders</w:t>
      </w:r>
    </w:p>
    <w:p>
      <w:pPr>
        <w:pStyle w:val="ListBullet"/>
        <w:spacing w:after="60"/>
        <w:ind w:left="360"/>
      </w:pPr>
      <w:r>
        <w:t>Product architecture, workflow integration, and emotional design</w:t>
      </w:r>
    </w:p>
    <w:p>
      <w:pPr>
        <w:pStyle w:val="ListBullet"/>
        <w:spacing w:after="60"/>
        <w:ind w:left="360"/>
      </w:pPr>
      <w:r>
        <w:t>Trust and safety framework</w:t>
      </w:r>
    </w:p>
    <w:p>
      <w:pPr>
        <w:pStyle w:val="ListBullet"/>
        <w:spacing w:after="60"/>
        <w:ind w:left="360"/>
      </w:pPr>
      <w:r>
        <w:t>Success metrics and phased roadmap</w:t>
      </w:r>
    </w:p>
    <w:p/>
    <w:p>
      <w:pPr>
        <w:spacing w:after="40"/>
        <w:jc w:val="center"/>
      </w:pPr>
      <w:r>
        <w:rPr>
          <w:b w:val="0"/>
          <w:i w:val="0"/>
          <w:color w:val="8E96A6"/>
          <w:sz w:val="18"/>
        </w:rPr>
        <w:t>Version 3.0  ·  March 2026</w:t>
      </w:r>
    </w:p>
    <w:p>
      <w:pPr>
        <w:jc w:val="center"/>
      </w:pPr>
      <w:r>
        <w:rPr>
          <w:b w:val="0"/>
          <w:i w:val="0"/>
          <w:color w:val="8E96A6"/>
          <w:sz w:val="18"/>
        </w:rPr>
        <w:t>Prepared for strategic use across product, growth, operations, fundraising, and partner conversations.</w:t>
      </w:r>
    </w:p>
    <w:p>
      <w:r>
        <w:br w:type="page"/>
      </w:r>
    </w:p>
    <w:p>
      <w:pPr>
        <w:pStyle w:val="Heading1"/>
      </w:pPr>
      <w:r>
        <w:t>Contents</w:t>
      </w:r>
    </w:p>
    <w:p>
      <w:pPr>
        <w:spacing w:after="60"/>
        <w:ind w:left="432"/>
      </w:pPr>
      <w:r>
        <w:rPr>
          <w:b/>
          <w:color w:val="9598E8"/>
          <w:sz w:val="20"/>
        </w:rPr>
        <w:t xml:space="preserve">1    </w:t>
      </w:r>
      <w:r>
        <w:rPr>
          <w:color w:val="1C1C1E"/>
          <w:sz w:val="20"/>
        </w:rPr>
        <w:t>Executive Summary</w:t>
      </w:r>
    </w:p>
    <w:p>
      <w:pPr>
        <w:spacing w:after="60"/>
        <w:ind w:left="432"/>
      </w:pPr>
      <w:r>
        <w:rPr>
          <w:b/>
          <w:color w:val="9598E8"/>
          <w:sz w:val="20"/>
        </w:rPr>
        <w:t xml:space="preserve">2    </w:t>
      </w:r>
      <w:r>
        <w:rPr>
          <w:color w:val="1C1C1E"/>
          <w:sz w:val="20"/>
        </w:rPr>
        <w:t>What the Marketplace Is</w:t>
      </w:r>
    </w:p>
    <w:p>
      <w:pPr>
        <w:spacing w:after="60"/>
        <w:ind w:left="432"/>
      </w:pPr>
      <w:r>
        <w:rPr>
          <w:b/>
          <w:color w:val="9598E8"/>
          <w:sz w:val="20"/>
        </w:rPr>
        <w:t xml:space="preserve">3    </w:t>
      </w:r>
      <w:r>
        <w:rPr>
          <w:color w:val="1C1C1E"/>
          <w:sz w:val="20"/>
        </w:rPr>
        <w:t>Strategic Importance</w:t>
      </w:r>
    </w:p>
    <w:p>
      <w:pPr>
        <w:spacing w:after="60"/>
        <w:ind w:left="432"/>
      </w:pPr>
      <w:r>
        <w:rPr>
          <w:b/>
          <w:color w:val="9598E8"/>
          <w:sz w:val="20"/>
        </w:rPr>
        <w:t xml:space="preserve">4    </w:t>
      </w:r>
      <w:r>
        <w:rPr>
          <w:color w:val="1C1C1E"/>
          <w:sz w:val="20"/>
        </w:rPr>
        <w:t>Competitive Differentiation</w:t>
      </w:r>
    </w:p>
    <w:p>
      <w:pPr>
        <w:spacing w:after="60"/>
        <w:ind w:left="432"/>
      </w:pPr>
      <w:r>
        <w:rPr>
          <w:b/>
          <w:color w:val="9598E8"/>
          <w:sz w:val="20"/>
        </w:rPr>
        <w:t xml:space="preserve">5    </w:t>
      </w:r>
      <w:r>
        <w:rPr>
          <w:color w:val="1C1C1E"/>
          <w:sz w:val="20"/>
        </w:rPr>
        <w:t>Stakeholders and Value Exchange</w:t>
      </w:r>
    </w:p>
    <w:p>
      <w:pPr>
        <w:spacing w:after="60"/>
        <w:ind w:left="432"/>
      </w:pPr>
      <w:r>
        <w:rPr>
          <w:b/>
          <w:color w:val="9598E8"/>
          <w:sz w:val="20"/>
        </w:rPr>
        <w:t xml:space="preserve">6    </w:t>
      </w:r>
      <w:r>
        <w:rPr>
          <w:color w:val="1C1C1E"/>
          <w:sz w:val="20"/>
        </w:rPr>
        <w:t>Positioning Strategy</w:t>
      </w:r>
    </w:p>
    <w:p>
      <w:pPr>
        <w:spacing w:after="60"/>
        <w:ind w:left="432"/>
      </w:pPr>
      <w:r>
        <w:rPr>
          <w:b/>
          <w:color w:val="9598E8"/>
          <w:sz w:val="20"/>
        </w:rPr>
        <w:t xml:space="preserve">7    </w:t>
      </w:r>
      <w:r>
        <w:rPr>
          <w:color w:val="1C1C1E"/>
          <w:sz w:val="20"/>
        </w:rPr>
        <w:t>Provider Value Proposition and Acquisition</w:t>
      </w:r>
    </w:p>
    <w:p>
      <w:pPr>
        <w:spacing w:after="60"/>
        <w:ind w:left="432"/>
      </w:pPr>
      <w:r>
        <w:rPr>
          <w:b/>
          <w:color w:val="9598E8"/>
          <w:sz w:val="20"/>
        </w:rPr>
        <w:t xml:space="preserve">8    </w:t>
      </w:r>
      <w:r>
        <w:rPr>
          <w:color w:val="1C1C1E"/>
          <w:sz w:val="20"/>
        </w:rPr>
        <w:t>Design-Partner Program</w:t>
      </w:r>
    </w:p>
    <w:p>
      <w:pPr>
        <w:spacing w:after="60"/>
        <w:ind w:left="432"/>
      </w:pPr>
      <w:r>
        <w:rPr>
          <w:b/>
          <w:color w:val="9598E8"/>
          <w:sz w:val="20"/>
        </w:rPr>
        <w:t xml:space="preserve">9    </w:t>
      </w:r>
      <w:r>
        <w:rPr>
          <w:color w:val="1C1C1E"/>
          <w:sz w:val="20"/>
        </w:rPr>
        <w:t>Monetization Framework</w:t>
      </w:r>
    </w:p>
    <w:p>
      <w:pPr>
        <w:spacing w:after="60"/>
        <w:ind w:left="432"/>
      </w:pPr>
      <w:r>
        <w:rPr>
          <w:b/>
          <w:color w:val="9598E8"/>
          <w:sz w:val="20"/>
        </w:rPr>
        <w:t xml:space="preserve">10    </w:t>
      </w:r>
      <w:r>
        <w:rPr>
          <w:color w:val="1C1C1E"/>
          <w:sz w:val="20"/>
        </w:rPr>
        <w:t>Communication Strategy</w:t>
      </w:r>
    </w:p>
    <w:p>
      <w:pPr>
        <w:spacing w:after="60"/>
        <w:ind w:left="432"/>
      </w:pPr>
      <w:r>
        <w:rPr>
          <w:b/>
          <w:color w:val="9598E8"/>
          <w:sz w:val="20"/>
        </w:rPr>
        <w:t xml:space="preserve">11    </w:t>
      </w:r>
      <w:r>
        <w:rPr>
          <w:color w:val="1C1C1E"/>
          <w:sz w:val="20"/>
        </w:rPr>
        <w:t>Product Architecture and Workflow</w:t>
      </w:r>
    </w:p>
    <w:p>
      <w:pPr>
        <w:spacing w:after="60"/>
        <w:ind w:left="432"/>
      </w:pPr>
      <w:r>
        <w:rPr>
          <w:b/>
          <w:color w:val="9598E8"/>
          <w:sz w:val="20"/>
        </w:rPr>
        <w:t xml:space="preserve">12    </w:t>
      </w:r>
      <w:r>
        <w:rPr>
          <w:color w:val="1C1C1E"/>
          <w:sz w:val="20"/>
        </w:rPr>
        <w:t>Emotional Design Principles</w:t>
      </w:r>
    </w:p>
    <w:p>
      <w:pPr>
        <w:spacing w:after="60"/>
        <w:ind w:left="432"/>
      </w:pPr>
      <w:r>
        <w:rPr>
          <w:b/>
          <w:color w:val="9598E8"/>
          <w:sz w:val="20"/>
        </w:rPr>
        <w:t xml:space="preserve">13    </w:t>
      </w:r>
      <w:r>
        <w:rPr>
          <w:color w:val="1C1C1E"/>
          <w:sz w:val="20"/>
        </w:rPr>
        <w:t>Trust and Safety Framework</w:t>
      </w:r>
    </w:p>
    <w:p>
      <w:pPr>
        <w:spacing w:after="60"/>
        <w:ind w:left="432"/>
      </w:pPr>
      <w:r>
        <w:rPr>
          <w:b/>
          <w:color w:val="9598E8"/>
          <w:sz w:val="20"/>
        </w:rPr>
        <w:t xml:space="preserve">14    </w:t>
      </w:r>
      <w:r>
        <w:rPr>
          <w:color w:val="1C1C1E"/>
          <w:sz w:val="20"/>
        </w:rPr>
        <w:t>Success Metrics and KPIs</w:t>
      </w:r>
    </w:p>
    <w:p>
      <w:pPr>
        <w:spacing w:after="60"/>
        <w:ind w:left="432"/>
      </w:pPr>
      <w:r>
        <w:rPr>
          <w:b/>
          <w:color w:val="9598E8"/>
          <w:sz w:val="20"/>
        </w:rPr>
        <w:t xml:space="preserve">15    </w:t>
      </w:r>
      <w:r>
        <w:rPr>
          <w:color w:val="1C1C1E"/>
          <w:sz w:val="20"/>
        </w:rPr>
        <w:t>Phased Roadmap</w:t>
      </w:r>
    </w:p>
    <w:p>
      <w:pPr>
        <w:spacing w:after="60"/>
        <w:ind w:left="432"/>
      </w:pPr>
      <w:r>
        <w:rPr>
          <w:b/>
          <w:color w:val="9598E8"/>
          <w:sz w:val="20"/>
        </w:rPr>
        <w:t xml:space="preserve">16    </w:t>
      </w:r>
      <w:r>
        <w:rPr>
          <w:color w:val="1C1C1E"/>
          <w:sz w:val="20"/>
        </w:rPr>
        <w:t>Investor Narrative</w:t>
      </w:r>
    </w:p>
    <w:p>
      <w:pPr>
        <w:spacing w:after="60"/>
        <w:ind w:left="432"/>
      </w:pPr>
      <w:r>
        <w:rPr>
          <w:b/>
          <w:color w:val="9598E8"/>
          <w:sz w:val="20"/>
        </w:rPr>
        <w:t xml:space="preserve">17    </w:t>
      </w:r>
      <w:r>
        <w:rPr>
          <w:color w:val="1C1C1E"/>
          <w:sz w:val="20"/>
        </w:rPr>
        <w:t>Website Architecture and Provider Content Strategy</w:t>
      </w:r>
    </w:p>
    <w:p>
      <w:pPr>
        <w:spacing w:after="60"/>
        <w:ind w:left="432"/>
      </w:pPr>
      <w:r>
        <w:rPr>
          <w:b/>
          <w:color w:val="9598E8"/>
          <w:sz w:val="20"/>
        </w:rPr>
        <w:t xml:space="preserve">18    </w:t>
      </w:r>
      <w:r>
        <w:rPr>
          <w:color w:val="1C1C1E"/>
          <w:sz w:val="20"/>
        </w:rPr>
        <w:t>Solo-Founder Playbook: AI Tools and Automation</w:t>
      </w:r>
    </w:p>
    <w:p>
      <w:pPr>
        <w:spacing w:after="60"/>
        <w:ind w:left="432"/>
      </w:pPr>
      <w:r>
        <w:rPr>
          <w:b/>
          <w:color w:val="9598E8"/>
          <w:sz w:val="20"/>
        </w:rPr>
        <w:t xml:space="preserve">19    </w:t>
      </w:r>
      <w:r>
        <w:rPr>
          <w:color w:val="1C1C1E"/>
          <w:sz w:val="20"/>
        </w:rPr>
        <w:t>Provider Outreach Templates and Sourcing</w:t>
      </w:r>
    </w:p>
    <w:p>
      <w:pPr>
        <w:spacing w:after="60"/>
        <w:ind w:left="432"/>
      </w:pPr>
      <w:r>
        <w:rPr>
          <w:b/>
          <w:color w:val="9598E8"/>
          <w:sz w:val="20"/>
        </w:rPr>
        <w:t xml:space="preserve">A    </w:t>
      </w:r>
      <w:r>
        <w:rPr>
          <w:color w:val="1C1C1E"/>
          <w:sz w:val="20"/>
        </w:rPr>
        <w:t>Appendix: Sample Copy</w:t>
      </w:r>
    </w:p>
    <w:p>
      <w:pPr>
        <w:spacing w:after="60"/>
        <w:ind w:left="432"/>
      </w:pPr>
      <w:r>
        <w:rPr>
          <w:b/>
          <w:color w:val="9598E8"/>
          <w:sz w:val="20"/>
        </w:rPr>
        <w:t xml:space="preserve">B    </w:t>
      </w:r>
      <w:r>
        <w:rPr>
          <w:color w:val="1C1C1E"/>
          <w:sz w:val="20"/>
        </w:rPr>
        <w:t>Appendix: Benchmark Sources</w:t>
      </w:r>
    </w:p>
    <w:p>
      <w:r>
        <w:br w:type="page"/>
      </w:r>
    </w:p>
    <w:p>
      <w:pPr>
        <w:pStyle w:val="Heading1"/>
      </w:pPr>
      <w:r>
        <w:t>1. Executive Summary</w:t>
      </w:r>
    </w:p>
    <w:p>
      <w:r>
        <w:rPr>
          <w:b w:val="0"/>
          <w:i w:val="0"/>
        </w:rPr>
        <w:t>LightPath’s marketplace is not a directory. It is the care-navigation layer that transforms moments of overwhelm into guided next steps — connecting emotional and practical support to trusted human expertise at the precise moment it’s needed.</w:t>
      </w:r>
    </w:p>
    <w:p>
      <w:pPr>
        <w:spacing w:before="160" w:after="160"/>
        <w:ind w:left="432" w:right="432"/>
        <w:shd w:fill="E8E0FA" w:val="clear"/>
      </w:pPr>
      <w:r>
        <w:rPr>
          <w:i/>
          <w:color w:val="1C1C1E"/>
          <w:sz w:val="20"/>
        </w:rPr>
        <w:t>The marketplace should answer two questions. For users: “Who can help me right now, why are they a fit, and how do I take that step?” For providers: “Why should I trust this platform, and how does it help the right people find me?”</w:t>
      </w:r>
    </w:p>
    <w:p>
      <w:r>
        <w:rPr>
          <w:b w:val="0"/>
          <w:i w:val="0"/>
        </w:rPr>
        <w:t>Find Care lives inside a larger intelligence system. Today orients the user. Guides explain. LightKeeper and Inner Light support emotionally. Care Plan turns complexity into action. Find Care routes the user to trusted human support when the moment requires a real person.</w:t>
      </w:r>
    </w:p>
    <w:p>
      <w:pPr>
        <w:spacing w:before="160"/>
      </w:pPr>
      <w:r>
        <w:rPr>
          <w:b/>
          <w:i w:val="0"/>
          <w:color w:val="1C1C1E"/>
        </w:rPr>
        <w:t>Strategic imperatives:</w:t>
      </w:r>
    </w:p>
    <w:p>
      <w:pPr>
        <w:spacing w:after="80"/>
        <w:ind w:left="360"/>
      </w:pPr>
      <w:r>
        <w:rPr>
          <w:b/>
          <w:color w:val="6366C0"/>
          <w:sz w:val="21"/>
        </w:rPr>
        <w:t xml:space="preserve">Completeness. </w:t>
      </w:r>
      <w:r>
        <w:rPr>
          <w:color w:val="5C6578"/>
          <w:sz w:val="21"/>
        </w:rPr>
        <w:t>Close the gap between education and resolution. When a Care Plan task says “find a probate attorney,” the product should help — not leave the user on their own.</w:t>
      </w:r>
    </w:p>
    <w:p>
      <w:pPr>
        <w:spacing w:after="80"/>
        <w:ind w:left="360"/>
      </w:pPr>
      <w:r>
        <w:rPr>
          <w:b/>
          <w:color w:val="6366C0"/>
          <w:sz w:val="21"/>
        </w:rPr>
        <w:t xml:space="preserve">Trust. </w:t>
      </w:r>
      <w:r>
        <w:rPr>
          <w:color w:val="5C6578"/>
          <w:sz w:val="21"/>
        </w:rPr>
        <w:t>Every provider interaction must pass the 2am test. If a grieving person at their lowest moment encounters a provider card, it should feel like a hand on their shoulder — not a sales pitch.</w:t>
      </w:r>
    </w:p>
    <w:p>
      <w:pPr>
        <w:spacing w:after="80"/>
        <w:ind w:left="360"/>
      </w:pPr>
      <w:r>
        <w:rPr>
          <w:b/>
          <w:color w:val="6366C0"/>
          <w:sz w:val="21"/>
        </w:rPr>
        <w:t xml:space="preserve">Defensibility. </w:t>
      </w:r>
      <w:r>
        <w:rPr>
          <w:color w:val="5C6578"/>
          <w:sz w:val="21"/>
        </w:rPr>
        <w:t>Context-aware matching, embedded workflows, and cross-feature intelligence create a moat that directories cannot replicate.</w:t>
      </w:r>
    </w:p>
    <w:p>
      <w:pPr>
        <w:spacing w:after="80"/>
        <w:ind w:left="360"/>
      </w:pPr>
      <w:r>
        <w:rPr>
          <w:b/>
          <w:color w:val="6366C0"/>
          <w:sz w:val="21"/>
        </w:rPr>
        <w:t xml:space="preserve">Revenue. </w:t>
      </w:r>
      <w:r>
        <w:rPr>
          <w:color w:val="5C6578"/>
          <w:sz w:val="21"/>
        </w:rPr>
        <w:t>Build a high-trust, curated marketplace that can monetize across listing, referral, premium placement, partnerships, and enterprise channels.</w:t>
      </w:r>
    </w:p>
    <w:p>
      <w:pPr>
        <w:spacing w:before="240" w:after="240"/>
        <w:pBdr>
          <w:bottom w:val="single" w:sz="4" w:space="1" w:color="E8E0FA"/>
        </w:pBdr>
      </w:pPr>
    </w:p>
    <w:p>
      <w:pPr>
        <w:pStyle w:val="Heading1"/>
      </w:pPr>
      <w:r>
        <w:t>2. What the Marketplace Is</w:t>
      </w:r>
    </w:p>
    <w:p>
      <w:r>
        <w:rPr>
          <w:b w:val="0"/>
          <w:i w:val="0"/>
        </w:rPr>
        <w:t>The marketplace is a guided support network inside LightPath, surfaced through Find Care and embedded into relevant Care Plan tasks. It helps users discover and connect with trusted people and organizations across the emotional, legal, financial, logistical, and memorial dimensions of loss.</w:t>
      </w:r>
    </w:p>
    <w:p>
      <w:pPr>
        <w:pStyle w:val="Heading3"/>
      </w:pPr>
      <w:r>
        <w:t>What it includes</w:t>
      </w:r>
    </w:p>
    <w:p>
      <w:pPr>
        <w:pStyle w:val="ListBullet"/>
        <w:spacing w:after="60"/>
        <w:ind w:left="360"/>
      </w:pPr>
      <w:r>
        <w:t>Grief therapists, counselors, and support groups</w:t>
      </w:r>
    </w:p>
    <w:p>
      <w:pPr>
        <w:pStyle w:val="ListBullet"/>
        <w:spacing w:after="60"/>
        <w:ind w:left="360"/>
      </w:pPr>
      <w:r>
        <w:t>Probate and estate attorneys, tax and financial advisors</w:t>
      </w:r>
    </w:p>
    <w:p>
      <w:pPr>
        <w:pStyle w:val="ListBullet"/>
        <w:spacing w:after="60"/>
        <w:ind w:left="360"/>
      </w:pPr>
      <w:r>
        <w:t>Funeral homes, memorial services, and after-loss logistics</w:t>
      </w:r>
    </w:p>
    <w:p>
      <w:pPr>
        <w:pStyle w:val="ListBullet"/>
        <w:spacing w:after="60"/>
        <w:ind w:left="360"/>
      </w:pPr>
      <w:r>
        <w:t>Community organizations and nonprofit resources</w:t>
      </w:r>
    </w:p>
    <w:p>
      <w:pPr>
        <w:pStyle w:val="ListBullet"/>
        <w:spacing w:after="60"/>
        <w:ind w:left="360"/>
      </w:pPr>
      <w:r>
        <w:t>Selected complementary modalities — curated with care and clear labeling</w:t>
      </w:r>
    </w:p>
    <w:p>
      <w:pPr>
        <w:pStyle w:val="Heading3"/>
      </w:pPr>
      <w:r>
        <w:t>What it is not</w:t>
      </w:r>
    </w:p>
    <w:p>
      <w:pPr>
        <w:pStyle w:val="ListBullet"/>
        <w:spacing w:after="60"/>
        <w:ind w:left="360"/>
      </w:pPr>
      <w:r>
        <w:t>Not an open marketplace with uncontrolled listings or noisy search results</w:t>
      </w:r>
    </w:p>
    <w:p>
      <w:pPr>
        <w:pStyle w:val="ListBullet"/>
        <w:spacing w:after="60"/>
        <w:ind w:left="360"/>
      </w:pPr>
      <w:r>
        <w:t>Not a generic lead platform optimized for provider acquisition volume</w:t>
      </w:r>
    </w:p>
    <w:p>
      <w:pPr>
        <w:pStyle w:val="ListBullet"/>
        <w:spacing w:after="60"/>
        <w:ind w:left="360"/>
      </w:pPr>
      <w:r>
        <w:t>Not a replacement for clinical care, legal advice, or crisis intervention</w:t>
      </w:r>
    </w:p>
    <w:p>
      <w:pPr>
        <w:pStyle w:val="ListBullet"/>
        <w:spacing w:after="60"/>
        <w:ind w:left="360"/>
      </w:pPr>
      <w:r>
        <w:t>Not a passive directory where users must do all the work of evaluation and outreach</w:t>
      </w:r>
    </w:p>
    <w:p>
      <w:pPr>
        <w:spacing w:before="160" w:after="160"/>
        <w:ind w:left="432" w:right="432"/>
        <w:shd w:fill="E8E0FA" w:val="clear"/>
      </w:pPr>
      <w:r>
        <w:rPr>
          <w:i/>
          <w:color w:val="1C1C1E"/>
          <w:sz w:val="20"/>
        </w:rPr>
        <w:t>The distinction matters. A directory says “here are some names.” A care-navigation layer says “here is the kind of help that fits this moment, here is why, here’s what to ask, and here’s how to take that step.”</w:t>
      </w:r>
    </w:p>
    <w:p>
      <w:pPr>
        <w:spacing w:before="240" w:after="240"/>
        <w:pBdr>
          <w:bottom w:val="single" w:sz="4" w:space="1" w:color="E8E0FA"/>
        </w:pBdr>
      </w:pPr>
    </w:p>
    <w:p>
      <w:pPr>
        <w:pStyle w:val="Heading1"/>
      </w:pPr>
      <w:r>
        <w:t>3. Strategic Importance</w:t>
      </w:r>
    </w:p>
    <w:p>
      <w:r>
        <w:rPr>
          <w:b w:val="0"/>
          <w:i w:val="0"/>
        </w:rPr>
        <w:t>The marketplace is not a feature. It is the bridge between support and resolution — the moment where LightPath becomes indispensable rather than merely helpful.</w:t>
      </w:r>
    </w:p>
    <w:tbl>
      <w:tblPr>
        <w:tblStyle w:val="TableGrid"/>
        <w:tblW w:type="auto" w:w="0"/>
        <w:jc w:val="center"/>
        <w:tblLook w:firstColumn="1" w:firstRow="1" w:lastColumn="0" w:lastRow="0" w:noHBand="0" w:noVBand="1" w:val="04A0"/>
      </w:tblPr>
      <w:tblGrid>
        <w:gridCol w:w="4680"/>
        <w:gridCol w:w="4680"/>
      </w:tblGrid>
      <w:tr>
        <w:tc>
          <w:tcPr>
            <w:tcW w:type="dxa" w:w="2592"/>
            <w:shd w:fill="6366C0" w:val="clear"/>
          </w:tcPr>
          <w:p>
            <w:r/>
            <w:r>
              <w:rPr>
                <w:rFonts w:ascii="Arial" w:hAnsi="Arial"/>
                <w:b/>
                <w:color w:val="FFFFFF"/>
                <w:sz w:val="19"/>
              </w:rPr>
              <w:t>Strategic Dimension</w:t>
            </w:r>
          </w:p>
        </w:tc>
        <w:tc>
          <w:tcPr>
            <w:tcW w:type="dxa" w:w="6768"/>
            <w:shd w:fill="6366C0" w:val="clear"/>
          </w:tcPr>
          <w:p>
            <w:r/>
            <w:r>
              <w:rPr>
                <w:rFonts w:ascii="Arial" w:hAnsi="Arial"/>
                <w:b/>
                <w:color w:val="FFFFFF"/>
                <w:sz w:val="19"/>
              </w:rPr>
              <w:t>Why It Matters</w:t>
            </w:r>
          </w:p>
        </w:tc>
      </w:tr>
      <w:tr>
        <w:tc>
          <w:tcPr>
            <w:tcW w:type="dxa" w:w="2592"/>
          </w:tcPr>
          <w:p>
            <w:r/>
            <w:r>
              <w:rPr>
                <w:rFonts w:ascii="Arial" w:hAnsi="Arial"/>
                <w:color w:val="5C6578"/>
                <w:sz w:val="19"/>
              </w:rPr>
              <w:t>User value</w:t>
            </w:r>
          </w:p>
        </w:tc>
        <w:tc>
          <w:tcPr>
            <w:tcW w:type="dxa" w:w="6768"/>
          </w:tcPr>
          <w:p>
            <w:r/>
            <w:r>
              <w:rPr>
                <w:rFonts w:ascii="Arial" w:hAnsi="Arial"/>
                <w:color w:val="5C6578"/>
                <w:sz w:val="19"/>
              </w:rPr>
              <w:t>Users rarely know what kind of help they need, who to trust, or what steps to take. Guided discovery reduces uncertainty and helps them act at the moment they’re most vulnerable.</w:t>
            </w:r>
          </w:p>
        </w:tc>
      </w:tr>
      <w:tr>
        <w:tc>
          <w:tcPr>
            <w:tcW w:type="dxa" w:w="2592"/>
          </w:tcPr>
          <w:p>
            <w:r/>
            <w:r>
              <w:rPr>
                <w:rFonts w:ascii="Arial" w:hAnsi="Arial"/>
                <w:color w:val="5C6578"/>
                <w:sz w:val="19"/>
              </w:rPr>
              <w:t>Product completeness</w:t>
            </w:r>
          </w:p>
        </w:tc>
        <w:tc>
          <w:tcPr>
            <w:tcW w:type="dxa" w:w="6768"/>
          </w:tcPr>
          <w:p>
            <w:r/>
            <w:r>
              <w:rPr>
                <w:rFonts w:ascii="Arial" w:hAnsi="Arial"/>
                <w:color w:val="5C6578"/>
                <w:sz w:val="19"/>
              </w:rPr>
              <w:t>Find Care closes the final gap. Without it, the product educates and supports but stops short of resolution. With it, LightPath becomes end-to-end.</w:t>
            </w:r>
          </w:p>
        </w:tc>
      </w:tr>
      <w:tr>
        <w:tc>
          <w:tcPr>
            <w:tcW w:type="dxa" w:w="2592"/>
          </w:tcPr>
          <w:p>
            <w:r/>
            <w:r>
              <w:rPr>
                <w:rFonts w:ascii="Arial" w:hAnsi="Arial"/>
                <w:color w:val="5C6578"/>
                <w:sz w:val="19"/>
              </w:rPr>
              <w:t>Retention</w:t>
            </w:r>
          </w:p>
        </w:tc>
        <w:tc>
          <w:tcPr>
            <w:tcW w:type="dxa" w:w="6768"/>
          </w:tcPr>
          <w:p>
            <w:r/>
            <w:r>
              <w:rPr>
                <w:rFonts w:ascii="Arial" w:hAnsi="Arial"/>
                <w:color w:val="5C6578"/>
                <w:sz w:val="19"/>
              </w:rPr>
              <w:t>When the right provider appears at the right moment — inside a Care Plan task, after a LightKeeper conversation — the product earns long-term loyalty.</w:t>
            </w:r>
          </w:p>
        </w:tc>
      </w:tr>
      <w:tr>
        <w:tc>
          <w:tcPr>
            <w:tcW w:type="dxa" w:w="2592"/>
          </w:tcPr>
          <w:p>
            <w:r/>
            <w:r>
              <w:rPr>
                <w:rFonts w:ascii="Arial" w:hAnsi="Arial"/>
                <w:color w:val="5C6578"/>
                <w:sz w:val="19"/>
              </w:rPr>
              <w:t>Differentiation</w:t>
            </w:r>
          </w:p>
        </w:tc>
        <w:tc>
          <w:tcPr>
            <w:tcW w:type="dxa" w:w="6768"/>
          </w:tcPr>
          <w:p>
            <w:r/>
            <w:r>
              <w:rPr>
                <w:rFonts w:ascii="Arial" w:hAnsi="Arial"/>
                <w:color w:val="5C6578"/>
                <w:sz w:val="19"/>
              </w:rPr>
              <w:t>Most grief products stop at content, companionship, or task management. LightPath becomes the only platform that bridges emotional support to real-world action.</w:t>
            </w:r>
          </w:p>
        </w:tc>
      </w:tr>
      <w:tr>
        <w:tc>
          <w:tcPr>
            <w:tcW w:type="dxa" w:w="2592"/>
          </w:tcPr>
          <w:p>
            <w:r/>
            <w:r>
              <w:rPr>
                <w:rFonts w:ascii="Arial" w:hAnsi="Arial"/>
                <w:color w:val="5C6578"/>
                <w:sz w:val="19"/>
              </w:rPr>
              <w:t>Revenue</w:t>
            </w:r>
          </w:p>
        </w:tc>
        <w:tc>
          <w:tcPr>
            <w:tcW w:type="dxa" w:w="6768"/>
          </w:tcPr>
          <w:p>
            <w:r/>
            <w:r>
              <w:rPr>
                <w:rFonts w:ascii="Arial" w:hAnsi="Arial"/>
                <w:color w:val="5C6578"/>
                <w:sz w:val="19"/>
              </w:rPr>
              <w:t>Marketplace economics create monetization beyond subscriptions — listing fees, referral revenue, premium placement, and enterprise partnerships.</w:t>
            </w:r>
          </w:p>
        </w:tc>
      </w:tr>
      <w:tr>
        <w:tc>
          <w:tcPr>
            <w:tcW w:type="dxa" w:w="2592"/>
          </w:tcPr>
          <w:p>
            <w:r/>
            <w:r>
              <w:rPr>
                <w:rFonts w:ascii="Arial" w:hAnsi="Arial"/>
                <w:color w:val="5C6578"/>
                <w:sz w:val="19"/>
              </w:rPr>
              <w:t>Data intelligence</w:t>
            </w:r>
          </w:p>
        </w:tc>
        <w:tc>
          <w:tcPr>
            <w:tcW w:type="dxa" w:w="6768"/>
          </w:tcPr>
          <w:p>
            <w:r/>
            <w:r>
              <w:rPr>
                <w:rFonts w:ascii="Arial" w:hAnsi="Arial"/>
                <w:color w:val="5C6578"/>
                <w:sz w:val="19"/>
              </w:rPr>
              <w:t>Over time, LightPath learns which provider types, modalities, and interventions help which users in which moments — creating a defensible intelligence layer.</w:t>
            </w:r>
          </w:p>
        </w:tc>
      </w:tr>
    </w:tbl>
    <w:p/>
    <w:p>
      <w:pPr>
        <w:spacing w:before="240" w:after="240"/>
        <w:pBdr>
          <w:bottom w:val="single" w:sz="4" w:space="1" w:color="E8E0FA"/>
        </w:pBdr>
      </w:pPr>
    </w:p>
    <w:p>
      <w:pPr>
        <w:pStyle w:val="Heading1"/>
      </w:pPr>
      <w:r>
        <w:t>4. Competitive Differentiation</w:t>
      </w:r>
    </w:p>
    <w:p>
      <w:r>
        <w:rPr>
          <w:b w:val="0"/>
          <w:i w:val="0"/>
        </w:rPr>
        <w:t>LightPath should learn from adjacent platforms but build something fundamentally different. The comparison is not feature-for-feature — it’s about the nature of the experience.</w:t>
      </w:r>
    </w:p>
    <w:p>
      <w:pPr>
        <w:pStyle w:val="Heading3"/>
      </w:pPr>
      <w:r>
        <w:t>What others do well</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6366C0" w:val="clear"/>
          </w:tcPr>
          <w:p>
            <w:r/>
            <w:r>
              <w:rPr>
                <w:rFonts w:ascii="Arial" w:hAnsi="Arial"/>
                <w:b/>
                <w:color w:val="FFFFFF"/>
                <w:sz w:val="19"/>
              </w:rPr>
              <w:t>Platform</w:t>
            </w:r>
          </w:p>
        </w:tc>
        <w:tc>
          <w:tcPr>
            <w:tcW w:type="dxa" w:w="2304"/>
            <w:shd w:fill="6366C0" w:val="clear"/>
          </w:tcPr>
          <w:p>
            <w:r/>
            <w:r>
              <w:rPr>
                <w:rFonts w:ascii="Arial" w:hAnsi="Arial"/>
                <w:b/>
                <w:color w:val="FFFFFF"/>
                <w:sz w:val="19"/>
              </w:rPr>
              <w:t>Strength</w:t>
            </w:r>
          </w:p>
        </w:tc>
        <w:tc>
          <w:tcPr>
            <w:tcW w:type="dxa" w:w="5184"/>
            <w:shd w:fill="6366C0" w:val="clear"/>
          </w:tcPr>
          <w:p>
            <w:r/>
            <w:r>
              <w:rPr>
                <w:rFonts w:ascii="Arial" w:hAnsi="Arial"/>
                <w:b/>
                <w:color w:val="FFFFFF"/>
                <w:sz w:val="19"/>
              </w:rPr>
              <w:t>What LightPath Should Learn</w:t>
            </w:r>
          </w:p>
        </w:tc>
      </w:tr>
      <w:tr>
        <w:tc>
          <w:tcPr>
            <w:tcW w:type="dxa" w:w="1872"/>
          </w:tcPr>
          <w:p>
            <w:r/>
            <w:r>
              <w:rPr>
                <w:rFonts w:ascii="Arial" w:hAnsi="Arial"/>
                <w:color w:val="5C6578"/>
                <w:sz w:val="19"/>
              </w:rPr>
              <w:t>Empathy</w:t>
            </w:r>
          </w:p>
        </w:tc>
        <w:tc>
          <w:tcPr>
            <w:tcW w:type="dxa" w:w="2304"/>
          </w:tcPr>
          <w:p>
            <w:r/>
            <w:r>
              <w:rPr>
                <w:rFonts w:ascii="Arial" w:hAnsi="Arial"/>
                <w:color w:val="5C6578"/>
                <w:sz w:val="19"/>
              </w:rPr>
              <w:t>All-in-one loss support</w:t>
            </w:r>
          </w:p>
        </w:tc>
        <w:tc>
          <w:tcPr>
            <w:tcW w:type="dxa" w:w="5184"/>
          </w:tcPr>
          <w:p>
            <w:r/>
            <w:r>
              <w:rPr>
                <w:rFonts w:ascii="Arial" w:hAnsi="Arial"/>
                <w:color w:val="5C6578"/>
                <w:sz w:val="19"/>
              </w:rPr>
              <w:t>Institutional trust and partner distribution through employers and financial institutions</w:t>
            </w:r>
          </w:p>
        </w:tc>
      </w:tr>
      <w:tr>
        <w:tc>
          <w:tcPr>
            <w:tcW w:type="dxa" w:w="1872"/>
          </w:tcPr>
          <w:p>
            <w:r/>
            <w:r>
              <w:rPr>
                <w:rFonts w:ascii="Arial" w:hAnsi="Arial"/>
                <w:color w:val="5C6578"/>
                <w:sz w:val="19"/>
              </w:rPr>
              <w:t>Psychology Today</w:t>
            </w:r>
          </w:p>
        </w:tc>
        <w:tc>
          <w:tcPr>
            <w:tcW w:type="dxa" w:w="2304"/>
          </w:tcPr>
          <w:p>
            <w:r/>
            <w:r>
              <w:rPr>
                <w:rFonts w:ascii="Arial" w:hAnsi="Arial"/>
                <w:color w:val="5C6578"/>
                <w:sz w:val="19"/>
              </w:rPr>
              <w:t>Provider directory</w:t>
            </w:r>
          </w:p>
        </w:tc>
        <w:tc>
          <w:tcPr>
            <w:tcW w:type="dxa" w:w="5184"/>
          </w:tcPr>
          <w:p>
            <w:r/>
            <w:r>
              <w:rPr>
                <w:rFonts w:ascii="Arial" w:hAnsi="Arial"/>
                <w:color w:val="5C6578"/>
                <w:sz w:val="19"/>
              </w:rPr>
              <w:t>Rich provider-controlled profiles with strong trust signals; fixed monthly listing fees</w:t>
            </w:r>
          </w:p>
        </w:tc>
      </w:tr>
      <w:tr>
        <w:tc>
          <w:tcPr>
            <w:tcW w:type="dxa" w:w="1872"/>
          </w:tcPr>
          <w:p>
            <w:r/>
            <w:r>
              <w:rPr>
                <w:rFonts w:ascii="Arial" w:hAnsi="Arial"/>
                <w:color w:val="5C6578"/>
                <w:sz w:val="19"/>
              </w:rPr>
              <w:t>Headway</w:t>
            </w:r>
          </w:p>
        </w:tc>
        <w:tc>
          <w:tcPr>
            <w:tcW w:type="dxa" w:w="2304"/>
          </w:tcPr>
          <w:p>
            <w:r/>
            <w:r>
              <w:rPr>
                <w:rFonts w:ascii="Arial" w:hAnsi="Arial"/>
                <w:color w:val="5C6578"/>
                <w:sz w:val="19"/>
              </w:rPr>
              <w:t>Provider onboarding</w:t>
            </w:r>
          </w:p>
        </w:tc>
        <w:tc>
          <w:tcPr>
            <w:tcW w:type="dxa" w:w="5184"/>
          </w:tcPr>
          <w:p>
            <w:r/>
            <w:r>
              <w:rPr>
                <w:rFonts w:ascii="Arial" w:hAnsi="Arial"/>
                <w:color w:val="5C6578"/>
                <w:sz w:val="19"/>
              </w:rPr>
              <w:t>Free provider onboarding reduces barrier to entry; operational support builds loyalty</w:t>
            </w:r>
          </w:p>
        </w:tc>
      </w:tr>
      <w:tr>
        <w:tc>
          <w:tcPr>
            <w:tcW w:type="dxa" w:w="1872"/>
          </w:tcPr>
          <w:p>
            <w:r/>
            <w:r>
              <w:rPr>
                <w:rFonts w:ascii="Arial" w:hAnsi="Arial"/>
                <w:color w:val="5C6578"/>
                <w:sz w:val="19"/>
              </w:rPr>
              <w:t>Zocdoc</w:t>
            </w:r>
          </w:p>
        </w:tc>
        <w:tc>
          <w:tcPr>
            <w:tcW w:type="dxa" w:w="2304"/>
          </w:tcPr>
          <w:p>
            <w:r/>
            <w:r>
              <w:rPr>
                <w:rFonts w:ascii="Arial" w:hAnsi="Arial"/>
                <w:color w:val="5C6578"/>
                <w:sz w:val="19"/>
              </w:rPr>
              <w:t>High-intent discovery</w:t>
            </w:r>
          </w:p>
        </w:tc>
        <w:tc>
          <w:tcPr>
            <w:tcW w:type="dxa" w:w="5184"/>
          </w:tcPr>
          <w:p>
            <w:r/>
            <w:r>
              <w:rPr>
                <w:rFonts w:ascii="Arial" w:hAnsi="Arial"/>
                <w:color w:val="5C6578"/>
                <w:sz w:val="19"/>
              </w:rPr>
              <w:t>Pay-per-booking economics aligned to conversion; strong transactional design</w:t>
            </w:r>
          </w:p>
        </w:tc>
      </w:tr>
      <w:tr>
        <w:tc>
          <w:tcPr>
            <w:tcW w:type="dxa" w:w="1872"/>
          </w:tcPr>
          <w:p>
            <w:r/>
            <w:r>
              <w:rPr>
                <w:rFonts w:ascii="Arial" w:hAnsi="Arial"/>
                <w:color w:val="5C6578"/>
                <w:sz w:val="19"/>
              </w:rPr>
              <w:t>SimplePractice</w:t>
            </w:r>
          </w:p>
        </w:tc>
        <w:tc>
          <w:tcPr>
            <w:tcW w:type="dxa" w:w="2304"/>
          </w:tcPr>
          <w:p>
            <w:r/>
            <w:r>
              <w:rPr>
                <w:rFonts w:ascii="Arial" w:hAnsi="Arial"/>
                <w:color w:val="5C6578"/>
                <w:sz w:val="19"/>
              </w:rPr>
              <w:t>Practice ecosystem</w:t>
            </w:r>
          </w:p>
        </w:tc>
        <w:tc>
          <w:tcPr>
            <w:tcW w:type="dxa" w:w="5184"/>
          </w:tcPr>
          <w:p>
            <w:r/>
            <w:r>
              <w:rPr>
                <w:rFonts w:ascii="Arial" w:hAnsi="Arial"/>
                <w:color w:val="5C6578"/>
                <w:sz w:val="19"/>
              </w:rPr>
              <w:t>Public-facing profiles integrated with practice management create stickiness</w:t>
            </w:r>
          </w:p>
        </w:tc>
      </w:tr>
    </w:tbl>
    <w:p/>
    <w:p>
      <w:pPr>
        <w:pStyle w:val="Heading3"/>
      </w:pPr>
      <w:r>
        <w:t>Where LightPath diverges</w:t>
      </w:r>
    </w:p>
    <w:p>
      <w:r>
        <w:rPr>
          <w:b w:val="0"/>
          <w:i w:val="0"/>
        </w:rPr>
        <w:t>The platforms above share a common limitation: they are context-blind. They don’t know what the user is going through, what task they’re navigating, what emotional state they’re in, or what kind of help would actually fit this moment. LightPath does.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6366C0" w:val="clear"/>
          </w:tcPr>
          <w:p>
            <w:r/>
            <w:r>
              <w:rPr>
                <w:rFonts w:ascii="Arial" w:hAnsi="Arial"/>
                <w:b/>
                <w:color w:val="FFFFFF"/>
                <w:sz w:val="19"/>
              </w:rPr>
              <w:t>Dimension</w:t>
            </w:r>
          </w:p>
        </w:tc>
        <w:tc>
          <w:tcPr>
            <w:tcW w:type="dxa" w:w="3168"/>
            <w:shd w:fill="6366C0" w:val="clear"/>
          </w:tcPr>
          <w:p>
            <w:r/>
            <w:r>
              <w:rPr>
                <w:rFonts w:ascii="Arial" w:hAnsi="Arial"/>
                <w:b/>
                <w:color w:val="FFFFFF"/>
                <w:sz w:val="19"/>
              </w:rPr>
              <w:t>Traditional Directories</w:t>
            </w:r>
          </w:p>
        </w:tc>
        <w:tc>
          <w:tcPr>
            <w:tcW w:type="dxa" w:w="3888"/>
            <w:shd w:fill="6366C0" w:val="clear"/>
          </w:tcPr>
          <w:p>
            <w:r/>
            <w:r>
              <w:rPr>
                <w:rFonts w:ascii="Arial" w:hAnsi="Arial"/>
                <w:b/>
                <w:color w:val="FFFFFF"/>
                <w:sz w:val="19"/>
              </w:rPr>
              <w:t>LightPath Find Care</w:t>
            </w:r>
          </w:p>
        </w:tc>
      </w:tr>
      <w:tr>
        <w:tc>
          <w:tcPr>
            <w:tcW w:type="dxa" w:w="2304"/>
          </w:tcPr>
          <w:p>
            <w:r/>
            <w:r>
              <w:rPr>
                <w:rFonts w:ascii="Arial" w:hAnsi="Arial"/>
                <w:color w:val="5C6578"/>
                <w:sz w:val="19"/>
              </w:rPr>
              <w:t>Discovery model</w:t>
            </w:r>
          </w:p>
        </w:tc>
        <w:tc>
          <w:tcPr>
            <w:tcW w:type="dxa" w:w="3168"/>
          </w:tcPr>
          <w:p>
            <w:r/>
            <w:r>
              <w:rPr>
                <w:rFonts w:ascii="Arial" w:hAnsi="Arial"/>
                <w:color w:val="5C6578"/>
                <w:sz w:val="19"/>
              </w:rPr>
              <w:t>Search-based, user-driven</w:t>
            </w:r>
          </w:p>
        </w:tc>
        <w:tc>
          <w:tcPr>
            <w:tcW w:type="dxa" w:w="3888"/>
          </w:tcPr>
          <w:p>
            <w:r/>
            <w:r>
              <w:rPr>
                <w:rFonts w:ascii="Arial" w:hAnsi="Arial"/>
                <w:color w:val="5C6578"/>
                <w:sz w:val="19"/>
              </w:rPr>
              <w:t>Context-aware, system-guided</w:t>
            </w:r>
          </w:p>
        </w:tc>
      </w:tr>
      <w:tr>
        <w:tc>
          <w:tcPr>
            <w:tcW w:type="dxa" w:w="2304"/>
          </w:tcPr>
          <w:p>
            <w:r/>
            <w:r>
              <w:rPr>
                <w:rFonts w:ascii="Arial" w:hAnsi="Arial"/>
                <w:color w:val="5C6578"/>
                <w:sz w:val="19"/>
              </w:rPr>
              <w:t>User intent signal</w:t>
            </w:r>
          </w:p>
        </w:tc>
        <w:tc>
          <w:tcPr>
            <w:tcW w:type="dxa" w:w="3168"/>
          </w:tcPr>
          <w:p>
            <w:r/>
            <w:r>
              <w:rPr>
                <w:rFonts w:ascii="Arial" w:hAnsi="Arial"/>
                <w:color w:val="5C6578"/>
                <w:sz w:val="19"/>
              </w:rPr>
              <w:t>Generic (user typed a query)</w:t>
            </w:r>
          </w:p>
        </w:tc>
        <w:tc>
          <w:tcPr>
            <w:tcW w:type="dxa" w:w="3888"/>
          </w:tcPr>
          <w:p>
            <w:r/>
            <w:r>
              <w:rPr>
                <w:rFonts w:ascii="Arial" w:hAnsi="Arial"/>
                <w:color w:val="5C6578"/>
                <w:sz w:val="19"/>
              </w:rPr>
              <w:t>Rich (task context, grief stage, emotional state, prior interactions)</w:t>
            </w:r>
          </w:p>
        </w:tc>
      </w:tr>
      <w:tr>
        <w:tc>
          <w:tcPr>
            <w:tcW w:type="dxa" w:w="2304"/>
          </w:tcPr>
          <w:p>
            <w:r/>
            <w:r>
              <w:rPr>
                <w:rFonts w:ascii="Arial" w:hAnsi="Arial"/>
                <w:color w:val="5C6578"/>
                <w:sz w:val="19"/>
              </w:rPr>
              <w:t>Provider presentation</w:t>
            </w:r>
          </w:p>
        </w:tc>
        <w:tc>
          <w:tcPr>
            <w:tcW w:type="dxa" w:w="3168"/>
          </w:tcPr>
          <w:p>
            <w:r/>
            <w:r>
              <w:rPr>
                <w:rFonts w:ascii="Arial" w:hAnsi="Arial"/>
                <w:color w:val="5C6578"/>
                <w:sz w:val="19"/>
              </w:rPr>
              <w:t>Profiles in a list</w:t>
            </w:r>
          </w:p>
        </w:tc>
        <w:tc>
          <w:tcPr>
            <w:tcW w:type="dxa" w:w="3888"/>
          </w:tcPr>
          <w:p>
            <w:r/>
            <w:r>
              <w:rPr>
                <w:rFonts w:ascii="Arial" w:hAnsi="Arial"/>
                <w:color w:val="5C6578"/>
                <w:sz w:val="19"/>
              </w:rPr>
              <w:t>Matched recommendations with reasoning (“why this provider fits your moment”)</w:t>
            </w:r>
          </w:p>
        </w:tc>
      </w:tr>
      <w:tr>
        <w:tc>
          <w:tcPr>
            <w:tcW w:type="dxa" w:w="2304"/>
          </w:tcPr>
          <w:p>
            <w:r/>
            <w:r>
              <w:rPr>
                <w:rFonts w:ascii="Arial" w:hAnsi="Arial"/>
                <w:color w:val="5C6578"/>
                <w:sz w:val="19"/>
              </w:rPr>
              <w:t>Post-match support</w:t>
            </w:r>
          </w:p>
        </w:tc>
        <w:tc>
          <w:tcPr>
            <w:tcW w:type="dxa" w:w="3168"/>
          </w:tcPr>
          <w:p>
            <w:r/>
            <w:r>
              <w:rPr>
                <w:rFonts w:ascii="Arial" w:hAnsi="Arial"/>
                <w:color w:val="5C6578"/>
                <w:sz w:val="19"/>
              </w:rPr>
              <w:t>None (user is on their own)</w:t>
            </w:r>
          </w:p>
        </w:tc>
        <w:tc>
          <w:tcPr>
            <w:tcW w:type="dxa" w:w="3888"/>
          </w:tcPr>
          <w:p>
            <w:r/>
            <w:r>
              <w:rPr>
                <w:rFonts w:ascii="Arial" w:hAnsi="Arial"/>
                <w:color w:val="5C6578"/>
                <w:sz w:val="19"/>
              </w:rPr>
              <w:t>Outreach drafts, question lists, follow-up tracking, supporter delegation</w:t>
            </w:r>
          </w:p>
        </w:tc>
      </w:tr>
      <w:tr>
        <w:tc>
          <w:tcPr>
            <w:tcW w:type="dxa" w:w="2304"/>
          </w:tcPr>
          <w:p>
            <w:r/>
            <w:r>
              <w:rPr>
                <w:rFonts w:ascii="Arial" w:hAnsi="Arial"/>
                <w:color w:val="5C6578"/>
                <w:sz w:val="19"/>
              </w:rPr>
              <w:t>Emotional design</w:t>
            </w:r>
          </w:p>
        </w:tc>
        <w:tc>
          <w:tcPr>
            <w:tcW w:type="dxa" w:w="3168"/>
          </w:tcPr>
          <w:p>
            <w:r/>
            <w:r>
              <w:rPr>
                <w:rFonts w:ascii="Arial" w:hAnsi="Arial"/>
                <w:color w:val="5C6578"/>
                <w:sz w:val="19"/>
              </w:rPr>
              <w:t>Transactional</w:t>
            </w:r>
          </w:p>
        </w:tc>
        <w:tc>
          <w:tcPr>
            <w:tcW w:type="dxa" w:w="3888"/>
          </w:tcPr>
          <w:p>
            <w:r/>
            <w:r>
              <w:rPr>
                <w:rFonts w:ascii="Arial" w:hAnsi="Arial"/>
                <w:color w:val="5C6578"/>
                <w:sz w:val="19"/>
              </w:rPr>
              <w:t>Grief-informed, 2am-tested, designed for vulnerability</w:t>
            </w:r>
          </w:p>
        </w:tc>
      </w:tr>
      <w:tr>
        <w:tc>
          <w:tcPr>
            <w:tcW w:type="dxa" w:w="2304"/>
          </w:tcPr>
          <w:p>
            <w:r/>
            <w:r>
              <w:rPr>
                <w:rFonts w:ascii="Arial" w:hAnsi="Arial"/>
                <w:color w:val="5C6578"/>
                <w:sz w:val="19"/>
              </w:rPr>
              <w:t>Monetization alignment</w:t>
            </w:r>
          </w:p>
        </w:tc>
        <w:tc>
          <w:tcPr>
            <w:tcW w:type="dxa" w:w="3168"/>
          </w:tcPr>
          <w:p>
            <w:r/>
            <w:r>
              <w:rPr>
                <w:rFonts w:ascii="Arial" w:hAnsi="Arial"/>
                <w:color w:val="5C6578"/>
                <w:sz w:val="19"/>
              </w:rPr>
              <w:t>Volume-driven</w:t>
            </w:r>
          </w:p>
        </w:tc>
        <w:tc>
          <w:tcPr>
            <w:tcW w:type="dxa" w:w="3888"/>
          </w:tcPr>
          <w:p>
            <w:r/>
            <w:r>
              <w:rPr>
                <w:rFonts w:ascii="Arial" w:hAnsi="Arial"/>
                <w:color w:val="5C6578"/>
                <w:sz w:val="19"/>
              </w:rPr>
              <w:t>Trust-driven (quality of fit over quantity of leads)</w:t>
            </w:r>
          </w:p>
        </w:tc>
      </w:tr>
    </w:tbl>
    <w:p/>
    <w:p>
      <w:pPr>
        <w:spacing w:before="160" w:after="160"/>
        <w:ind w:left="432" w:right="432"/>
        <w:shd w:fill="E8E0FA" w:val="clear"/>
      </w:pPr>
      <w:r>
        <w:rPr>
          <w:i/>
          <w:color w:val="1C1C1E"/>
          <w:sz w:val="20"/>
        </w:rPr>
        <w:t>LightPath’s competitive moat is not the listing. It’s the context. No directory knows that this user lost their spouse three weeks ago, is navigating probate in California, showed signs of overwhelm in their last LightKeeper conversation, and has a Care Plan task to find an estate attorney. That context changes everything about which providers to show, how to present them, and what to say next.</w:t>
      </w:r>
    </w:p>
    <w:p>
      <w:pPr>
        <w:spacing w:before="240" w:after="240"/>
        <w:pBdr>
          <w:bottom w:val="single" w:sz="4" w:space="1" w:color="E8E0FA"/>
        </w:pBdr>
      </w:pPr>
    </w:p>
    <w:p>
      <w:pPr>
        <w:pStyle w:val="Heading1"/>
      </w:pPr>
      <w:r>
        <w:t>5. Stakeholders and Value Exchange</w:t>
      </w:r>
    </w:p>
    <w:p>
      <w:r>
        <w:rPr>
          <w:b w:val="0"/>
          <w:i w:val="0"/>
        </w:rPr>
        <w:t>Every marketplace depends on value flowing in multiple directions simultaneously. If any stakeholder’s value proposition is weak, the system fails.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fill="6366C0" w:val="clear"/>
          </w:tcPr>
          <w:p>
            <w:r/>
            <w:r>
              <w:rPr>
                <w:rFonts w:ascii="Arial" w:hAnsi="Arial"/>
                <w:b/>
                <w:color w:val="FFFFFF"/>
                <w:sz w:val="19"/>
              </w:rPr>
              <w:t>Stakeholder</w:t>
            </w:r>
          </w:p>
        </w:tc>
        <w:tc>
          <w:tcPr>
            <w:tcW w:type="dxa" w:w="2448"/>
            <w:shd w:fill="6366C0" w:val="clear"/>
          </w:tcPr>
          <w:p>
            <w:r/>
            <w:r>
              <w:rPr>
                <w:rFonts w:ascii="Arial" w:hAnsi="Arial"/>
                <w:b/>
                <w:color w:val="FFFFFF"/>
                <w:sz w:val="19"/>
              </w:rPr>
              <w:t>What They Need</w:t>
            </w:r>
          </w:p>
        </w:tc>
        <w:tc>
          <w:tcPr>
            <w:tcW w:type="dxa" w:w="2880"/>
            <w:shd w:fill="6366C0" w:val="clear"/>
          </w:tcPr>
          <w:p>
            <w:r/>
            <w:r>
              <w:rPr>
                <w:rFonts w:ascii="Arial" w:hAnsi="Arial"/>
                <w:b/>
                <w:color w:val="FFFFFF"/>
                <w:sz w:val="19"/>
              </w:rPr>
              <w:t>What LightPath Provides</w:t>
            </w:r>
          </w:p>
        </w:tc>
        <w:tc>
          <w:tcPr>
            <w:tcW w:type="dxa" w:w="2016"/>
            <w:shd w:fill="6366C0" w:val="clear"/>
          </w:tcPr>
          <w:p>
            <w:r/>
            <w:r>
              <w:rPr>
                <w:rFonts w:ascii="Arial" w:hAnsi="Arial"/>
                <w:b/>
                <w:color w:val="FFFFFF"/>
                <w:sz w:val="19"/>
              </w:rPr>
              <w:t>What LightPath Gets</w:t>
            </w:r>
          </w:p>
        </w:tc>
      </w:tr>
      <w:tr>
        <w:tc>
          <w:tcPr>
            <w:tcW w:type="dxa" w:w="2016"/>
          </w:tcPr>
          <w:p>
            <w:r/>
            <w:r>
              <w:rPr>
                <w:rFonts w:ascii="Arial" w:hAnsi="Arial"/>
                <w:color w:val="5C6578"/>
                <w:sz w:val="19"/>
              </w:rPr>
              <w:t>Primary griever</w:t>
            </w:r>
          </w:p>
        </w:tc>
        <w:tc>
          <w:tcPr>
            <w:tcW w:type="dxa" w:w="2448"/>
          </w:tcPr>
          <w:p>
            <w:r/>
            <w:r>
              <w:rPr>
                <w:rFonts w:ascii="Arial" w:hAnsi="Arial"/>
                <w:color w:val="5C6578"/>
                <w:sz w:val="19"/>
              </w:rPr>
              <w:t>Clarity, trusted support,</w:t>
              <w:br/>
              <w:t>less chaos</w:t>
            </w:r>
          </w:p>
        </w:tc>
        <w:tc>
          <w:tcPr>
            <w:tcW w:type="dxa" w:w="2880"/>
          </w:tcPr>
          <w:p>
            <w:r/>
            <w:r>
              <w:rPr>
                <w:rFonts w:ascii="Arial" w:hAnsi="Arial"/>
                <w:color w:val="5C6578"/>
                <w:sz w:val="19"/>
              </w:rPr>
              <w:t>Matched support, lower-friction</w:t>
              <w:br/>
              <w:t>outreach, embedded guidance</w:t>
            </w:r>
          </w:p>
        </w:tc>
        <w:tc>
          <w:tcPr>
            <w:tcW w:type="dxa" w:w="2016"/>
          </w:tcPr>
          <w:p>
            <w:r/>
            <w:r>
              <w:rPr>
                <w:rFonts w:ascii="Arial" w:hAnsi="Arial"/>
                <w:color w:val="5C6578"/>
                <w:sz w:val="19"/>
              </w:rPr>
              <w:t>Engagement, retention,</w:t>
              <w:br/>
              <w:t>trust, outcome data</w:t>
            </w:r>
          </w:p>
        </w:tc>
      </w:tr>
      <w:tr>
        <w:tc>
          <w:tcPr>
            <w:tcW w:type="dxa" w:w="2016"/>
          </w:tcPr>
          <w:p>
            <w:r/>
            <w:r>
              <w:rPr>
                <w:rFonts w:ascii="Arial" w:hAnsi="Arial"/>
                <w:color w:val="5C6578"/>
                <w:sz w:val="19"/>
              </w:rPr>
              <w:t>Supporter / circle of care</w:t>
            </w:r>
          </w:p>
        </w:tc>
        <w:tc>
          <w:tcPr>
            <w:tcW w:type="dxa" w:w="2448"/>
          </w:tcPr>
          <w:p>
            <w:r/>
            <w:r>
              <w:rPr>
                <w:rFonts w:ascii="Arial" w:hAnsi="Arial"/>
                <w:color w:val="5C6578"/>
                <w:sz w:val="19"/>
              </w:rPr>
              <w:t>Ways to help without</w:t>
              <w:br/>
              <w:t>overstepping</w:t>
            </w:r>
          </w:p>
        </w:tc>
        <w:tc>
          <w:tcPr>
            <w:tcW w:type="dxa" w:w="2880"/>
          </w:tcPr>
          <w:p>
            <w:r/>
            <w:r>
              <w:rPr>
                <w:rFonts w:ascii="Arial" w:hAnsi="Arial"/>
                <w:color w:val="5C6578"/>
                <w:sz w:val="19"/>
              </w:rPr>
              <w:t>Ability to share tasks and</w:t>
              <w:br/>
              <w:t>coordinate provider outreach</w:t>
            </w:r>
          </w:p>
        </w:tc>
        <w:tc>
          <w:tcPr>
            <w:tcW w:type="dxa" w:w="2016"/>
          </w:tcPr>
          <w:p>
            <w:r/>
            <w:r>
              <w:rPr>
                <w:rFonts w:ascii="Arial" w:hAnsi="Arial"/>
                <w:color w:val="5C6578"/>
                <w:sz w:val="19"/>
              </w:rPr>
              <w:t>Network effects,</w:t>
              <w:br/>
              <w:t>collaborative value</w:t>
            </w:r>
          </w:p>
        </w:tc>
      </w:tr>
      <w:tr>
        <w:tc>
          <w:tcPr>
            <w:tcW w:type="dxa" w:w="2016"/>
          </w:tcPr>
          <w:p>
            <w:r/>
            <w:r>
              <w:rPr>
                <w:rFonts w:ascii="Arial" w:hAnsi="Arial"/>
                <w:color w:val="5C6578"/>
                <w:sz w:val="19"/>
              </w:rPr>
              <w:t>Providers</w:t>
            </w:r>
          </w:p>
        </w:tc>
        <w:tc>
          <w:tcPr>
            <w:tcW w:type="dxa" w:w="2448"/>
          </w:tcPr>
          <w:p>
            <w:r/>
            <w:r>
              <w:rPr>
                <w:rFonts w:ascii="Arial" w:hAnsi="Arial"/>
                <w:color w:val="5C6578"/>
                <w:sz w:val="19"/>
              </w:rPr>
              <w:t>Qualified demand, trust,</w:t>
              <w:br/>
              <w:t>better conversion</w:t>
            </w:r>
          </w:p>
        </w:tc>
        <w:tc>
          <w:tcPr>
            <w:tcW w:type="dxa" w:w="2880"/>
          </w:tcPr>
          <w:p>
            <w:r/>
            <w:r>
              <w:rPr>
                <w:rFonts w:ascii="Arial" w:hAnsi="Arial"/>
                <w:color w:val="5C6578"/>
                <w:sz w:val="19"/>
              </w:rPr>
              <w:t>Grief-informed referral</w:t>
              <w:br/>
              <w:t>environment, contextual leads</w:t>
            </w:r>
          </w:p>
        </w:tc>
        <w:tc>
          <w:tcPr>
            <w:tcW w:type="dxa" w:w="2016"/>
          </w:tcPr>
          <w:p>
            <w:r/>
            <w:r>
              <w:rPr>
                <w:rFonts w:ascii="Arial" w:hAnsi="Arial"/>
                <w:color w:val="5C6578"/>
                <w:sz w:val="19"/>
              </w:rPr>
              <w:t>Supply, revenue,</w:t>
              <w:br/>
              <w:t>coverage</w:t>
            </w:r>
          </w:p>
        </w:tc>
      </w:tr>
      <w:tr>
        <w:tc>
          <w:tcPr>
            <w:tcW w:type="dxa" w:w="2016"/>
          </w:tcPr>
          <w:p>
            <w:r/>
            <w:r>
              <w:rPr>
                <w:rFonts w:ascii="Arial" w:hAnsi="Arial"/>
                <w:color w:val="5C6578"/>
                <w:sz w:val="19"/>
              </w:rPr>
              <w:t>Internal operations</w:t>
            </w:r>
          </w:p>
        </w:tc>
        <w:tc>
          <w:tcPr>
            <w:tcW w:type="dxa" w:w="2448"/>
          </w:tcPr>
          <w:p>
            <w:r/>
            <w:r>
              <w:rPr>
                <w:rFonts w:ascii="Arial" w:hAnsi="Arial"/>
                <w:color w:val="5C6578"/>
                <w:sz w:val="19"/>
              </w:rPr>
              <w:t>Control, quality,</w:t>
              <w:br/>
              <w:t>safety</w:t>
            </w:r>
          </w:p>
        </w:tc>
        <w:tc>
          <w:tcPr>
            <w:tcW w:type="dxa" w:w="2880"/>
          </w:tcPr>
          <w:p>
            <w:r/>
            <w:r>
              <w:rPr>
                <w:rFonts w:ascii="Arial" w:hAnsi="Arial"/>
                <w:color w:val="5C6578"/>
                <w:sz w:val="19"/>
              </w:rPr>
              <w:t>Approval workflows, moderation</w:t>
              <w:br/>
              <w:t>tools, analytics</w:t>
            </w:r>
          </w:p>
        </w:tc>
        <w:tc>
          <w:tcPr>
            <w:tcW w:type="dxa" w:w="2016"/>
          </w:tcPr>
          <w:p>
            <w:r/>
            <w:r>
              <w:rPr>
                <w:rFonts w:ascii="Arial" w:hAnsi="Arial"/>
                <w:color w:val="5C6578"/>
                <w:sz w:val="19"/>
              </w:rPr>
              <w:t>Brand protection,</w:t>
              <w:br/>
              <w:t>governance</w:t>
            </w:r>
          </w:p>
        </w:tc>
      </w:tr>
      <w:tr>
        <w:tc>
          <w:tcPr>
            <w:tcW w:type="dxa" w:w="2016"/>
          </w:tcPr>
          <w:p>
            <w:r/>
            <w:r>
              <w:rPr>
                <w:rFonts w:ascii="Arial" w:hAnsi="Arial"/>
                <w:color w:val="5C6578"/>
                <w:sz w:val="19"/>
              </w:rPr>
              <w:t>Enterprise / partners</w:t>
            </w:r>
          </w:p>
        </w:tc>
        <w:tc>
          <w:tcPr>
            <w:tcW w:type="dxa" w:w="2448"/>
          </w:tcPr>
          <w:p>
            <w:r/>
            <w:r>
              <w:rPr>
                <w:rFonts w:ascii="Arial" w:hAnsi="Arial"/>
                <w:color w:val="5C6578"/>
                <w:sz w:val="19"/>
              </w:rPr>
              <w:t>Support for families</w:t>
              <w:br/>
              <w:t>without building it</w:t>
            </w:r>
          </w:p>
        </w:tc>
        <w:tc>
          <w:tcPr>
            <w:tcW w:type="dxa" w:w="2880"/>
          </w:tcPr>
          <w:p>
            <w:r/>
            <w:r>
              <w:rPr>
                <w:rFonts w:ascii="Arial" w:hAnsi="Arial"/>
                <w:color w:val="5C6578"/>
                <w:sz w:val="19"/>
              </w:rPr>
              <w:t>Premium support layer with</w:t>
              <w:br/>
              <w:t>measurable value</w:t>
            </w:r>
          </w:p>
        </w:tc>
        <w:tc>
          <w:tcPr>
            <w:tcW w:type="dxa" w:w="2016"/>
          </w:tcPr>
          <w:p>
            <w:r/>
            <w:r>
              <w:rPr>
                <w:rFonts w:ascii="Arial" w:hAnsi="Arial"/>
                <w:color w:val="5C6578"/>
                <w:sz w:val="19"/>
              </w:rPr>
              <w:t>Distribution,</w:t>
              <w:br/>
              <w:t>revenue channels</w:t>
            </w:r>
          </w:p>
        </w:tc>
      </w:tr>
    </w:tbl>
    <w:p/>
    <w:p>
      <w:pPr>
        <w:spacing w:before="240" w:after="240"/>
        <w:pBdr>
          <w:bottom w:val="single" w:sz="4" w:space="1" w:color="E8E0FA"/>
        </w:pBdr>
      </w:pPr>
    </w:p>
    <w:p>
      <w:pPr>
        <w:pStyle w:val="Heading1"/>
      </w:pPr>
      <w:r>
        <w:t>6. Positioning Strategy</w:t>
      </w:r>
    </w:p>
    <w:p>
      <w:pPr>
        <w:pStyle w:val="Heading2"/>
      </w:pPr>
      <w:r>
        <w:t>User-facing positioning</w:t>
      </w:r>
    </w:p>
    <w:p>
      <w:r>
        <w:rPr>
          <w:b w:val="0"/>
          <w:i w:val="0"/>
        </w:rPr>
        <w:t>The user should never experience Find Care as a marketplace. They should experience it as a calm extension of support — a place where LightPath helps them find the right kind of human help, explains why it may fit, and makes the next move easier.</w:t>
      </w:r>
    </w:p>
    <w:p>
      <w:pPr>
        <w:spacing w:before="120"/>
      </w:pPr>
      <w:r>
        <w:rPr>
          <w:b/>
          <w:i w:val="0"/>
        </w:rPr>
        <w:t>Recommended language:</w:t>
      </w:r>
    </w:p>
    <w:p>
      <w:pPr>
        <w:pStyle w:val="ListBullet"/>
        <w:spacing w:after="60"/>
        <w:ind w:left="360"/>
      </w:pPr>
      <w:r>
        <w:t>“Trusted support when you need it”</w:t>
      </w:r>
    </w:p>
    <w:p>
      <w:pPr>
        <w:pStyle w:val="ListBullet"/>
        <w:spacing w:after="60"/>
        <w:ind w:left="360"/>
      </w:pPr>
      <w:r>
        <w:t>“Find the right kind of help”</w:t>
      </w:r>
    </w:p>
    <w:p>
      <w:pPr>
        <w:pStyle w:val="ListBullet"/>
        <w:spacing w:after="60"/>
        <w:ind w:left="360"/>
      </w:pPr>
      <w:r>
        <w:t>“Care that fits this moment”</w:t>
      </w:r>
    </w:p>
    <w:p>
      <w:pPr>
        <w:pStyle w:val="ListBullet"/>
        <w:spacing w:after="60"/>
        <w:ind w:left="360"/>
      </w:pPr>
      <w:r>
        <w:t>“Professional support, thoughtfully matched”</w:t>
      </w:r>
    </w:p>
    <w:p>
      <w:pPr>
        <w:spacing w:before="120"/>
      </w:pPr>
      <w:r>
        <w:rPr>
          <w:b/>
          <w:i w:val="0"/>
        </w:rPr>
        <w:t>Language to avoid:</w:t>
      </w:r>
    </w:p>
    <w:p>
      <w:pPr>
        <w:pStyle w:val="ListBullet"/>
        <w:spacing w:after="60"/>
        <w:ind w:left="360"/>
      </w:pPr>
      <w:r>
        <w:t>“Marketplace,” “vendor network,” “lead marketplace” in any consumer-facing context</w:t>
      </w:r>
    </w:p>
    <w:p>
      <w:pPr>
        <w:pStyle w:val="ListBullet"/>
        <w:spacing w:after="60"/>
        <w:ind w:left="360"/>
      </w:pPr>
      <w:r>
        <w:t>“Browse providers” (implies shopping), “compare options” (implies a product decision)</w:t>
      </w:r>
    </w:p>
    <w:p>
      <w:pPr>
        <w:pStyle w:val="ListBullet"/>
        <w:spacing w:after="60"/>
        <w:ind w:left="360"/>
      </w:pPr>
      <w:r>
        <w:t>Any urgency language, transactional framing, or promotional tone</w:t>
      </w:r>
    </w:p>
    <w:p>
      <w:pPr>
        <w:pStyle w:val="Heading2"/>
      </w:pPr>
      <w:r>
        <w:t>Provider-facing positioning</w:t>
      </w:r>
    </w:p>
    <w:p>
      <w:r>
        <w:rPr>
          <w:b w:val="0"/>
          <w:i w:val="0"/>
        </w:rPr>
        <w:t>Providers should not be pitched a directory listing. They should be pitched a grief-informed referral environment where trust is the currency, context is the differentiator, and the people who reach them arrive more prepared to engage.</w:t>
      </w:r>
    </w:p>
    <w:p>
      <w:pPr>
        <w:spacing w:before="120"/>
      </w:pPr>
      <w:r>
        <w:rPr>
          <w:b/>
          <w:i w:val="0"/>
        </w:rPr>
        <w:t>Core provider message:</w:t>
      </w:r>
    </w:p>
    <w:p>
      <w:pPr>
        <w:spacing w:before="160" w:after="160"/>
        <w:ind w:left="432" w:right="432"/>
        <w:shd w:fill="E8E0FA" w:val="clear"/>
      </w:pPr>
      <w:r>
        <w:rPr>
          <w:i/>
          <w:color w:val="1C1C1E"/>
          <w:sz w:val="20"/>
        </w:rPr>
        <w:t>LightPath helps the right people reach you at moments when support is genuinely needed — not as random leads, but as individuals whose context, readiness, and needs we already understand.</w:t>
      </w:r>
    </w:p>
    <w:p>
      <w:pPr>
        <w:pStyle w:val="Heading2"/>
      </w:pPr>
      <w:r>
        <w:t>Brand architecture by audience</w:t>
      </w:r>
    </w:p>
    <w:tbl>
      <w:tblPr>
        <w:tblStyle w:val="TableGrid"/>
        <w:tblW w:type="auto" w:w="0"/>
        <w:jc w:val="center"/>
        <w:tblLook w:firstColumn="1" w:firstRow="1" w:lastColumn="0" w:lastRow="0" w:noHBand="0" w:noVBand="1" w:val="04A0"/>
      </w:tblPr>
      <w:tblGrid>
        <w:gridCol w:w="4680"/>
        <w:gridCol w:w="4680"/>
      </w:tblGrid>
      <w:tr>
        <w:tc>
          <w:tcPr>
            <w:tcW w:type="dxa" w:w="2880"/>
            <w:shd w:fill="6366C0" w:val="clear"/>
          </w:tcPr>
          <w:p>
            <w:r/>
            <w:r>
              <w:rPr>
                <w:rFonts w:ascii="Arial" w:hAnsi="Arial"/>
                <w:b/>
                <w:color w:val="FFFFFF"/>
                <w:sz w:val="19"/>
              </w:rPr>
              <w:t>Audience</w:t>
            </w:r>
          </w:p>
        </w:tc>
        <w:tc>
          <w:tcPr>
            <w:tcW w:type="dxa" w:w="6480"/>
            <w:shd w:fill="6366C0" w:val="clear"/>
          </w:tcPr>
          <w:p>
            <w:r/>
            <w:r>
              <w:rPr>
                <w:rFonts w:ascii="Arial" w:hAnsi="Arial"/>
                <w:b/>
                <w:color w:val="FFFFFF"/>
                <w:sz w:val="19"/>
              </w:rPr>
              <w:t>Recommended Frame</w:t>
            </w:r>
          </w:p>
        </w:tc>
      </w:tr>
      <w:tr>
        <w:tc>
          <w:tcPr>
            <w:tcW w:type="dxa" w:w="2880"/>
          </w:tcPr>
          <w:p>
            <w:r/>
            <w:r>
              <w:rPr>
                <w:rFonts w:ascii="Arial" w:hAnsi="Arial"/>
                <w:color w:val="5C6578"/>
                <w:sz w:val="19"/>
              </w:rPr>
              <w:t>Consumers</w:t>
            </w:r>
          </w:p>
        </w:tc>
        <w:tc>
          <w:tcPr>
            <w:tcW w:type="dxa" w:w="6480"/>
          </w:tcPr>
          <w:p>
            <w:r/>
            <w:r>
              <w:rPr>
                <w:rFonts w:ascii="Arial" w:hAnsi="Arial"/>
                <w:color w:val="5C6578"/>
                <w:sz w:val="19"/>
              </w:rPr>
              <w:t>Find Care — trusted support when you need it</w:t>
            </w:r>
          </w:p>
        </w:tc>
      </w:tr>
      <w:tr>
        <w:tc>
          <w:tcPr>
            <w:tcW w:type="dxa" w:w="2880"/>
          </w:tcPr>
          <w:p>
            <w:r/>
            <w:r>
              <w:rPr>
                <w:rFonts w:ascii="Arial" w:hAnsi="Arial"/>
                <w:color w:val="5C6578"/>
                <w:sz w:val="19"/>
              </w:rPr>
              <w:t>Providers</w:t>
            </w:r>
          </w:p>
        </w:tc>
        <w:tc>
          <w:tcPr>
            <w:tcW w:type="dxa" w:w="6480"/>
          </w:tcPr>
          <w:p>
            <w:r/>
            <w:r>
              <w:rPr>
                <w:rFonts w:ascii="Arial" w:hAnsi="Arial"/>
                <w:color w:val="5C6578"/>
                <w:sz w:val="19"/>
              </w:rPr>
              <w:t>LightPath Provider Network — grief-informed referrals</w:t>
            </w:r>
          </w:p>
        </w:tc>
      </w:tr>
      <w:tr>
        <w:tc>
          <w:tcPr>
            <w:tcW w:type="dxa" w:w="2880"/>
          </w:tcPr>
          <w:p>
            <w:r/>
            <w:r>
              <w:rPr>
                <w:rFonts w:ascii="Arial" w:hAnsi="Arial"/>
                <w:color w:val="5C6578"/>
                <w:sz w:val="19"/>
              </w:rPr>
              <w:t>Partners / enterprise</w:t>
            </w:r>
          </w:p>
        </w:tc>
        <w:tc>
          <w:tcPr>
            <w:tcW w:type="dxa" w:w="6480"/>
          </w:tcPr>
          <w:p>
            <w:r/>
            <w:r>
              <w:rPr>
                <w:rFonts w:ascii="Arial" w:hAnsi="Arial"/>
                <w:color w:val="5C6578"/>
                <w:sz w:val="19"/>
              </w:rPr>
              <w:t>Care navigation layer inside the LightPath support system</w:t>
            </w:r>
          </w:p>
        </w:tc>
      </w:tr>
      <w:tr>
        <w:tc>
          <w:tcPr>
            <w:tcW w:type="dxa" w:w="2880"/>
          </w:tcPr>
          <w:p>
            <w:r/>
            <w:r>
              <w:rPr>
                <w:rFonts w:ascii="Arial" w:hAnsi="Arial"/>
                <w:color w:val="5C6578"/>
                <w:sz w:val="19"/>
              </w:rPr>
              <w:t>Investors / advisors</w:t>
            </w:r>
          </w:p>
        </w:tc>
        <w:tc>
          <w:tcPr>
            <w:tcW w:type="dxa" w:w="6480"/>
          </w:tcPr>
          <w:p>
            <w:r/>
            <w:r>
              <w:rPr>
                <w:rFonts w:ascii="Arial" w:hAnsi="Arial"/>
                <w:color w:val="5C6578"/>
                <w:sz w:val="19"/>
              </w:rPr>
              <w:t>A curated grief-support marketplace embedded in a broader intelligence platform</w:t>
            </w:r>
          </w:p>
        </w:tc>
      </w:tr>
    </w:tbl>
    <w:p/>
    <w:p>
      <w:pPr>
        <w:spacing w:before="240" w:after="240"/>
        <w:pBdr>
          <w:bottom w:val="single" w:sz="4" w:space="1" w:color="E8E0FA"/>
        </w:pBdr>
      </w:pPr>
    </w:p>
    <w:p>
      <w:pPr>
        <w:pStyle w:val="Heading1"/>
      </w:pPr>
      <w:r>
        <w:t>7. Provider Value Proposition and Acquisition</w:t>
      </w:r>
    </w:p>
    <w:p>
      <w:pPr>
        <w:pStyle w:val="Heading2"/>
      </w:pPr>
      <w:r>
        <w:t>Understanding provider pain points</w:t>
      </w:r>
    </w:p>
    <w:p>
      <w:r>
        <w:rPr>
          <w:b w:val="0"/>
          <w:i w:val="0"/>
        </w:rPr>
        <w:t>Grief-informed providers are a specific audience with specific frustrations. Most feel invisible in generic directories, emotionally isolated in their practice, and poorly differentiated from generalists. The value proposition must speak to these realities.</w:t>
      </w:r>
    </w:p>
    <w:tbl>
      <w:tblPr>
        <w:tblStyle w:val="TableGrid"/>
        <w:tblW w:type="auto" w:w="0"/>
        <w:jc w:val="center"/>
        <w:tblLook w:firstColumn="1" w:firstRow="1" w:lastColumn="0" w:lastRow="0" w:noHBand="0" w:noVBand="1" w:val="04A0"/>
      </w:tblPr>
      <w:tblGrid>
        <w:gridCol w:w="4680"/>
        <w:gridCol w:w="4680"/>
      </w:tblGrid>
      <w:tr>
        <w:tc>
          <w:tcPr>
            <w:tcW w:type="dxa" w:w="2592"/>
            <w:shd w:fill="6366C0" w:val="clear"/>
          </w:tcPr>
          <w:p>
            <w:r/>
            <w:r>
              <w:rPr>
                <w:rFonts w:ascii="Arial" w:hAnsi="Arial"/>
                <w:b/>
                <w:color w:val="FFFFFF"/>
                <w:sz w:val="19"/>
              </w:rPr>
              <w:t>Pain Point</w:t>
            </w:r>
          </w:p>
        </w:tc>
        <w:tc>
          <w:tcPr>
            <w:tcW w:type="dxa" w:w="6768"/>
            <w:shd w:fill="6366C0" w:val="clear"/>
          </w:tcPr>
          <w:p>
            <w:r/>
            <w:r>
              <w:rPr>
                <w:rFonts w:ascii="Arial" w:hAnsi="Arial"/>
                <w:b/>
                <w:color w:val="FFFFFF"/>
                <w:sz w:val="19"/>
              </w:rPr>
              <w:t>What Providers Experience</w:t>
            </w:r>
          </w:p>
        </w:tc>
      </w:tr>
      <w:tr>
        <w:tc>
          <w:tcPr>
            <w:tcW w:type="dxa" w:w="2592"/>
          </w:tcPr>
          <w:p>
            <w:r/>
            <w:r>
              <w:rPr>
                <w:rFonts w:ascii="Arial" w:hAnsi="Arial"/>
                <w:color w:val="5C6578"/>
                <w:sz w:val="19"/>
              </w:rPr>
              <w:t>Low discovery</w:t>
            </w:r>
          </w:p>
        </w:tc>
        <w:tc>
          <w:tcPr>
            <w:tcW w:type="dxa" w:w="6768"/>
          </w:tcPr>
          <w:p>
            <w:r/>
            <w:r>
              <w:rPr>
                <w:rFonts w:ascii="Arial" w:hAnsi="Arial"/>
                <w:color w:val="5C6578"/>
                <w:sz w:val="19"/>
              </w:rPr>
              <w:t>Grief-focused providers are hard to find. Users search “therapist near me,” not “grief therapist with experience in spousal loss.”</w:t>
            </w:r>
          </w:p>
        </w:tc>
      </w:tr>
      <w:tr>
        <w:tc>
          <w:tcPr>
            <w:tcW w:type="dxa" w:w="2592"/>
          </w:tcPr>
          <w:p>
            <w:r/>
            <w:r>
              <w:rPr>
                <w:rFonts w:ascii="Arial" w:hAnsi="Arial"/>
                <w:color w:val="5C6578"/>
                <w:sz w:val="19"/>
              </w:rPr>
              <w:t>Undifferentiated positioning</w:t>
            </w:r>
          </w:p>
        </w:tc>
        <w:tc>
          <w:tcPr>
            <w:tcW w:type="dxa" w:w="6768"/>
          </w:tcPr>
          <w:p>
            <w:r/>
            <w:r>
              <w:rPr>
                <w:rFonts w:ascii="Arial" w:hAnsi="Arial"/>
                <w:color w:val="5C6578"/>
                <w:sz w:val="19"/>
              </w:rPr>
              <w:t>Provider profiles on generic platforms don’t surface grief-specific experience, modalities, or philosophy.</w:t>
            </w:r>
          </w:p>
        </w:tc>
      </w:tr>
      <w:tr>
        <w:tc>
          <w:tcPr>
            <w:tcW w:type="dxa" w:w="2592"/>
          </w:tcPr>
          <w:p>
            <w:r/>
            <w:r>
              <w:rPr>
                <w:rFonts w:ascii="Arial" w:hAnsi="Arial"/>
                <w:color w:val="5C6578"/>
                <w:sz w:val="19"/>
              </w:rPr>
              <w:t>Unqualified leads</w:t>
            </w:r>
          </w:p>
        </w:tc>
        <w:tc>
          <w:tcPr>
            <w:tcW w:type="dxa" w:w="6768"/>
          </w:tcPr>
          <w:p>
            <w:r/>
            <w:r>
              <w:rPr>
                <w:rFonts w:ascii="Arial" w:hAnsi="Arial"/>
                <w:color w:val="5C6578"/>
                <w:sz w:val="19"/>
              </w:rPr>
              <w:t>Most directory referrals are low-intent. The user clicked a name but hasn’t been guided to the right fit.</w:t>
            </w:r>
          </w:p>
        </w:tc>
      </w:tr>
      <w:tr>
        <w:tc>
          <w:tcPr>
            <w:tcW w:type="dxa" w:w="2592"/>
          </w:tcPr>
          <w:p>
            <w:r/>
            <w:r>
              <w:rPr>
                <w:rFonts w:ascii="Arial" w:hAnsi="Arial"/>
                <w:color w:val="5C6578"/>
                <w:sz w:val="19"/>
              </w:rPr>
              <w:t>Emotional isolation</w:t>
            </w:r>
          </w:p>
        </w:tc>
        <w:tc>
          <w:tcPr>
            <w:tcW w:type="dxa" w:w="6768"/>
          </w:tcPr>
          <w:p>
            <w:r/>
            <w:r>
              <w:rPr>
                <w:rFonts w:ascii="Arial" w:hAnsi="Arial"/>
                <w:color w:val="5C6578"/>
                <w:sz w:val="19"/>
              </w:rPr>
              <w:t>Grief work is heavy. Providers rarely have community, recognition, or platform-level support.</w:t>
            </w:r>
          </w:p>
        </w:tc>
      </w:tr>
      <w:tr>
        <w:tc>
          <w:tcPr>
            <w:tcW w:type="dxa" w:w="2592"/>
          </w:tcPr>
          <w:p>
            <w:r/>
            <w:r>
              <w:rPr>
                <w:rFonts w:ascii="Arial" w:hAnsi="Arial"/>
                <w:color w:val="5C6578"/>
                <w:sz w:val="19"/>
              </w:rPr>
              <w:t>Administrative burden</w:t>
            </w:r>
          </w:p>
        </w:tc>
        <w:tc>
          <w:tcPr>
            <w:tcW w:type="dxa" w:w="6768"/>
          </w:tcPr>
          <w:p>
            <w:r/>
            <w:r>
              <w:rPr>
                <w:rFonts w:ascii="Arial" w:hAnsi="Arial"/>
                <w:color w:val="5C6578"/>
                <w:sz w:val="19"/>
              </w:rPr>
              <w:t>Profile management, intake coordination, and follow-up tracking are friction-heavy and manual.</w:t>
            </w:r>
          </w:p>
        </w:tc>
      </w:tr>
    </w:tbl>
    <w:p/>
    <w:p>
      <w:pPr>
        <w:pStyle w:val="Heading2"/>
      </w:pPr>
      <w:r>
        <w:t>LightPath’s provider promise</w:t>
      </w:r>
    </w:p>
    <w:p>
      <w:r>
        <w:rPr>
          <w:b w:val="0"/>
          <w:i w:val="0"/>
        </w:rPr>
        <w:t>LightPath’s provider value proposition is not “more leads.” It’s better-fit connections in a brand environment designed for grief.</w:t>
      </w:r>
    </w:p>
    <w:p>
      <w:pPr>
        <w:spacing w:after="80"/>
        <w:ind w:left="360"/>
      </w:pPr>
      <w:r>
        <w:rPr>
          <w:b/>
          <w:color w:val="6366C0"/>
          <w:sz w:val="21"/>
        </w:rPr>
        <w:t xml:space="preserve">Contextual referrals. </w:t>
      </w:r>
      <w:r>
        <w:rPr>
          <w:color w:val="5C6578"/>
          <w:sz w:val="21"/>
        </w:rPr>
        <w:t>Users arrive having been guided through their Care Plan. They understand what kind of help they need and why. This means higher-quality first conversations and better conversion.</w:t>
      </w:r>
    </w:p>
    <w:p>
      <w:pPr>
        <w:spacing w:after="80"/>
        <w:ind w:left="360"/>
      </w:pPr>
      <w:r>
        <w:rPr>
          <w:b/>
          <w:color w:val="6366C0"/>
          <w:sz w:val="21"/>
        </w:rPr>
        <w:t xml:space="preserve">Grief-informed presentation. </w:t>
      </w:r>
      <w:r>
        <w:rPr>
          <w:color w:val="5C6578"/>
          <w:sz w:val="21"/>
        </w:rPr>
        <w:t>Provider profiles highlight grief-specific experience, modalities, languages, cultural sensitivity, and philosophy — not just credentials and availability.</w:t>
      </w:r>
    </w:p>
    <w:p>
      <w:pPr>
        <w:spacing w:after="80"/>
        <w:ind w:left="360"/>
      </w:pPr>
      <w:r>
        <w:rPr>
          <w:b/>
          <w:color w:val="6366C0"/>
          <w:sz w:val="21"/>
        </w:rPr>
        <w:t xml:space="preserve">Brand alignment. </w:t>
      </w:r>
      <w:r>
        <w:rPr>
          <w:color w:val="5C6578"/>
          <w:sz w:val="21"/>
        </w:rPr>
        <w:t>Providers are associated with a trusted, emotionally intelligent platform — not a commodity directory.</w:t>
      </w:r>
    </w:p>
    <w:p>
      <w:pPr>
        <w:spacing w:after="80"/>
        <w:ind w:left="360"/>
      </w:pPr>
      <w:r>
        <w:rPr>
          <w:b/>
          <w:color w:val="6366C0"/>
          <w:sz w:val="21"/>
        </w:rPr>
        <w:t xml:space="preserve">Workflow support. </w:t>
      </w:r>
      <w:r>
        <w:rPr>
          <w:color w:val="5C6578"/>
          <w:sz w:val="21"/>
        </w:rPr>
        <w:t>Over time: intake coordination, outreach templates, scheduling integration, and analytics on referral quality.</w:t>
      </w:r>
    </w:p>
    <w:p>
      <w:pPr>
        <w:spacing w:after="80"/>
        <w:ind w:left="360"/>
      </w:pPr>
      <w:r>
        <w:rPr>
          <w:b/>
          <w:color w:val="6366C0"/>
          <w:sz w:val="21"/>
        </w:rPr>
        <w:t xml:space="preserve">Community. </w:t>
      </w:r>
      <w:r>
        <w:rPr>
          <w:color w:val="5C6578"/>
          <w:sz w:val="21"/>
        </w:rPr>
        <w:t>Founding providers shape the network’s design and become part of a grief-support community, not just a database.</w:t>
      </w:r>
    </w:p>
    <w:p>
      <w:pPr>
        <w:pStyle w:val="Heading2"/>
      </w:pPr>
      <w:r>
        <w:t>Acquisition sequence</w:t>
      </w:r>
    </w:p>
    <w:p>
      <w:r>
        <w:rPr>
          <w:b w:val="0"/>
          <w:i w:val="0"/>
        </w:rPr>
        <w:t>Start narrow and curated. Launch with providers most aligned to the moments the product can already identify well.</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6366C0" w:val="clear"/>
          </w:tcPr>
          <w:p>
            <w:r/>
            <w:r>
              <w:rPr>
                <w:rFonts w:ascii="Arial" w:hAnsi="Arial"/>
                <w:b/>
                <w:color w:val="FFFFFF"/>
                <w:sz w:val="19"/>
              </w:rPr>
              <w:t>Phase</w:t>
            </w:r>
          </w:p>
        </w:tc>
        <w:tc>
          <w:tcPr>
            <w:tcW w:type="dxa" w:w="4032"/>
            <w:shd w:fill="6366C0" w:val="clear"/>
          </w:tcPr>
          <w:p>
            <w:r/>
            <w:r>
              <w:rPr>
                <w:rFonts w:ascii="Arial" w:hAnsi="Arial"/>
                <w:b/>
                <w:color w:val="FFFFFF"/>
                <w:sz w:val="19"/>
              </w:rPr>
              <w:t>Provider Categories</w:t>
            </w:r>
          </w:p>
        </w:tc>
        <w:tc>
          <w:tcPr>
            <w:tcW w:type="dxa" w:w="3888"/>
            <w:shd w:fill="6366C0" w:val="clear"/>
          </w:tcPr>
          <w:p>
            <w:r/>
            <w:r>
              <w:rPr>
                <w:rFonts w:ascii="Arial" w:hAnsi="Arial"/>
                <w:b/>
                <w:color w:val="FFFFFF"/>
                <w:sz w:val="19"/>
              </w:rPr>
              <w:t>Strategic Rationale</w:t>
            </w:r>
          </w:p>
        </w:tc>
      </w:tr>
      <w:tr>
        <w:tc>
          <w:tcPr>
            <w:tcW w:type="dxa" w:w="1440"/>
          </w:tcPr>
          <w:p>
            <w:r/>
            <w:r>
              <w:rPr>
                <w:rFonts w:ascii="Arial" w:hAnsi="Arial"/>
                <w:color w:val="5C6578"/>
                <w:sz w:val="19"/>
              </w:rPr>
              <w:t>Wave 1</w:t>
            </w:r>
          </w:p>
        </w:tc>
        <w:tc>
          <w:tcPr>
            <w:tcW w:type="dxa" w:w="4032"/>
          </w:tcPr>
          <w:p>
            <w:r/>
            <w:r>
              <w:rPr>
                <w:rFonts w:ascii="Arial" w:hAnsi="Arial"/>
                <w:color w:val="5C6578"/>
                <w:sz w:val="19"/>
              </w:rPr>
              <w:t>Grief therapists, estate/probate attorneys, funeral providers</w:t>
            </w:r>
          </w:p>
        </w:tc>
        <w:tc>
          <w:tcPr>
            <w:tcW w:type="dxa" w:w="3888"/>
          </w:tcPr>
          <w:p>
            <w:r/>
            <w:r>
              <w:rPr>
                <w:rFonts w:ascii="Arial" w:hAnsi="Arial"/>
                <w:color w:val="5C6578"/>
                <w:sz w:val="19"/>
              </w:rPr>
              <w:t>Highest clarity and relevance. Direct alignment with active Care Plan tasks.</w:t>
            </w:r>
          </w:p>
        </w:tc>
      </w:tr>
      <w:tr>
        <w:tc>
          <w:tcPr>
            <w:tcW w:type="dxa" w:w="1440"/>
          </w:tcPr>
          <w:p>
            <w:r/>
            <w:r>
              <w:rPr>
                <w:rFonts w:ascii="Arial" w:hAnsi="Arial"/>
                <w:color w:val="5C6578"/>
                <w:sz w:val="19"/>
              </w:rPr>
              <w:t>Wave 2</w:t>
            </w:r>
          </w:p>
        </w:tc>
        <w:tc>
          <w:tcPr>
            <w:tcW w:type="dxa" w:w="4032"/>
          </w:tcPr>
          <w:p>
            <w:r/>
            <w:r>
              <w:rPr>
                <w:rFonts w:ascii="Arial" w:hAnsi="Arial"/>
                <w:color w:val="5C6578"/>
                <w:sz w:val="19"/>
              </w:rPr>
              <w:t>Financial/tax advisors, support groups, nonprofits</w:t>
            </w:r>
          </w:p>
        </w:tc>
        <w:tc>
          <w:tcPr>
            <w:tcW w:type="dxa" w:w="3888"/>
          </w:tcPr>
          <w:p>
            <w:r/>
            <w:r>
              <w:rPr>
                <w:rFonts w:ascii="Arial" w:hAnsi="Arial"/>
                <w:color w:val="5C6578"/>
                <w:sz w:val="19"/>
              </w:rPr>
              <w:t>Expands practical and community support once trust is established.</w:t>
            </w:r>
          </w:p>
        </w:tc>
      </w:tr>
      <w:tr>
        <w:tc>
          <w:tcPr>
            <w:tcW w:type="dxa" w:w="1440"/>
          </w:tcPr>
          <w:p>
            <w:r/>
            <w:r>
              <w:rPr>
                <w:rFonts w:ascii="Arial" w:hAnsi="Arial"/>
                <w:color w:val="5C6578"/>
                <w:sz w:val="19"/>
              </w:rPr>
              <w:t>Wave 3</w:t>
            </w:r>
          </w:p>
        </w:tc>
        <w:tc>
          <w:tcPr>
            <w:tcW w:type="dxa" w:w="4032"/>
          </w:tcPr>
          <w:p>
            <w:r/>
            <w:r>
              <w:rPr>
                <w:rFonts w:ascii="Arial" w:hAnsi="Arial"/>
                <w:color w:val="5C6578"/>
                <w:sz w:val="19"/>
              </w:rPr>
              <w:t>Complementary modalities and broader services</w:t>
            </w:r>
          </w:p>
        </w:tc>
        <w:tc>
          <w:tcPr>
            <w:tcW w:type="dxa" w:w="3888"/>
          </w:tcPr>
          <w:p>
            <w:r/>
            <w:r>
              <w:rPr>
                <w:rFonts w:ascii="Arial" w:hAnsi="Arial"/>
                <w:color w:val="5C6578"/>
                <w:sz w:val="19"/>
              </w:rPr>
              <w:t>Only after curation standards and matching logic are proven.</w:t>
            </w:r>
          </w:p>
        </w:tc>
      </w:tr>
    </w:tbl>
    <w:p/>
    <w:p>
      <w:pPr>
        <w:pStyle w:val="Heading3"/>
      </w:pPr>
      <w:r>
        <w:t>Trust signals to collect</w:t>
      </w:r>
    </w:p>
    <w:p>
      <w:pPr>
        <w:pStyle w:val="ListBullet"/>
        <w:spacing w:after="60"/>
        <w:ind w:left="360"/>
      </w:pPr>
      <w:r>
        <w:t>Licensure and credential verification (where applicable)</w:t>
      </w:r>
    </w:p>
    <w:p>
      <w:pPr>
        <w:pStyle w:val="ListBullet"/>
        <w:spacing w:after="60"/>
        <w:ind w:left="360"/>
      </w:pPr>
      <w:r>
        <w:t>Years of experience and grief-specific focus areas</w:t>
      </w:r>
    </w:p>
    <w:p>
      <w:pPr>
        <w:pStyle w:val="ListBullet"/>
        <w:spacing w:after="60"/>
        <w:ind w:left="360"/>
      </w:pPr>
      <w:r>
        <w:t>Virtual and in-person availability, location, response time expectations</w:t>
      </w:r>
    </w:p>
    <w:p>
      <w:pPr>
        <w:pStyle w:val="ListBullet"/>
        <w:spacing w:after="60"/>
        <w:ind w:left="360"/>
      </w:pPr>
      <w:r>
        <w:t>Languages, cultural competency, faith sensitivity (where relevant)</w:t>
      </w:r>
    </w:p>
    <w:p>
      <w:pPr>
        <w:pStyle w:val="ListBullet"/>
        <w:spacing w:after="60"/>
        <w:ind w:left="360"/>
      </w:pPr>
      <w:r>
        <w:t>Pricing approach or range (transparency builds trust)</w:t>
      </w:r>
    </w:p>
    <w:p>
      <w:pPr>
        <w:pStyle w:val="ListBullet"/>
        <w:spacing w:after="60"/>
        <w:ind w:left="360"/>
      </w:pPr>
      <w:r>
        <w:t>Short philosophy statement: what clients can expect</w:t>
      </w:r>
    </w:p>
    <w:p>
      <w:pPr>
        <w:pStyle w:val="ListBullet"/>
        <w:spacing w:after="60"/>
        <w:ind w:left="360"/>
      </w:pPr>
      <w:r>
        <w:t>Optional: intro video, approach description, or sample first-session walkthrough</w:t>
      </w:r>
    </w:p>
    <w:p>
      <w:pPr>
        <w:spacing w:before="240" w:after="240"/>
        <w:pBdr>
          <w:bottom w:val="single" w:sz="4" w:space="1" w:color="E8E0FA"/>
        </w:pBdr>
      </w:pPr>
    </w:p>
    <w:p>
      <w:pPr>
        <w:pStyle w:val="Heading1"/>
      </w:pPr>
      <w:r>
        <w:t>8. Design-Partner Program</w:t>
      </w:r>
    </w:p>
    <w:p>
      <w:r>
        <w:rPr>
          <w:b w:val="0"/>
          <w:i w:val="0"/>
        </w:rPr>
        <w:t>Before scaling acquisition, LightPath should recruit a small number of design partners. The goal is learning, not listing count. Design partners give LightPath real workflow intelligence, stronger case studies, better UX, and clearer monetization choices.</w:t>
      </w:r>
    </w:p>
    <w:p>
      <w:pPr>
        <w:pStyle w:val="Heading3"/>
      </w:pPr>
      <w:r>
        <w:t>Why design partners come first</w:t>
      </w:r>
    </w:p>
    <w:tbl>
      <w:tblPr>
        <w:tblStyle w:val="TableGrid"/>
        <w:tblW w:type="auto" w:w="0"/>
        <w:jc w:val="center"/>
        <w:tblLook w:firstColumn="1" w:firstRow="1" w:lastColumn="0" w:lastRow="0" w:noHBand="0" w:noVBand="1" w:val="04A0"/>
      </w:tblPr>
      <w:tblGrid>
        <w:gridCol w:w="4680"/>
        <w:gridCol w:w="4680"/>
      </w:tblGrid>
      <w:tr>
        <w:tc>
          <w:tcPr>
            <w:tcW w:type="dxa" w:w="2592"/>
            <w:shd w:fill="6366C0" w:val="clear"/>
          </w:tcPr>
          <w:p>
            <w:r/>
            <w:r>
              <w:rPr>
                <w:rFonts w:ascii="Arial" w:hAnsi="Arial"/>
                <w:b/>
                <w:color w:val="FFFFFF"/>
                <w:sz w:val="19"/>
              </w:rPr>
              <w:t>Goal</w:t>
            </w:r>
          </w:p>
        </w:tc>
        <w:tc>
          <w:tcPr>
            <w:tcW w:type="dxa" w:w="6768"/>
            <w:shd w:fill="6366C0" w:val="clear"/>
          </w:tcPr>
          <w:p>
            <w:r/>
            <w:r>
              <w:rPr>
                <w:rFonts w:ascii="Arial" w:hAnsi="Arial"/>
                <w:b/>
                <w:color w:val="FFFFFF"/>
                <w:sz w:val="19"/>
              </w:rPr>
              <w:t>Why It Matters</w:t>
            </w:r>
          </w:p>
        </w:tc>
      </w:tr>
      <w:tr>
        <w:tc>
          <w:tcPr>
            <w:tcW w:type="dxa" w:w="2592"/>
          </w:tcPr>
          <w:p>
            <w:r/>
            <w:r>
              <w:rPr>
                <w:rFonts w:ascii="Arial" w:hAnsi="Arial"/>
                <w:color w:val="5C6578"/>
                <w:sz w:val="19"/>
              </w:rPr>
              <w:t>Validate demand</w:t>
            </w:r>
          </w:p>
        </w:tc>
        <w:tc>
          <w:tcPr>
            <w:tcW w:type="dxa" w:w="6768"/>
          </w:tcPr>
          <w:p>
            <w:r/>
            <w:r>
              <w:rPr>
                <w:rFonts w:ascii="Arial" w:hAnsi="Arial"/>
                <w:color w:val="5C6578"/>
                <w:sz w:val="19"/>
              </w:rPr>
              <w:t>Confirms which provider types care enough to join early and invest time</w:t>
            </w:r>
          </w:p>
        </w:tc>
      </w:tr>
      <w:tr>
        <w:tc>
          <w:tcPr>
            <w:tcW w:type="dxa" w:w="2592"/>
          </w:tcPr>
          <w:p>
            <w:r/>
            <w:r>
              <w:rPr>
                <w:rFonts w:ascii="Arial" w:hAnsi="Arial"/>
                <w:color w:val="5C6578"/>
                <w:sz w:val="19"/>
              </w:rPr>
              <w:t>Test fit signals</w:t>
            </w:r>
          </w:p>
        </w:tc>
        <w:tc>
          <w:tcPr>
            <w:tcW w:type="dxa" w:w="6768"/>
          </w:tcPr>
          <w:p>
            <w:r/>
            <w:r>
              <w:rPr>
                <w:rFonts w:ascii="Arial" w:hAnsi="Arial"/>
                <w:color w:val="5C6578"/>
                <w:sz w:val="19"/>
              </w:rPr>
              <w:t>Improves profile fields, matching logic, and intake clarity through real feedback</w:t>
            </w:r>
          </w:p>
        </w:tc>
      </w:tr>
      <w:tr>
        <w:tc>
          <w:tcPr>
            <w:tcW w:type="dxa" w:w="2592"/>
          </w:tcPr>
          <w:p>
            <w:r/>
            <w:r>
              <w:rPr>
                <w:rFonts w:ascii="Arial" w:hAnsi="Arial"/>
                <w:color w:val="5C6578"/>
                <w:sz w:val="19"/>
              </w:rPr>
              <w:t>Learn conversion blockers</w:t>
            </w:r>
          </w:p>
        </w:tc>
        <w:tc>
          <w:tcPr>
            <w:tcW w:type="dxa" w:w="6768"/>
          </w:tcPr>
          <w:p>
            <w:r/>
            <w:r>
              <w:rPr>
                <w:rFonts w:ascii="Arial" w:hAnsi="Arial"/>
                <w:color w:val="5C6578"/>
                <w:sz w:val="19"/>
              </w:rPr>
              <w:t>Reveals what information, handoff design, or messaging actually helps a user take the step</w:t>
            </w:r>
          </w:p>
        </w:tc>
      </w:tr>
      <w:tr>
        <w:tc>
          <w:tcPr>
            <w:tcW w:type="dxa" w:w="2592"/>
          </w:tcPr>
          <w:p>
            <w:r/>
            <w:r>
              <w:rPr>
                <w:rFonts w:ascii="Arial" w:hAnsi="Arial"/>
                <w:color w:val="5C6578"/>
                <w:sz w:val="19"/>
              </w:rPr>
              <w:t>Create launch proof</w:t>
            </w:r>
          </w:p>
        </w:tc>
        <w:tc>
          <w:tcPr>
            <w:tcW w:type="dxa" w:w="6768"/>
          </w:tcPr>
          <w:p>
            <w:r/>
            <w:r>
              <w:rPr>
                <w:rFonts w:ascii="Arial" w:hAnsi="Arial"/>
                <w:color w:val="5C6578"/>
                <w:sz w:val="19"/>
              </w:rPr>
              <w:t>Early advocates become references for website, deck, fundraising, and future sales</w:t>
            </w:r>
          </w:p>
        </w:tc>
      </w:tr>
      <w:tr>
        <w:tc>
          <w:tcPr>
            <w:tcW w:type="dxa" w:w="2592"/>
          </w:tcPr>
          <w:p>
            <w:r/>
            <w:r>
              <w:rPr>
                <w:rFonts w:ascii="Arial" w:hAnsi="Arial"/>
                <w:color w:val="5C6578"/>
                <w:sz w:val="19"/>
              </w:rPr>
              <w:t>Refine pricing</w:t>
            </w:r>
          </w:p>
        </w:tc>
        <w:tc>
          <w:tcPr>
            <w:tcW w:type="dxa" w:w="6768"/>
          </w:tcPr>
          <w:p>
            <w:r/>
            <w:r>
              <w:rPr>
                <w:rFonts w:ascii="Arial" w:hAnsi="Arial"/>
                <w:color w:val="5C6578"/>
                <w:sz w:val="19"/>
              </w:rPr>
              <w:t>Tests perceived value before locking any monetization model</w:t>
            </w:r>
          </w:p>
        </w:tc>
      </w:tr>
    </w:tbl>
    <w:p/>
    <w:p>
      <w:pPr>
        <w:pStyle w:val="Heading3"/>
      </w:pPr>
      <w:r>
        <w:t>Recommended first cohort</w:t>
      </w:r>
    </w:p>
    <w:p>
      <w:pPr>
        <w:pStyle w:val="ListBullet"/>
        <w:spacing w:after="60"/>
        <w:ind w:left="360"/>
      </w:pPr>
      <w:r>
        <w:t>5–10 grief-informed therapists or counselors</w:t>
      </w:r>
    </w:p>
    <w:p>
      <w:pPr>
        <w:pStyle w:val="ListBullet"/>
        <w:spacing w:after="60"/>
        <w:ind w:left="360"/>
      </w:pPr>
      <w:r>
        <w:t>3–5 estate and probate attorneys</w:t>
      </w:r>
    </w:p>
    <w:p>
      <w:pPr>
        <w:pStyle w:val="ListBullet"/>
        <w:spacing w:after="60"/>
        <w:ind w:left="360"/>
      </w:pPr>
      <w:r>
        <w:t>3–5 funeral or memorial service providers</w:t>
      </w:r>
    </w:p>
    <w:p>
      <w:pPr>
        <w:pStyle w:val="ListBullet"/>
        <w:spacing w:after="60"/>
        <w:ind w:left="360"/>
      </w:pPr>
      <w:r>
        <w:t>3–5 financial advisors or tax specialists focused on after-loss transitions</w:t>
      </w:r>
    </w:p>
    <w:p>
      <w:pPr>
        <w:pStyle w:val="ListBullet"/>
        <w:spacing w:after="60"/>
        <w:ind w:left="360"/>
      </w:pPr>
      <w:r>
        <w:t>2–3 nonprofits or support groups (strengthens trust and accessibility)</w:t>
      </w:r>
    </w:p>
    <w:p>
      <w:pPr>
        <w:pStyle w:val="Heading3"/>
      </w:pPr>
      <w:r>
        <w:t>What design partners receive</w:t>
      </w:r>
    </w:p>
    <w:p>
      <w:pPr>
        <w:pStyle w:val="ListBullet"/>
        <w:spacing w:after="60"/>
        <w:ind w:left="360"/>
      </w:pPr>
      <w:r>
        <w:t>Founding Provider badge and early-network recognition</w:t>
      </w:r>
    </w:p>
    <w:p>
      <w:pPr>
        <w:pStyle w:val="ListBullet"/>
        <w:spacing w:after="60"/>
        <w:ind w:left="360"/>
      </w:pPr>
      <w:r>
        <w:t>Waived or deeply discounted pricing during the pilot period</w:t>
      </w:r>
    </w:p>
    <w:p>
      <w:pPr>
        <w:pStyle w:val="ListBullet"/>
        <w:spacing w:after="60"/>
        <w:ind w:left="360"/>
      </w:pPr>
      <w:r>
        <w:t>Direct input into profile design, matching signals, and referral workflow</w:t>
      </w:r>
    </w:p>
    <w:p>
      <w:pPr>
        <w:pStyle w:val="ListBullet"/>
        <w:spacing w:after="60"/>
        <w:ind w:left="360"/>
      </w:pPr>
      <w:r>
        <w:t>Preferred visibility and positioning at public launch</w:t>
      </w:r>
    </w:p>
    <w:p>
      <w:pPr>
        <w:pStyle w:val="ListBullet"/>
        <w:spacing w:after="60"/>
        <w:ind w:left="360"/>
      </w:pPr>
      <w:r>
        <w:t>Dedicated support channel and regular feedback sessions</w:t>
      </w:r>
    </w:p>
    <w:p>
      <w:pPr>
        <w:pStyle w:val="Heading3"/>
      </w:pPr>
      <w:r>
        <w:t>What LightPath asks in return</w:t>
      </w:r>
    </w:p>
    <w:p>
      <w:pPr>
        <w:pStyle w:val="ListBullet"/>
        <w:spacing w:after="60"/>
        <w:ind w:left="360"/>
      </w:pPr>
      <w:r>
        <w:t>Time for structured interviews and workflow feedback (monthly, 30–45 min)</w:t>
      </w:r>
    </w:p>
    <w:p>
      <w:pPr>
        <w:pStyle w:val="ListBullet"/>
        <w:spacing w:after="60"/>
        <w:ind w:left="360"/>
      </w:pPr>
      <w:r>
        <w:t>Willingness to test profile and onboarding flows and share honest reactions</w:t>
      </w:r>
    </w:p>
    <w:p>
      <w:pPr>
        <w:pStyle w:val="ListBullet"/>
        <w:spacing w:after="60"/>
        <w:ind w:left="360"/>
      </w:pPr>
      <w:r>
        <w:t>Fast feedback on referral quality, lead context, and conversion friction</w:t>
      </w:r>
    </w:p>
    <w:p>
      <w:pPr>
        <w:pStyle w:val="ListBullet"/>
        <w:spacing w:after="60"/>
        <w:ind w:left="360"/>
      </w:pPr>
      <w:r>
        <w:t>Permission to use approved quotes, case studies, or anonymized outcomes later</w:t>
      </w:r>
    </w:p>
    <w:p>
      <w:pPr>
        <w:spacing w:before="240" w:after="240"/>
        <w:pBdr>
          <w:bottom w:val="single" w:sz="4" w:space="1" w:color="E8E0FA"/>
        </w:pBdr>
      </w:pPr>
    </w:p>
    <w:p>
      <w:pPr>
        <w:pStyle w:val="Heading1"/>
      </w:pPr>
      <w:r>
        <w:t>9. Monetization Framework</w:t>
      </w:r>
    </w:p>
    <w:p>
      <w:r>
        <w:rPr>
          <w:b w:val="0"/>
          <w:i w:val="0"/>
        </w:rPr>
        <w:t>LightPath should not commit to a single pricing model prematurely. The strongest approach is to design for multiple monetization pathways, then sequence them based on trust maturity and market signal.</w:t>
      </w:r>
    </w:p>
    <w:p>
      <w:pPr>
        <w:pStyle w:val="Heading2"/>
      </w:pPr>
      <w:r>
        <w:t>Available models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6366C0" w:val="clear"/>
          </w:tcPr>
          <w:p>
            <w:r/>
            <w:r>
              <w:rPr>
                <w:rFonts w:ascii="Arial" w:hAnsi="Arial"/>
                <w:b/>
                <w:color w:val="FFFFFF"/>
                <w:sz w:val="19"/>
              </w:rPr>
              <w:t>Model</w:t>
            </w:r>
          </w:p>
        </w:tc>
        <w:tc>
          <w:tcPr>
            <w:tcW w:type="dxa" w:w="2160"/>
            <w:shd w:fill="6366C0" w:val="clear"/>
          </w:tcPr>
          <w:p>
            <w:r/>
            <w:r>
              <w:rPr>
                <w:rFonts w:ascii="Arial" w:hAnsi="Arial"/>
                <w:b/>
                <w:color w:val="FFFFFF"/>
                <w:sz w:val="19"/>
              </w:rPr>
              <w:t>How It Works</w:t>
            </w:r>
          </w:p>
        </w:tc>
        <w:tc>
          <w:tcPr>
            <w:tcW w:type="dxa" w:w="1152"/>
            <w:shd w:fill="6366C0" w:val="clear"/>
          </w:tcPr>
          <w:p>
            <w:r/>
            <w:r>
              <w:rPr>
                <w:rFonts w:ascii="Arial" w:hAnsi="Arial"/>
                <w:b/>
                <w:color w:val="FFFFFF"/>
                <w:sz w:val="19"/>
              </w:rPr>
              <w:t>Best Stage</w:t>
            </w:r>
          </w:p>
        </w:tc>
        <w:tc>
          <w:tcPr>
            <w:tcW w:type="dxa" w:w="1872"/>
            <w:shd w:fill="6366C0" w:val="clear"/>
          </w:tcPr>
          <w:p>
            <w:r/>
            <w:r>
              <w:rPr>
                <w:rFonts w:ascii="Arial" w:hAnsi="Arial"/>
                <w:b/>
                <w:color w:val="FFFFFF"/>
                <w:sz w:val="19"/>
              </w:rPr>
              <w:t>Advantage</w:t>
            </w:r>
          </w:p>
        </w:tc>
        <w:tc>
          <w:tcPr>
            <w:tcW w:type="dxa" w:w="2304"/>
            <w:shd w:fill="6366C0" w:val="clear"/>
          </w:tcPr>
          <w:p>
            <w:r/>
            <w:r>
              <w:rPr>
                <w:rFonts w:ascii="Arial" w:hAnsi="Arial"/>
                <w:b/>
                <w:color w:val="FFFFFF"/>
                <w:sz w:val="19"/>
              </w:rPr>
              <w:t>Risk</w:t>
            </w:r>
          </w:p>
        </w:tc>
      </w:tr>
      <w:tr>
        <w:tc>
          <w:tcPr>
            <w:tcW w:type="dxa" w:w="1872"/>
          </w:tcPr>
          <w:p>
            <w:r/>
            <w:r>
              <w:rPr>
                <w:rFonts w:ascii="Arial" w:hAnsi="Arial"/>
                <w:color w:val="5C6578"/>
                <w:sz w:val="19"/>
              </w:rPr>
              <w:t>Curated listing fee</w:t>
            </w:r>
          </w:p>
        </w:tc>
        <w:tc>
          <w:tcPr>
            <w:tcW w:type="dxa" w:w="2160"/>
          </w:tcPr>
          <w:p>
            <w:r/>
            <w:r>
              <w:rPr>
                <w:rFonts w:ascii="Arial" w:hAnsi="Arial"/>
                <w:color w:val="5C6578"/>
                <w:sz w:val="19"/>
              </w:rPr>
              <w:t>Monthly/annual provider fee for profile presence</w:t>
            </w:r>
          </w:p>
        </w:tc>
        <w:tc>
          <w:tcPr>
            <w:tcW w:type="dxa" w:w="1152"/>
          </w:tcPr>
          <w:p>
            <w:r/>
            <w:r>
              <w:rPr>
                <w:rFonts w:ascii="Arial" w:hAnsi="Arial"/>
                <w:color w:val="5C6578"/>
                <w:sz w:val="19"/>
              </w:rPr>
              <w:t>Early</w:t>
            </w:r>
          </w:p>
        </w:tc>
        <w:tc>
          <w:tcPr>
            <w:tcW w:type="dxa" w:w="1872"/>
          </w:tcPr>
          <w:p>
            <w:r/>
            <w:r>
              <w:rPr>
                <w:rFonts w:ascii="Arial" w:hAnsi="Arial"/>
                <w:color w:val="5C6578"/>
                <w:sz w:val="19"/>
              </w:rPr>
              <w:t>Simple, predictable</w:t>
            </w:r>
          </w:p>
        </w:tc>
        <w:tc>
          <w:tcPr>
            <w:tcW w:type="dxa" w:w="2304"/>
          </w:tcPr>
          <w:p>
            <w:r/>
            <w:r>
              <w:rPr>
                <w:rFonts w:ascii="Arial" w:hAnsi="Arial"/>
                <w:color w:val="5C6578"/>
                <w:sz w:val="19"/>
              </w:rPr>
              <w:t>Low-value if lead flow is weak early on</w:t>
            </w:r>
          </w:p>
        </w:tc>
      </w:tr>
      <w:tr>
        <w:tc>
          <w:tcPr>
            <w:tcW w:type="dxa" w:w="1872"/>
          </w:tcPr>
          <w:p>
            <w:r/>
            <w:r>
              <w:rPr>
                <w:rFonts w:ascii="Arial" w:hAnsi="Arial"/>
                <w:color w:val="5C6578"/>
                <w:sz w:val="19"/>
              </w:rPr>
              <w:t>Premium placement</w:t>
            </w:r>
          </w:p>
        </w:tc>
        <w:tc>
          <w:tcPr>
            <w:tcW w:type="dxa" w:w="2160"/>
          </w:tcPr>
          <w:p>
            <w:r/>
            <w:r>
              <w:rPr>
                <w:rFonts w:ascii="Arial" w:hAnsi="Arial"/>
                <w:color w:val="5C6578"/>
                <w:sz w:val="19"/>
              </w:rPr>
              <w:t>Featured visibility in relevant categories</w:t>
            </w:r>
          </w:p>
        </w:tc>
        <w:tc>
          <w:tcPr>
            <w:tcW w:type="dxa" w:w="1152"/>
          </w:tcPr>
          <w:p>
            <w:r/>
            <w:r>
              <w:rPr>
                <w:rFonts w:ascii="Arial" w:hAnsi="Arial"/>
                <w:color w:val="5C6578"/>
                <w:sz w:val="19"/>
              </w:rPr>
              <w:t>Mid</w:t>
            </w:r>
          </w:p>
        </w:tc>
        <w:tc>
          <w:tcPr>
            <w:tcW w:type="dxa" w:w="1872"/>
          </w:tcPr>
          <w:p>
            <w:r/>
            <w:r>
              <w:rPr>
                <w:rFonts w:ascii="Arial" w:hAnsi="Arial"/>
                <w:color w:val="5C6578"/>
                <w:sz w:val="19"/>
              </w:rPr>
              <w:t>High-margin upsell</w:t>
            </w:r>
          </w:p>
        </w:tc>
        <w:tc>
          <w:tcPr>
            <w:tcW w:type="dxa" w:w="2304"/>
          </w:tcPr>
          <w:p>
            <w:r/>
            <w:r>
              <w:rPr>
                <w:rFonts w:ascii="Arial" w:hAnsi="Arial"/>
                <w:color w:val="5C6578"/>
                <w:sz w:val="19"/>
              </w:rPr>
              <w:t>Must protect trust; avoid pay-to-play perception</w:t>
            </w:r>
          </w:p>
        </w:tc>
      </w:tr>
      <w:tr>
        <w:tc>
          <w:tcPr>
            <w:tcW w:type="dxa" w:w="1872"/>
          </w:tcPr>
          <w:p>
            <w:r/>
            <w:r>
              <w:rPr>
                <w:rFonts w:ascii="Arial" w:hAnsi="Arial"/>
                <w:color w:val="5C6578"/>
                <w:sz w:val="19"/>
              </w:rPr>
              <w:t>Referral / lead fee</w:t>
            </w:r>
          </w:p>
        </w:tc>
        <w:tc>
          <w:tcPr>
            <w:tcW w:type="dxa" w:w="2160"/>
          </w:tcPr>
          <w:p>
            <w:r/>
            <w:r>
              <w:rPr>
                <w:rFonts w:ascii="Arial" w:hAnsi="Arial"/>
                <w:color w:val="5C6578"/>
                <w:sz w:val="19"/>
              </w:rPr>
              <w:t>Charge per qualified lead or booked consult</w:t>
            </w:r>
          </w:p>
        </w:tc>
        <w:tc>
          <w:tcPr>
            <w:tcW w:type="dxa" w:w="1152"/>
          </w:tcPr>
          <w:p>
            <w:r/>
            <w:r>
              <w:rPr>
                <w:rFonts w:ascii="Arial" w:hAnsi="Arial"/>
                <w:color w:val="5C6578"/>
                <w:sz w:val="19"/>
              </w:rPr>
              <w:t>Mid–Later</w:t>
            </w:r>
          </w:p>
        </w:tc>
        <w:tc>
          <w:tcPr>
            <w:tcW w:type="dxa" w:w="1872"/>
          </w:tcPr>
          <w:p>
            <w:r/>
            <w:r>
              <w:rPr>
                <w:rFonts w:ascii="Arial" w:hAnsi="Arial"/>
                <w:color w:val="5C6578"/>
                <w:sz w:val="19"/>
              </w:rPr>
              <w:t>Outcome-aligned pricing</w:t>
            </w:r>
          </w:p>
        </w:tc>
        <w:tc>
          <w:tcPr>
            <w:tcW w:type="dxa" w:w="2304"/>
          </w:tcPr>
          <w:p>
            <w:r/>
            <w:r>
              <w:rPr>
                <w:rFonts w:ascii="Arial" w:hAnsi="Arial"/>
                <w:color w:val="5C6578"/>
                <w:sz w:val="19"/>
              </w:rPr>
              <w:t>Needs strong attribution and fairness rules</w:t>
            </w:r>
          </w:p>
        </w:tc>
      </w:tr>
      <w:tr>
        <w:tc>
          <w:tcPr>
            <w:tcW w:type="dxa" w:w="1872"/>
          </w:tcPr>
          <w:p>
            <w:r/>
            <w:r>
              <w:rPr>
                <w:rFonts w:ascii="Arial" w:hAnsi="Arial"/>
                <w:color w:val="5C6578"/>
                <w:sz w:val="19"/>
              </w:rPr>
              <w:t>Subscription + add-ons</w:t>
            </w:r>
          </w:p>
        </w:tc>
        <w:tc>
          <w:tcPr>
            <w:tcW w:type="dxa" w:w="2160"/>
          </w:tcPr>
          <w:p>
            <w:r/>
            <w:r>
              <w:rPr>
                <w:rFonts w:ascii="Arial" w:hAnsi="Arial"/>
                <w:color w:val="5C6578"/>
                <w:sz w:val="19"/>
              </w:rPr>
              <w:t>Base profile fee plus analytics, promos, tools</w:t>
            </w:r>
          </w:p>
        </w:tc>
        <w:tc>
          <w:tcPr>
            <w:tcW w:type="dxa" w:w="1152"/>
          </w:tcPr>
          <w:p>
            <w:r/>
            <w:r>
              <w:rPr>
                <w:rFonts w:ascii="Arial" w:hAnsi="Arial"/>
                <w:color w:val="5C6578"/>
                <w:sz w:val="19"/>
              </w:rPr>
              <w:t>Later</w:t>
            </w:r>
          </w:p>
        </w:tc>
        <w:tc>
          <w:tcPr>
            <w:tcW w:type="dxa" w:w="1872"/>
          </w:tcPr>
          <w:p>
            <w:r/>
            <w:r>
              <w:rPr>
                <w:rFonts w:ascii="Arial" w:hAnsi="Arial"/>
                <w:color w:val="5C6578"/>
                <w:sz w:val="19"/>
              </w:rPr>
              <w:t>Flexible and scalable</w:t>
            </w:r>
          </w:p>
        </w:tc>
        <w:tc>
          <w:tcPr>
            <w:tcW w:type="dxa" w:w="2304"/>
          </w:tcPr>
          <w:p>
            <w:r/>
            <w:r>
              <w:rPr>
                <w:rFonts w:ascii="Arial" w:hAnsi="Arial"/>
                <w:color w:val="5C6578"/>
                <w:sz w:val="19"/>
              </w:rPr>
              <w:t>Higher operational complexity</w:t>
            </w:r>
          </w:p>
        </w:tc>
      </w:tr>
      <w:tr>
        <w:tc>
          <w:tcPr>
            <w:tcW w:type="dxa" w:w="1872"/>
          </w:tcPr>
          <w:p>
            <w:r/>
            <w:r>
              <w:rPr>
                <w:rFonts w:ascii="Arial" w:hAnsi="Arial"/>
                <w:color w:val="5C6578"/>
                <w:sz w:val="19"/>
              </w:rPr>
              <w:t>Enterprise / sponsored</w:t>
            </w:r>
          </w:p>
        </w:tc>
        <w:tc>
          <w:tcPr>
            <w:tcW w:type="dxa" w:w="2160"/>
          </w:tcPr>
          <w:p>
            <w:r/>
            <w:r>
              <w:rPr>
                <w:rFonts w:ascii="Arial" w:hAnsi="Arial"/>
                <w:color w:val="5C6578"/>
                <w:sz w:val="19"/>
              </w:rPr>
              <w:t>Partners subsidize access for their populations</w:t>
            </w:r>
          </w:p>
        </w:tc>
        <w:tc>
          <w:tcPr>
            <w:tcW w:type="dxa" w:w="1152"/>
          </w:tcPr>
          <w:p>
            <w:r/>
            <w:r>
              <w:rPr>
                <w:rFonts w:ascii="Arial" w:hAnsi="Arial"/>
                <w:color w:val="5C6578"/>
                <w:sz w:val="19"/>
              </w:rPr>
              <w:t>Later</w:t>
            </w:r>
          </w:p>
        </w:tc>
        <w:tc>
          <w:tcPr>
            <w:tcW w:type="dxa" w:w="1872"/>
          </w:tcPr>
          <w:p>
            <w:r/>
            <w:r>
              <w:rPr>
                <w:rFonts w:ascii="Arial" w:hAnsi="Arial"/>
                <w:color w:val="5C6578"/>
                <w:sz w:val="19"/>
              </w:rPr>
              <w:t>Large distribution channel</w:t>
            </w:r>
          </w:p>
        </w:tc>
        <w:tc>
          <w:tcPr>
            <w:tcW w:type="dxa" w:w="2304"/>
          </w:tcPr>
          <w:p>
            <w:r/>
            <w:r>
              <w:rPr>
                <w:rFonts w:ascii="Arial" w:hAnsi="Arial"/>
                <w:color w:val="5C6578"/>
                <w:sz w:val="19"/>
              </w:rPr>
              <w:t>Longer sales cycle</w:t>
            </w:r>
          </w:p>
        </w:tc>
      </w:tr>
    </w:tbl>
    <w:p/>
    <w:p>
      <w:pPr>
        <w:pStyle w:val="Heading2"/>
      </w:pPr>
      <w:r>
        <w:t>Recommended sequence</w:t>
      </w:r>
    </w:p>
    <w:p>
      <w:pPr>
        <w:spacing w:before="160" w:after="160"/>
        <w:ind w:left="432" w:right="432"/>
        <w:shd w:fill="E8E0FA" w:val="clear"/>
      </w:pPr>
      <w:r>
        <w:rPr>
          <w:i/>
          <w:color w:val="1C1C1E"/>
          <w:sz w:val="20"/>
        </w:rPr>
        <w:t>Phase 1: Free design-partner period (build trust and intelligence). Phase 2: Simple listing model for curated providers ($49–149/month range). Phase 3: Premium placement and qualified referral economics once matching quality is proven. Phase 4: Enterprise and partner-subsidized models as distribution scales.</w:t>
      </w:r>
    </w:p>
    <w:p>
      <w:r>
        <w:rPr>
          <w:b w:val="0"/>
          <w:i w:val="0"/>
        </w:rPr>
        <w:t>This sequence protects trust early and prevents monetization from running ahead of value delivery. The marketplace should be genuinely useful before it charges for presence.</w:t>
      </w:r>
    </w:p>
    <w:p>
      <w:pPr>
        <w:pStyle w:val="Heading3"/>
      </w:pPr>
      <w:r>
        <w:t>Pricing decision framework</w:t>
      </w:r>
    </w:p>
    <w:p>
      <w:r>
        <w:rPr>
          <w:b w:val="0"/>
          <w:i w:val="0"/>
        </w:rPr>
        <w:t>When evaluating any pricing decision, apply these filters:</w:t>
      </w:r>
    </w:p>
    <w:p>
      <w:pPr>
        <w:spacing w:after="80"/>
        <w:ind w:left="360"/>
      </w:pPr>
      <w:r>
        <w:rPr>
          <w:b/>
          <w:color w:val="6366C0"/>
          <w:sz w:val="21"/>
        </w:rPr>
        <w:t xml:space="preserve">Does it pass the 2am test? </w:t>
      </w:r>
      <w:r>
        <w:rPr>
          <w:color w:val="5C6578"/>
          <w:sz w:val="21"/>
        </w:rPr>
        <w:t>Would a grieving user feel safe knowing this monetization model exists?</w:t>
      </w:r>
    </w:p>
    <w:p>
      <w:pPr>
        <w:spacing w:after="80"/>
        <w:ind w:left="360"/>
      </w:pPr>
      <w:r>
        <w:rPr>
          <w:b/>
          <w:color w:val="6366C0"/>
          <w:sz w:val="21"/>
        </w:rPr>
        <w:t xml:space="preserve">Does it reward quality? </w:t>
      </w:r>
      <w:r>
        <w:rPr>
          <w:color w:val="5C6578"/>
          <w:sz w:val="21"/>
        </w:rPr>
        <w:t>Are the best providers incentivized to participate, not just the ones who pay most?</w:t>
      </w:r>
    </w:p>
    <w:p>
      <w:pPr>
        <w:spacing w:after="80"/>
        <w:ind w:left="360"/>
      </w:pPr>
      <w:r>
        <w:rPr>
          <w:b/>
          <w:color w:val="6366C0"/>
          <w:sz w:val="21"/>
        </w:rPr>
        <w:t xml:space="preserve">Does it align incentives? </w:t>
      </w:r>
      <w:r>
        <w:rPr>
          <w:color w:val="5C6578"/>
          <w:sz w:val="21"/>
        </w:rPr>
        <w:t>Is LightPath motivated to send quality referrals, not volume?</w:t>
      </w:r>
    </w:p>
    <w:p>
      <w:pPr>
        <w:spacing w:after="80"/>
        <w:ind w:left="360"/>
      </w:pPr>
      <w:r>
        <w:rPr>
          <w:b/>
          <w:color w:val="6366C0"/>
          <w:sz w:val="21"/>
        </w:rPr>
        <w:t xml:space="preserve">Is it transparent? </w:t>
      </w:r>
      <w:r>
        <w:rPr>
          <w:color w:val="5C6578"/>
          <w:sz w:val="21"/>
        </w:rPr>
        <w:t>Can the pricing model be explained to users without eroding trust?</w:t>
      </w:r>
    </w:p>
    <w:p>
      <w:pPr>
        <w:spacing w:before="240" w:after="240"/>
        <w:pBdr>
          <w:bottom w:val="single" w:sz="4" w:space="1" w:color="E8E0FA"/>
        </w:pBdr>
      </w:pPr>
    </w:p>
    <w:p>
      <w:pPr>
        <w:pStyle w:val="Heading1"/>
      </w:pPr>
      <w:r>
        <w:t>10. Communication Strategy</w:t>
      </w:r>
    </w:p>
    <w:p>
      <w:r>
        <w:rPr>
          <w:b w:val="0"/>
          <w:i w:val="0"/>
        </w:rPr>
        <w:t>The marketplace touches every stakeholder differently. Each audience needs a distinct communication cadence, channel strategy, and narrative arc. This section defines how LightPath communicates about Find Care — internally, to providers, to users, to partners, and to investors.</w:t>
      </w:r>
    </w:p>
    <w:p>
      <w:pPr>
        <w:pStyle w:val="Heading2"/>
      </w:pPr>
      <w:r>
        <w:t>10.1 Internal Communication</w:t>
      </w:r>
    </w:p>
    <w:p>
      <w:r>
        <w:rPr>
          <w:b w:val="0"/>
          <w:i w:val="0"/>
        </w:rPr>
        <w:t>Before any external communication, the internal team must be aligned on positioning, language, and boundaries.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6366C0" w:val="clear"/>
          </w:tcPr>
          <w:p>
            <w:r/>
            <w:r>
              <w:rPr>
                <w:rFonts w:ascii="Arial" w:hAnsi="Arial"/>
                <w:b/>
                <w:color w:val="FFFFFF"/>
                <w:sz w:val="19"/>
              </w:rPr>
              <w:t>Communication</w:t>
            </w:r>
          </w:p>
        </w:tc>
        <w:tc>
          <w:tcPr>
            <w:tcW w:type="dxa" w:w="2304"/>
            <w:shd w:fill="6366C0" w:val="clear"/>
          </w:tcPr>
          <w:p>
            <w:r/>
            <w:r>
              <w:rPr>
                <w:rFonts w:ascii="Arial" w:hAnsi="Arial"/>
                <w:b/>
                <w:color w:val="FFFFFF"/>
                <w:sz w:val="19"/>
              </w:rPr>
              <w:t>Format</w:t>
            </w:r>
          </w:p>
        </w:tc>
        <w:tc>
          <w:tcPr>
            <w:tcW w:type="dxa" w:w="1872"/>
            <w:shd w:fill="6366C0" w:val="clear"/>
          </w:tcPr>
          <w:p>
            <w:r/>
            <w:r>
              <w:rPr>
                <w:rFonts w:ascii="Arial" w:hAnsi="Arial"/>
                <w:b/>
                <w:color w:val="FFFFFF"/>
                <w:sz w:val="19"/>
              </w:rPr>
              <w:t>Timing</w:t>
            </w:r>
          </w:p>
        </w:tc>
        <w:tc>
          <w:tcPr>
            <w:tcW w:type="dxa" w:w="2880"/>
            <w:shd w:fill="6366C0" w:val="clear"/>
          </w:tcPr>
          <w:p>
            <w:r/>
            <w:r>
              <w:rPr>
                <w:rFonts w:ascii="Arial" w:hAnsi="Arial"/>
                <w:b/>
                <w:color w:val="FFFFFF"/>
                <w:sz w:val="19"/>
              </w:rPr>
              <w:t>Purpose</w:t>
            </w:r>
          </w:p>
        </w:tc>
      </w:tr>
      <w:tr>
        <w:tc>
          <w:tcPr>
            <w:tcW w:type="dxa" w:w="2304"/>
          </w:tcPr>
          <w:p>
            <w:r/>
            <w:r>
              <w:rPr>
                <w:rFonts w:ascii="Arial" w:hAnsi="Arial"/>
                <w:color w:val="5C6578"/>
                <w:sz w:val="19"/>
              </w:rPr>
              <w:t>Positioning alignment</w:t>
            </w:r>
          </w:p>
        </w:tc>
        <w:tc>
          <w:tcPr>
            <w:tcW w:type="dxa" w:w="2304"/>
          </w:tcPr>
          <w:p>
            <w:r/>
            <w:r>
              <w:rPr>
                <w:rFonts w:ascii="Arial" w:hAnsi="Arial"/>
                <w:color w:val="5C6578"/>
                <w:sz w:val="19"/>
              </w:rPr>
              <w:t>All-hands or leadership sync</w:t>
            </w:r>
          </w:p>
        </w:tc>
        <w:tc>
          <w:tcPr>
            <w:tcW w:type="dxa" w:w="1872"/>
          </w:tcPr>
          <w:p>
            <w:r/>
            <w:r>
              <w:rPr>
                <w:rFonts w:ascii="Arial" w:hAnsi="Arial"/>
                <w:color w:val="5C6578"/>
                <w:sz w:val="19"/>
              </w:rPr>
              <w:t>Before any external launch</w:t>
            </w:r>
          </w:p>
        </w:tc>
        <w:tc>
          <w:tcPr>
            <w:tcW w:type="dxa" w:w="2880"/>
          </w:tcPr>
          <w:p>
            <w:r/>
            <w:r>
              <w:rPr>
                <w:rFonts w:ascii="Arial" w:hAnsi="Arial"/>
                <w:color w:val="5C6578"/>
                <w:sz w:val="19"/>
              </w:rPr>
              <w:t>Ensure every team member can articulate what Find Care is and is not</w:t>
            </w:r>
          </w:p>
        </w:tc>
      </w:tr>
      <w:tr>
        <w:tc>
          <w:tcPr>
            <w:tcW w:type="dxa" w:w="2304"/>
          </w:tcPr>
          <w:p>
            <w:r/>
            <w:r>
              <w:rPr>
                <w:rFonts w:ascii="Arial" w:hAnsi="Arial"/>
                <w:color w:val="5C6578"/>
                <w:sz w:val="19"/>
              </w:rPr>
              <w:t>Language guide</w:t>
            </w:r>
          </w:p>
        </w:tc>
        <w:tc>
          <w:tcPr>
            <w:tcW w:type="dxa" w:w="2304"/>
          </w:tcPr>
          <w:p>
            <w:r/>
            <w:r>
              <w:rPr>
                <w:rFonts w:ascii="Arial" w:hAnsi="Arial"/>
                <w:color w:val="5C6578"/>
                <w:sz w:val="19"/>
              </w:rPr>
              <w:t>Shared doc / Slack pin</w:t>
            </w:r>
          </w:p>
        </w:tc>
        <w:tc>
          <w:tcPr>
            <w:tcW w:type="dxa" w:w="1872"/>
          </w:tcPr>
          <w:p>
            <w:r/>
            <w:r>
              <w:rPr>
                <w:rFonts w:ascii="Arial" w:hAnsi="Arial"/>
                <w:color w:val="5C6578"/>
                <w:sz w:val="19"/>
              </w:rPr>
              <w:t>Pre-launch</w:t>
            </w:r>
          </w:p>
        </w:tc>
        <w:tc>
          <w:tcPr>
            <w:tcW w:type="dxa" w:w="2880"/>
          </w:tcPr>
          <w:p>
            <w:r/>
            <w:r>
              <w:rPr>
                <w:rFonts w:ascii="Arial" w:hAnsi="Arial"/>
                <w:color w:val="5C6578"/>
                <w:sz w:val="19"/>
              </w:rPr>
              <w:t>Approved and prohibited terminology for every audience</w:t>
            </w:r>
          </w:p>
        </w:tc>
      </w:tr>
      <w:tr>
        <w:tc>
          <w:tcPr>
            <w:tcW w:type="dxa" w:w="2304"/>
          </w:tcPr>
          <w:p>
            <w:r/>
            <w:r>
              <w:rPr>
                <w:rFonts w:ascii="Arial" w:hAnsi="Arial"/>
                <w:color w:val="5C6578"/>
                <w:sz w:val="19"/>
              </w:rPr>
              <w:t>Weekly marketplace standup</w:t>
            </w:r>
          </w:p>
        </w:tc>
        <w:tc>
          <w:tcPr>
            <w:tcW w:type="dxa" w:w="2304"/>
          </w:tcPr>
          <w:p>
            <w:r/>
            <w:r>
              <w:rPr>
                <w:rFonts w:ascii="Arial" w:hAnsi="Arial"/>
                <w:color w:val="5C6578"/>
                <w:sz w:val="19"/>
              </w:rPr>
              <w:t>Cross-functional sync (product, growth, ops)</w:t>
            </w:r>
          </w:p>
        </w:tc>
        <w:tc>
          <w:tcPr>
            <w:tcW w:type="dxa" w:w="1872"/>
          </w:tcPr>
          <w:p>
            <w:r/>
            <w:r>
              <w:rPr>
                <w:rFonts w:ascii="Arial" w:hAnsi="Arial"/>
                <w:color w:val="5C6578"/>
                <w:sz w:val="19"/>
              </w:rPr>
              <w:t>Ongoing from pilot</w:t>
            </w:r>
          </w:p>
        </w:tc>
        <w:tc>
          <w:tcPr>
            <w:tcW w:type="dxa" w:w="2880"/>
          </w:tcPr>
          <w:p>
            <w:r/>
            <w:r>
              <w:rPr>
                <w:rFonts w:ascii="Arial" w:hAnsi="Arial"/>
                <w:color w:val="5C6578"/>
                <w:sz w:val="19"/>
              </w:rPr>
              <w:t>Design-partner feedback, provider pipeline, UX learnings, quality signals</w:t>
            </w:r>
          </w:p>
        </w:tc>
      </w:tr>
      <w:tr>
        <w:tc>
          <w:tcPr>
            <w:tcW w:type="dxa" w:w="2304"/>
          </w:tcPr>
          <w:p>
            <w:r/>
            <w:r>
              <w:rPr>
                <w:rFonts w:ascii="Arial" w:hAnsi="Arial"/>
                <w:color w:val="5C6578"/>
                <w:sz w:val="19"/>
              </w:rPr>
              <w:t>Incident protocol</w:t>
            </w:r>
          </w:p>
        </w:tc>
        <w:tc>
          <w:tcPr>
            <w:tcW w:type="dxa" w:w="2304"/>
          </w:tcPr>
          <w:p>
            <w:r/>
            <w:r>
              <w:rPr>
                <w:rFonts w:ascii="Arial" w:hAnsi="Arial"/>
                <w:color w:val="5C6578"/>
                <w:sz w:val="19"/>
              </w:rPr>
              <w:t>Documented escalation path</w:t>
            </w:r>
          </w:p>
        </w:tc>
        <w:tc>
          <w:tcPr>
            <w:tcW w:type="dxa" w:w="1872"/>
          </w:tcPr>
          <w:p>
            <w:r/>
            <w:r>
              <w:rPr>
                <w:rFonts w:ascii="Arial" w:hAnsi="Arial"/>
                <w:color w:val="5C6578"/>
                <w:sz w:val="19"/>
              </w:rPr>
              <w:t>Pre-launch</w:t>
            </w:r>
          </w:p>
        </w:tc>
        <w:tc>
          <w:tcPr>
            <w:tcW w:type="dxa" w:w="2880"/>
          </w:tcPr>
          <w:p>
            <w:r/>
            <w:r>
              <w:rPr>
                <w:rFonts w:ascii="Arial" w:hAnsi="Arial"/>
                <w:color w:val="5C6578"/>
                <w:sz w:val="19"/>
              </w:rPr>
              <w:t>What happens if a provider is reported, a user has a negative experience, or trust is compromised</w:t>
            </w:r>
          </w:p>
        </w:tc>
      </w:tr>
    </w:tbl>
    <w:p/>
    <w:p>
      <w:pPr>
        <w:pStyle w:val="Heading2"/>
      </w:pPr>
      <w:r>
        <w:t>10.2 Provider Communication</w:t>
      </w:r>
    </w:p>
    <w:p>
      <w:r>
        <w:rPr>
          <w:b w:val="0"/>
          <w:i w:val="0"/>
        </w:rPr>
        <w:t>Provider communication should feel collaborative and respectful — never salesy. Grief-informed providers are especially attuned to tone.</w:t>
      </w:r>
    </w:p>
    <w:p>
      <w:pPr>
        <w:pStyle w:val="Heading3"/>
      </w:pPr>
      <w:r>
        <w:t>Pre-launch: Design-partner outreach</w:t>
      </w:r>
    </w:p>
    <w:p>
      <w:r>
        <w:rPr>
          <w:b w:val="0"/>
          <w:i w:val="0"/>
        </w:rPr>
        <w:t>Channel: Direct email (warm, personal), followed by a short video call.</w:t>
      </w:r>
    </w:p>
    <w:p>
      <w:r>
        <w:rPr>
          <w:b w:val="0"/>
          <w:i w:val="0"/>
        </w:rPr>
        <w:t>Tone: Collaborative, humble, mission-driven. We’re building something new and want your expertise to shape it.</w:t>
      </w:r>
    </w:p>
    <w:p>
      <w:pPr>
        <w:spacing w:before="120"/>
      </w:pPr>
      <w:r>
        <w:rPr>
          <w:b/>
          <w:i w:val="0"/>
        </w:rPr>
        <w:t>Outreach sequence:</w:t>
      </w:r>
    </w:p>
    <w:p>
      <w:pPr>
        <w:spacing w:after="80"/>
        <w:ind w:left="360"/>
      </w:pPr>
      <w:r>
        <w:rPr>
          <w:b/>
          <w:sz w:val="21"/>
        </w:rPr>
        <w:t xml:space="preserve">Email 1 — Introduction. </w:t>
      </w:r>
      <w:r>
        <w:rPr>
          <w:color w:val="5C6578"/>
          <w:sz w:val="21"/>
        </w:rPr>
        <w:t>Who we are, what we’re building, why we want their input. Short (under 200 words). No attachments. Link to a simple interest page.</w:t>
      </w:r>
    </w:p>
    <w:p>
      <w:pPr>
        <w:spacing w:after="80"/>
        <w:ind w:left="360"/>
      </w:pPr>
      <w:r>
        <w:rPr>
          <w:b/>
          <w:sz w:val="21"/>
        </w:rPr>
        <w:t xml:space="preserve">Email 2 — Follow-up (Day 5). </w:t>
      </w:r>
      <w:r>
        <w:rPr>
          <w:color w:val="5C6578"/>
          <w:sz w:val="21"/>
        </w:rPr>
        <w:t>One specific detail about how their expertise would strengthen the network. Include a quote from the founding vision.</w:t>
      </w:r>
    </w:p>
    <w:p>
      <w:pPr>
        <w:spacing w:after="80"/>
        <w:ind w:left="360"/>
      </w:pPr>
      <w:r>
        <w:rPr>
          <w:b/>
          <w:sz w:val="21"/>
        </w:rPr>
        <w:t xml:space="preserve">Call — Discovery (15–20 min). </w:t>
      </w:r>
      <w:r>
        <w:rPr>
          <w:color w:val="5C6578"/>
          <w:sz w:val="21"/>
        </w:rPr>
        <w:t>Learn their practice, their frustrations, what they wish platforms did differently. Listen more than pitch.</w:t>
      </w:r>
    </w:p>
    <w:p>
      <w:pPr>
        <w:spacing w:after="80"/>
        <w:ind w:left="360"/>
      </w:pPr>
      <w:r>
        <w:rPr>
          <w:b/>
          <w:sz w:val="21"/>
        </w:rPr>
        <w:t xml:space="preserve">Email 3 — Invitation. </w:t>
      </w:r>
      <w:r>
        <w:rPr>
          <w:color w:val="5C6578"/>
          <w:sz w:val="21"/>
        </w:rPr>
        <w:t>Formal design-partner invitation with clear expectations, benefits, and timeline.</w:t>
      </w:r>
    </w:p>
    <w:p>
      <w:pPr>
        <w:pStyle w:val="Heading3"/>
      </w:pPr>
      <w:r>
        <w:t>Post-launch: Ongoing provider communication</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6366C0" w:val="clear"/>
          </w:tcPr>
          <w:p>
            <w:r/>
            <w:r>
              <w:rPr>
                <w:rFonts w:ascii="Arial" w:hAnsi="Arial"/>
                <w:b/>
                <w:color w:val="FFFFFF"/>
                <w:sz w:val="19"/>
              </w:rPr>
              <w:t>Communication</w:t>
            </w:r>
          </w:p>
        </w:tc>
        <w:tc>
          <w:tcPr>
            <w:tcW w:type="dxa" w:w="2160"/>
            <w:shd w:fill="6366C0" w:val="clear"/>
          </w:tcPr>
          <w:p>
            <w:r/>
            <w:r>
              <w:rPr>
                <w:rFonts w:ascii="Arial" w:hAnsi="Arial"/>
                <w:b/>
                <w:color w:val="FFFFFF"/>
                <w:sz w:val="19"/>
              </w:rPr>
              <w:t>Channel</w:t>
            </w:r>
          </w:p>
        </w:tc>
        <w:tc>
          <w:tcPr>
            <w:tcW w:type="dxa" w:w="4320"/>
            <w:shd w:fill="6366C0" w:val="clear"/>
          </w:tcPr>
          <w:p>
            <w:r/>
            <w:r>
              <w:rPr>
                <w:rFonts w:ascii="Arial" w:hAnsi="Arial"/>
                <w:b/>
                <w:color w:val="FFFFFF"/>
                <w:sz w:val="19"/>
              </w:rPr>
              <w:t>Content</w:t>
            </w:r>
          </w:p>
        </w:tc>
      </w:tr>
      <w:tr>
        <w:tc>
          <w:tcPr>
            <w:tcW w:type="dxa" w:w="2880"/>
          </w:tcPr>
          <w:p>
            <w:r/>
            <w:r>
              <w:rPr>
                <w:rFonts w:ascii="Arial" w:hAnsi="Arial"/>
                <w:color w:val="5C6578"/>
                <w:sz w:val="19"/>
              </w:rPr>
              <w:t>Monthly provider digest</w:t>
            </w:r>
          </w:p>
        </w:tc>
        <w:tc>
          <w:tcPr>
            <w:tcW w:type="dxa" w:w="2160"/>
          </w:tcPr>
          <w:p>
            <w:r/>
            <w:r>
              <w:rPr>
                <w:rFonts w:ascii="Arial" w:hAnsi="Arial"/>
                <w:color w:val="5C6578"/>
                <w:sz w:val="19"/>
              </w:rPr>
              <w:t>Email</w:t>
            </w:r>
          </w:p>
        </w:tc>
        <w:tc>
          <w:tcPr>
            <w:tcW w:type="dxa" w:w="4320"/>
          </w:tcPr>
          <w:p>
            <w:r/>
            <w:r>
              <w:rPr>
                <w:rFonts w:ascii="Arial" w:hAnsi="Arial"/>
                <w:color w:val="5C6578"/>
                <w:sz w:val="19"/>
              </w:rPr>
              <w:t>Platform updates, referral insights, community highlights, upcoming features</w:t>
            </w:r>
          </w:p>
        </w:tc>
      </w:tr>
      <w:tr>
        <w:tc>
          <w:tcPr>
            <w:tcW w:type="dxa" w:w="2880"/>
          </w:tcPr>
          <w:p>
            <w:r/>
            <w:r>
              <w:rPr>
                <w:rFonts w:ascii="Arial" w:hAnsi="Arial"/>
                <w:color w:val="5C6578"/>
                <w:sz w:val="19"/>
              </w:rPr>
              <w:t>Quarterly impact report</w:t>
            </w:r>
          </w:p>
        </w:tc>
        <w:tc>
          <w:tcPr>
            <w:tcW w:type="dxa" w:w="2160"/>
          </w:tcPr>
          <w:p>
            <w:r/>
            <w:r>
              <w:rPr>
                <w:rFonts w:ascii="Arial" w:hAnsi="Arial"/>
                <w:color w:val="5C6578"/>
                <w:sz w:val="19"/>
              </w:rPr>
              <w:t>Email + PDF</w:t>
            </w:r>
          </w:p>
        </w:tc>
        <w:tc>
          <w:tcPr>
            <w:tcW w:type="dxa" w:w="4320"/>
          </w:tcPr>
          <w:p>
            <w:r/>
            <w:r>
              <w:rPr>
                <w:rFonts w:ascii="Arial" w:hAnsi="Arial"/>
                <w:color w:val="5C6578"/>
                <w:sz w:val="19"/>
              </w:rPr>
              <w:t>Aggregate data on referrals, user outcomes, network growth, provider feedback themes</w:t>
            </w:r>
          </w:p>
        </w:tc>
      </w:tr>
      <w:tr>
        <w:tc>
          <w:tcPr>
            <w:tcW w:type="dxa" w:w="2880"/>
          </w:tcPr>
          <w:p>
            <w:r/>
            <w:r>
              <w:rPr>
                <w:rFonts w:ascii="Arial" w:hAnsi="Arial"/>
                <w:color w:val="5C6578"/>
                <w:sz w:val="19"/>
              </w:rPr>
              <w:t>Provider community updates</w:t>
            </w:r>
          </w:p>
        </w:tc>
        <w:tc>
          <w:tcPr>
            <w:tcW w:type="dxa" w:w="2160"/>
          </w:tcPr>
          <w:p>
            <w:r/>
            <w:r>
              <w:rPr>
                <w:rFonts w:ascii="Arial" w:hAnsi="Arial"/>
                <w:color w:val="5C6578"/>
                <w:sz w:val="19"/>
              </w:rPr>
              <w:t>Slack or dedicated channel</w:t>
            </w:r>
          </w:p>
        </w:tc>
        <w:tc>
          <w:tcPr>
            <w:tcW w:type="dxa" w:w="4320"/>
          </w:tcPr>
          <w:p>
            <w:r/>
            <w:r>
              <w:rPr>
                <w:rFonts w:ascii="Arial" w:hAnsi="Arial"/>
                <w:color w:val="5C6578"/>
                <w:sz w:val="19"/>
              </w:rPr>
              <w:t>Peer support, best practices, LightPath product previews</w:t>
            </w:r>
          </w:p>
        </w:tc>
      </w:tr>
      <w:tr>
        <w:tc>
          <w:tcPr>
            <w:tcW w:type="dxa" w:w="2880"/>
          </w:tcPr>
          <w:p>
            <w:r/>
            <w:r>
              <w:rPr>
                <w:rFonts w:ascii="Arial" w:hAnsi="Arial"/>
                <w:color w:val="5C6578"/>
                <w:sz w:val="19"/>
              </w:rPr>
              <w:t>Annual provider summit (virtual)</w:t>
            </w:r>
          </w:p>
        </w:tc>
        <w:tc>
          <w:tcPr>
            <w:tcW w:type="dxa" w:w="2160"/>
          </w:tcPr>
          <w:p>
            <w:r/>
            <w:r>
              <w:rPr>
                <w:rFonts w:ascii="Arial" w:hAnsi="Arial"/>
                <w:color w:val="5C6578"/>
                <w:sz w:val="19"/>
              </w:rPr>
              <w:t>Video event</w:t>
            </w:r>
          </w:p>
        </w:tc>
        <w:tc>
          <w:tcPr>
            <w:tcW w:type="dxa" w:w="4320"/>
          </w:tcPr>
          <w:p>
            <w:r/>
            <w:r>
              <w:rPr>
                <w:rFonts w:ascii="Arial" w:hAnsi="Arial"/>
                <w:color w:val="5C6578"/>
                <w:sz w:val="19"/>
              </w:rPr>
              <w:t>Roadmap preview, provider stories, community building, recognition</w:t>
            </w:r>
          </w:p>
        </w:tc>
      </w:tr>
    </w:tbl>
    <w:p/>
    <w:p>
      <w:pPr>
        <w:pStyle w:val="Heading2"/>
      </w:pPr>
      <w:r>
        <w:t>10.3 User Communication</w:t>
      </w:r>
    </w:p>
    <w:p>
      <w:r>
        <w:rPr>
          <w:b w:val="0"/>
          <w:i w:val="0"/>
        </w:rPr>
        <w:t>Users should discover Find Care organically — through Care Plan tasks, LightKeeper suggestions, or gentle in-product surfacing. External communication about the marketplace should be careful and never feel promotional.</w:t>
      </w:r>
    </w:p>
    <w:p>
      <w:pPr>
        <w:pStyle w:val="Heading3"/>
      </w:pPr>
      <w:r>
        <w:t>In-product communication</w:t>
      </w:r>
    </w:p>
    <w:p>
      <w:pPr>
        <w:spacing w:after="80"/>
        <w:ind w:left="360"/>
      </w:pPr>
      <w:r>
        <w:rPr>
          <w:b/>
          <w:sz w:val="21"/>
        </w:rPr>
        <w:t xml:space="preserve">Care Plan integration. </w:t>
      </w:r>
      <w:r>
        <w:rPr>
          <w:color w:val="5C6578"/>
          <w:sz w:val="21"/>
        </w:rPr>
        <w:t>When a task involves finding professional support, the product should surface Find Care contextually: “We can help you find a probate attorney who understands what you’re navigating.”</w:t>
      </w:r>
    </w:p>
    <w:p>
      <w:pPr>
        <w:spacing w:after="80"/>
        <w:ind w:left="360"/>
      </w:pPr>
      <w:r>
        <w:rPr>
          <w:b/>
          <w:sz w:val="21"/>
        </w:rPr>
        <w:t xml:space="preserve">LightKeeper handoff. </w:t>
      </w:r>
      <w:r>
        <w:rPr>
          <w:color w:val="5C6578"/>
          <w:sz w:val="21"/>
        </w:rPr>
        <w:t>When conversational AI identifies a moment where human support would be more appropriate, it gently introduces Find Care: “This sounds like something a grief counselor could really help with. Would you like to see who’s available?”</w:t>
      </w:r>
    </w:p>
    <w:p>
      <w:pPr>
        <w:spacing w:after="80"/>
        <w:ind w:left="360"/>
      </w:pPr>
      <w:r>
        <w:rPr>
          <w:b/>
          <w:sz w:val="21"/>
        </w:rPr>
        <w:t xml:space="preserve">Today page. </w:t>
      </w:r>
      <w:r>
        <w:rPr>
          <w:color w:val="5C6578"/>
          <w:sz w:val="21"/>
        </w:rPr>
        <w:t>Occasional, context-sensitive suggestions based on grief stage and task progress. Never generic. Never promotional.</w:t>
      </w:r>
    </w:p>
    <w:p>
      <w:pPr>
        <w:pStyle w:val="Heading3"/>
      </w:pPr>
      <w:r>
        <w:t>External user communication</w:t>
      </w:r>
    </w:p>
    <w:tbl>
      <w:tblPr>
        <w:tblStyle w:val="TableGrid"/>
        <w:tblW w:type="auto" w:w="0"/>
        <w:jc w:val="center"/>
        <w:tblLook w:firstColumn="1" w:firstRow="1" w:lastColumn="0" w:lastRow="0" w:noHBand="0" w:noVBand="1" w:val="04A0"/>
      </w:tblPr>
      <w:tblGrid>
        <w:gridCol w:w="4680"/>
        <w:gridCol w:w="4680"/>
      </w:tblGrid>
      <w:tr>
        <w:tc>
          <w:tcPr>
            <w:tcW w:type="dxa" w:w="2592"/>
            <w:shd w:fill="6366C0" w:val="clear"/>
          </w:tcPr>
          <w:p>
            <w:r/>
            <w:r>
              <w:rPr>
                <w:rFonts w:ascii="Arial" w:hAnsi="Arial"/>
                <w:b/>
                <w:color w:val="FFFFFF"/>
                <w:sz w:val="19"/>
              </w:rPr>
              <w:t>Channel</w:t>
            </w:r>
          </w:p>
        </w:tc>
        <w:tc>
          <w:tcPr>
            <w:tcW w:type="dxa" w:w="6768"/>
            <w:shd w:fill="6366C0" w:val="clear"/>
          </w:tcPr>
          <w:p>
            <w:r/>
            <w:r>
              <w:rPr>
                <w:rFonts w:ascii="Arial" w:hAnsi="Arial"/>
                <w:b/>
                <w:color w:val="FFFFFF"/>
                <w:sz w:val="19"/>
              </w:rPr>
              <w:t>Approach</w:t>
            </w:r>
          </w:p>
        </w:tc>
      </w:tr>
      <w:tr>
        <w:tc>
          <w:tcPr>
            <w:tcW w:type="dxa" w:w="2592"/>
          </w:tcPr>
          <w:p>
            <w:r/>
            <w:r>
              <w:rPr>
                <w:rFonts w:ascii="Arial" w:hAnsi="Arial"/>
                <w:color w:val="5C6578"/>
                <w:sz w:val="19"/>
              </w:rPr>
              <w:t>Blog / Guides</w:t>
            </w:r>
          </w:p>
        </w:tc>
        <w:tc>
          <w:tcPr>
            <w:tcW w:type="dxa" w:w="6768"/>
          </w:tcPr>
          <w:p>
            <w:r/>
            <w:r>
              <w:rPr>
                <w:rFonts w:ascii="Arial" w:hAnsi="Arial"/>
                <w:color w:val="5C6578"/>
                <w:sz w:val="19"/>
              </w:rPr>
              <w:t>Educational content: “How to find the right grief counselor” — Find Care is the natural next step, not the pitch</w:t>
            </w:r>
          </w:p>
        </w:tc>
      </w:tr>
      <w:tr>
        <w:tc>
          <w:tcPr>
            <w:tcW w:type="dxa" w:w="2592"/>
          </w:tcPr>
          <w:p>
            <w:r/>
            <w:r>
              <w:rPr>
                <w:rFonts w:ascii="Arial" w:hAnsi="Arial"/>
                <w:color w:val="5C6578"/>
                <w:sz w:val="19"/>
              </w:rPr>
              <w:t>Email (existing users)</w:t>
            </w:r>
          </w:p>
        </w:tc>
        <w:tc>
          <w:tcPr>
            <w:tcW w:type="dxa" w:w="6768"/>
          </w:tcPr>
          <w:p>
            <w:r/>
            <w:r>
              <w:rPr>
                <w:rFonts w:ascii="Arial" w:hAnsi="Arial"/>
                <w:color w:val="5C6578"/>
                <w:sz w:val="19"/>
              </w:rPr>
              <w:t>Gentle announcement when Find Care launches: what it is, how it works, what it means for their journey</w:t>
            </w:r>
          </w:p>
        </w:tc>
      </w:tr>
      <w:tr>
        <w:tc>
          <w:tcPr>
            <w:tcW w:type="dxa" w:w="2592"/>
          </w:tcPr>
          <w:p>
            <w:r/>
            <w:r>
              <w:rPr>
                <w:rFonts w:ascii="Arial" w:hAnsi="Arial"/>
                <w:color w:val="5C6578"/>
                <w:sz w:val="19"/>
              </w:rPr>
              <w:t>Social media</w:t>
            </w:r>
          </w:p>
        </w:tc>
        <w:tc>
          <w:tcPr>
            <w:tcW w:type="dxa" w:w="6768"/>
          </w:tcPr>
          <w:p>
            <w:r/>
            <w:r>
              <w:rPr>
                <w:rFonts w:ascii="Arial" w:hAnsi="Arial"/>
                <w:color w:val="5C6578"/>
                <w:sz w:val="19"/>
              </w:rPr>
              <w:t>Educational framing: “Did you know grief-informed financial advisors exist? Here’s what they help with.” Leads to awareness, not hard conversion</w:t>
            </w:r>
          </w:p>
        </w:tc>
      </w:tr>
      <w:tr>
        <w:tc>
          <w:tcPr>
            <w:tcW w:type="dxa" w:w="2592"/>
          </w:tcPr>
          <w:p>
            <w:r/>
            <w:r>
              <w:rPr>
                <w:rFonts w:ascii="Arial" w:hAnsi="Arial"/>
                <w:color w:val="5C6578"/>
                <w:sz w:val="19"/>
              </w:rPr>
              <w:t>Onboarding flow</w:t>
            </w:r>
          </w:p>
        </w:tc>
        <w:tc>
          <w:tcPr>
            <w:tcW w:type="dxa" w:w="6768"/>
          </w:tcPr>
          <w:p>
            <w:r/>
            <w:r>
              <w:rPr>
                <w:rFonts w:ascii="Arial" w:hAnsi="Arial"/>
                <w:color w:val="5C6578"/>
                <w:sz w:val="19"/>
              </w:rPr>
              <w:t>Brief mention during setup: “When you’re ready, we can help you find trusted professional support too”</w:t>
            </w:r>
          </w:p>
        </w:tc>
      </w:tr>
    </w:tbl>
    <w:p/>
    <w:p>
      <w:pPr>
        <w:pStyle w:val="Heading2"/>
      </w:pPr>
      <w:r>
        <w:t>10.4 Partner and Enterprise Communication</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6366C0" w:val="clear"/>
          </w:tcPr>
          <w:p>
            <w:r/>
            <w:r>
              <w:rPr>
                <w:rFonts w:ascii="Arial" w:hAnsi="Arial"/>
                <w:b/>
                <w:color w:val="FFFFFF"/>
                <w:sz w:val="19"/>
              </w:rPr>
              <w:t>Stage</w:t>
            </w:r>
          </w:p>
        </w:tc>
        <w:tc>
          <w:tcPr>
            <w:tcW w:type="dxa" w:w="2160"/>
            <w:shd w:fill="6366C0" w:val="clear"/>
          </w:tcPr>
          <w:p>
            <w:r/>
            <w:r>
              <w:rPr>
                <w:rFonts w:ascii="Arial" w:hAnsi="Arial"/>
                <w:b/>
                <w:color w:val="FFFFFF"/>
                <w:sz w:val="19"/>
              </w:rPr>
              <w:t>Format</w:t>
            </w:r>
          </w:p>
        </w:tc>
        <w:tc>
          <w:tcPr>
            <w:tcW w:type="dxa" w:w="5040"/>
            <w:shd w:fill="6366C0" w:val="clear"/>
          </w:tcPr>
          <w:p>
            <w:r/>
            <w:r>
              <w:rPr>
                <w:rFonts w:ascii="Arial" w:hAnsi="Arial"/>
                <w:b/>
                <w:color w:val="FFFFFF"/>
                <w:sz w:val="19"/>
              </w:rPr>
              <w:t>Key Message</w:t>
            </w:r>
          </w:p>
        </w:tc>
      </w:tr>
      <w:tr>
        <w:tc>
          <w:tcPr>
            <w:tcW w:type="dxa" w:w="2160"/>
          </w:tcPr>
          <w:p>
            <w:r/>
            <w:r>
              <w:rPr>
                <w:rFonts w:ascii="Arial" w:hAnsi="Arial"/>
                <w:color w:val="5C6578"/>
                <w:sz w:val="19"/>
              </w:rPr>
              <w:t>Initial outreach</w:t>
            </w:r>
          </w:p>
        </w:tc>
        <w:tc>
          <w:tcPr>
            <w:tcW w:type="dxa" w:w="2160"/>
          </w:tcPr>
          <w:p>
            <w:r/>
            <w:r>
              <w:rPr>
                <w:rFonts w:ascii="Arial" w:hAnsi="Arial"/>
                <w:color w:val="5C6578"/>
                <w:sz w:val="19"/>
              </w:rPr>
              <w:t>Warm email + one-pager</w:t>
            </w:r>
          </w:p>
        </w:tc>
        <w:tc>
          <w:tcPr>
            <w:tcW w:type="dxa" w:w="5040"/>
          </w:tcPr>
          <w:p>
            <w:r/>
            <w:r>
              <w:rPr>
                <w:rFonts w:ascii="Arial" w:hAnsi="Arial"/>
                <w:color w:val="5C6578"/>
                <w:sz w:val="19"/>
              </w:rPr>
              <w:t>Position Find Care as the care-navigation layer that makes their employee/member support more complete</w:t>
            </w:r>
          </w:p>
        </w:tc>
      </w:tr>
      <w:tr>
        <w:tc>
          <w:tcPr>
            <w:tcW w:type="dxa" w:w="2160"/>
          </w:tcPr>
          <w:p>
            <w:r/>
            <w:r>
              <w:rPr>
                <w:rFonts w:ascii="Arial" w:hAnsi="Arial"/>
                <w:color w:val="5C6578"/>
                <w:sz w:val="19"/>
              </w:rPr>
              <w:t>Sales conversation</w:t>
            </w:r>
          </w:p>
        </w:tc>
        <w:tc>
          <w:tcPr>
            <w:tcW w:type="dxa" w:w="2160"/>
          </w:tcPr>
          <w:p>
            <w:r/>
            <w:r>
              <w:rPr>
                <w:rFonts w:ascii="Arial" w:hAnsi="Arial"/>
                <w:color w:val="5C6578"/>
                <w:sz w:val="19"/>
              </w:rPr>
              <w:t>Deck + demo</w:t>
            </w:r>
          </w:p>
        </w:tc>
        <w:tc>
          <w:tcPr>
            <w:tcW w:type="dxa" w:w="5040"/>
          </w:tcPr>
          <w:p>
            <w:r/>
            <w:r>
              <w:rPr>
                <w:rFonts w:ascii="Arial" w:hAnsi="Arial"/>
                <w:color w:val="5C6578"/>
                <w:sz w:val="19"/>
              </w:rPr>
              <w:t>Show the full product system (not just marketplace). Emphasize embedded intelligence and measurable outcomes</w:t>
            </w:r>
          </w:p>
        </w:tc>
      </w:tr>
      <w:tr>
        <w:tc>
          <w:tcPr>
            <w:tcW w:type="dxa" w:w="2160"/>
          </w:tcPr>
          <w:p>
            <w:r/>
            <w:r>
              <w:rPr>
                <w:rFonts w:ascii="Arial" w:hAnsi="Arial"/>
                <w:color w:val="5C6578"/>
                <w:sz w:val="19"/>
              </w:rPr>
              <w:t>Pilot kickoff</w:t>
            </w:r>
          </w:p>
        </w:tc>
        <w:tc>
          <w:tcPr>
            <w:tcW w:type="dxa" w:w="2160"/>
          </w:tcPr>
          <w:p>
            <w:r/>
            <w:r>
              <w:rPr>
                <w:rFonts w:ascii="Arial" w:hAnsi="Arial"/>
                <w:color w:val="5C6578"/>
                <w:sz w:val="19"/>
              </w:rPr>
              <w:t>Onboarding call + shared doc</w:t>
            </w:r>
          </w:p>
        </w:tc>
        <w:tc>
          <w:tcPr>
            <w:tcW w:type="dxa" w:w="5040"/>
          </w:tcPr>
          <w:p>
            <w:r/>
            <w:r>
              <w:rPr>
                <w:rFonts w:ascii="Arial" w:hAnsi="Arial"/>
                <w:color w:val="5C6578"/>
                <w:sz w:val="19"/>
              </w:rPr>
              <w:t>Clear success metrics, communication cadence, feedback loops</w:t>
            </w:r>
          </w:p>
        </w:tc>
      </w:tr>
      <w:tr>
        <w:tc>
          <w:tcPr>
            <w:tcW w:type="dxa" w:w="2160"/>
          </w:tcPr>
          <w:p>
            <w:r/>
            <w:r>
              <w:rPr>
                <w:rFonts w:ascii="Arial" w:hAnsi="Arial"/>
                <w:color w:val="5C6578"/>
                <w:sz w:val="19"/>
              </w:rPr>
              <w:t>Ongoing reporting</w:t>
            </w:r>
          </w:p>
        </w:tc>
        <w:tc>
          <w:tcPr>
            <w:tcW w:type="dxa" w:w="2160"/>
          </w:tcPr>
          <w:p>
            <w:r/>
            <w:r>
              <w:rPr>
                <w:rFonts w:ascii="Arial" w:hAnsi="Arial"/>
                <w:color w:val="5C6578"/>
                <w:sz w:val="19"/>
              </w:rPr>
              <w:t>Quarterly review</w:t>
            </w:r>
          </w:p>
        </w:tc>
        <w:tc>
          <w:tcPr>
            <w:tcW w:type="dxa" w:w="5040"/>
          </w:tcPr>
          <w:p>
            <w:r/>
            <w:r>
              <w:rPr>
                <w:rFonts w:ascii="Arial" w:hAnsi="Arial"/>
                <w:color w:val="5C6578"/>
                <w:sz w:val="19"/>
              </w:rPr>
              <w:t>Utilization data, satisfaction signals, provider quality metrics, recommendations for expansion</w:t>
            </w:r>
          </w:p>
        </w:tc>
      </w:tr>
    </w:tbl>
    <w:p/>
    <w:p>
      <w:pPr>
        <w:pStyle w:val="Heading2"/>
      </w:pPr>
      <w:r>
        <w:t>10.5 Investor Communication</w:t>
      </w:r>
    </w:p>
    <w:p>
      <w:r>
        <w:rPr>
          <w:b w:val="0"/>
          <w:i w:val="0"/>
        </w:rPr>
        <w:t>Marketplace progress should be communicated as evidence of product-market fit and moat-building, not just a feature launch.</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6366C0" w:val="clear"/>
          </w:tcPr>
          <w:p>
            <w:r/>
            <w:r>
              <w:rPr>
                <w:rFonts w:ascii="Arial" w:hAnsi="Arial"/>
                <w:b/>
                <w:color w:val="FFFFFF"/>
                <w:sz w:val="19"/>
              </w:rPr>
              <w:t>Communication</w:t>
            </w:r>
          </w:p>
        </w:tc>
        <w:tc>
          <w:tcPr>
            <w:tcW w:type="dxa" w:w="2160"/>
            <w:shd w:fill="6366C0" w:val="clear"/>
          </w:tcPr>
          <w:p>
            <w:r/>
            <w:r>
              <w:rPr>
                <w:rFonts w:ascii="Arial" w:hAnsi="Arial"/>
                <w:b/>
                <w:color w:val="FFFFFF"/>
                <w:sz w:val="19"/>
              </w:rPr>
              <w:t>Cadence</w:t>
            </w:r>
          </w:p>
        </w:tc>
        <w:tc>
          <w:tcPr>
            <w:tcW w:type="dxa" w:w="4608"/>
            <w:shd w:fill="6366C0" w:val="clear"/>
          </w:tcPr>
          <w:p>
            <w:r/>
            <w:r>
              <w:rPr>
                <w:rFonts w:ascii="Arial" w:hAnsi="Arial"/>
                <w:b/>
                <w:color w:val="FFFFFF"/>
                <w:sz w:val="19"/>
              </w:rPr>
              <w:t>Content Focus</w:t>
            </w:r>
          </w:p>
        </w:tc>
      </w:tr>
      <w:tr>
        <w:tc>
          <w:tcPr>
            <w:tcW w:type="dxa" w:w="2592"/>
          </w:tcPr>
          <w:p>
            <w:r/>
            <w:r>
              <w:rPr>
                <w:rFonts w:ascii="Arial" w:hAnsi="Arial"/>
                <w:color w:val="5C6578"/>
                <w:sz w:val="19"/>
              </w:rPr>
              <w:t>Board updates</w:t>
            </w:r>
          </w:p>
        </w:tc>
        <w:tc>
          <w:tcPr>
            <w:tcW w:type="dxa" w:w="2160"/>
          </w:tcPr>
          <w:p>
            <w:r/>
            <w:r>
              <w:rPr>
                <w:rFonts w:ascii="Arial" w:hAnsi="Arial"/>
                <w:color w:val="5C6578"/>
                <w:sz w:val="19"/>
              </w:rPr>
              <w:t>Monthly or quarterly</w:t>
            </w:r>
          </w:p>
        </w:tc>
        <w:tc>
          <w:tcPr>
            <w:tcW w:type="dxa" w:w="4608"/>
          </w:tcPr>
          <w:p>
            <w:r/>
            <w:r>
              <w:rPr>
                <w:rFonts w:ascii="Arial" w:hAnsi="Arial"/>
                <w:color w:val="5C6578"/>
                <w:sz w:val="19"/>
              </w:rPr>
              <w:t>Provider acquisition metrics, referral quality, conversion rates, monetization experiments</w:t>
            </w:r>
          </w:p>
        </w:tc>
      </w:tr>
      <w:tr>
        <w:tc>
          <w:tcPr>
            <w:tcW w:type="dxa" w:w="2592"/>
          </w:tcPr>
          <w:p>
            <w:r/>
            <w:r>
              <w:rPr>
                <w:rFonts w:ascii="Arial" w:hAnsi="Arial"/>
                <w:color w:val="5C6578"/>
                <w:sz w:val="19"/>
              </w:rPr>
              <w:t>Fundraising deck</w:t>
            </w:r>
          </w:p>
        </w:tc>
        <w:tc>
          <w:tcPr>
            <w:tcW w:type="dxa" w:w="2160"/>
          </w:tcPr>
          <w:p>
            <w:r/>
            <w:r>
              <w:rPr>
                <w:rFonts w:ascii="Arial" w:hAnsi="Arial"/>
                <w:color w:val="5C6578"/>
                <w:sz w:val="19"/>
              </w:rPr>
              <w:t>As needed</w:t>
            </w:r>
          </w:p>
        </w:tc>
        <w:tc>
          <w:tcPr>
            <w:tcW w:type="dxa" w:w="4608"/>
          </w:tcPr>
          <w:p>
            <w:r/>
            <w:r>
              <w:rPr>
                <w:rFonts w:ascii="Arial" w:hAnsi="Arial"/>
                <w:color w:val="5C6578"/>
                <w:sz w:val="19"/>
              </w:rPr>
              <w:t>Marketplace as evidence of defensibility, revenue diversification, and product completeness</w:t>
            </w:r>
          </w:p>
        </w:tc>
      </w:tr>
      <w:tr>
        <w:tc>
          <w:tcPr>
            <w:tcW w:type="dxa" w:w="2592"/>
          </w:tcPr>
          <w:p>
            <w:r/>
            <w:r>
              <w:rPr>
                <w:rFonts w:ascii="Arial" w:hAnsi="Arial"/>
                <w:color w:val="5C6578"/>
                <w:sz w:val="19"/>
              </w:rPr>
              <w:t>Narrative framing</w:t>
            </w:r>
          </w:p>
        </w:tc>
        <w:tc>
          <w:tcPr>
            <w:tcW w:type="dxa" w:w="2160"/>
          </w:tcPr>
          <w:p>
            <w:r/>
            <w:r>
              <w:rPr>
                <w:rFonts w:ascii="Arial" w:hAnsi="Arial"/>
                <w:color w:val="5C6578"/>
                <w:sz w:val="19"/>
              </w:rPr>
              <w:t>All investor conversations</w:t>
            </w:r>
          </w:p>
        </w:tc>
        <w:tc>
          <w:tcPr>
            <w:tcW w:type="dxa" w:w="4608"/>
          </w:tcPr>
          <w:p>
            <w:r/>
            <w:r>
              <w:rPr>
                <w:rFonts w:ascii="Arial" w:hAnsi="Arial"/>
                <w:color w:val="5C6578"/>
                <w:sz w:val="19"/>
              </w:rPr>
              <w:t>“We’re not building a directory. We’re building the intelligence layer that connects grief support to human expertise.”</w:t>
            </w:r>
          </w:p>
        </w:tc>
      </w:tr>
    </w:tbl>
    <w:p/>
    <w:p>
      <w:pPr>
        <w:pStyle w:val="Heading2"/>
      </w:pPr>
      <w:r>
        <w:t>10.6 Crisis Communication Protocol</w:t>
      </w:r>
    </w:p>
    <w:p>
      <w:r>
        <w:rPr>
          <w:b w:val="0"/>
          <w:i w:val="0"/>
        </w:rPr>
        <w:t>Because the marketplace serves vulnerable users, communication failures carry higher stakes than in a typical product.</w:t>
      </w:r>
    </w:p>
    <w:p>
      <w:pPr>
        <w:spacing w:after="80"/>
        <w:ind w:left="360"/>
      </w:pPr>
      <w:r>
        <w:rPr>
          <w:b/>
          <w:color w:val="6366C0"/>
          <w:sz w:val="21"/>
        </w:rPr>
        <w:t xml:space="preserve">Provider quality issue. </w:t>
      </w:r>
      <w:r>
        <w:rPr>
          <w:color w:val="5C6578"/>
          <w:sz w:val="21"/>
        </w:rPr>
        <w:t>Immediate internal escalation. Provider profile paused within 2 hours. User contacted with care and alternative options. Post-mortem within 48 hours.</w:t>
      </w:r>
    </w:p>
    <w:p>
      <w:pPr>
        <w:spacing w:after="80"/>
        <w:ind w:left="360"/>
      </w:pPr>
      <w:r>
        <w:rPr>
          <w:b/>
          <w:color w:val="6366C0"/>
          <w:sz w:val="21"/>
        </w:rPr>
        <w:t xml:space="preserve">User safety concern. </w:t>
      </w:r>
      <w:r>
        <w:rPr>
          <w:color w:val="5C6578"/>
          <w:sz w:val="21"/>
        </w:rPr>
        <w:t>If a user reports harm from a provider interaction, activate safety protocol immediately. Coordinate with clinical advisory (when available). Provider suspended pending review.</w:t>
      </w:r>
    </w:p>
    <w:p>
      <w:pPr>
        <w:spacing w:after="80"/>
        <w:ind w:left="360"/>
      </w:pPr>
      <w:r>
        <w:rPr>
          <w:b/>
          <w:color w:val="6366C0"/>
          <w:sz w:val="21"/>
        </w:rPr>
        <w:t xml:space="preserve">Data or privacy incident. </w:t>
      </w:r>
      <w:r>
        <w:rPr>
          <w:color w:val="5C6578"/>
          <w:sz w:val="21"/>
        </w:rPr>
        <w:t>Standard incident response plus grief-sensitive user notification. Tone must be transparent and protective, never corporate or defensive.</w:t>
      </w:r>
    </w:p>
    <w:p>
      <w:pPr>
        <w:spacing w:after="80"/>
        <w:ind w:left="360"/>
      </w:pPr>
      <w:r>
        <w:rPr>
          <w:b/>
          <w:color w:val="6366C0"/>
          <w:sz w:val="21"/>
        </w:rPr>
        <w:t xml:space="preserve">Negative press or public criticism. </w:t>
      </w:r>
      <w:r>
        <w:rPr>
          <w:color w:val="5C6578"/>
          <w:sz w:val="21"/>
        </w:rPr>
        <w:t>Respond from the brand’s values, not from a PR playbook. Acknowledge, take responsibility where warranted, explain what’s changing.</w:t>
      </w:r>
    </w:p>
    <w:p>
      <w:pPr>
        <w:spacing w:before="240" w:after="240"/>
        <w:pBdr>
          <w:bottom w:val="single" w:sz="4" w:space="1" w:color="E8E0FA"/>
        </w:pBdr>
      </w:pPr>
    </w:p>
    <w:p>
      <w:pPr>
        <w:pStyle w:val="Heading1"/>
      </w:pPr>
      <w:r>
        <w:t>11. Product Architecture and Workflow</w:t>
      </w:r>
    </w:p>
    <w:p>
      <w:pPr>
        <w:pStyle w:val="Heading2"/>
      </w:pPr>
      <w:r>
        <w:t>Integration model</w:t>
      </w:r>
    </w:p>
    <w:p>
      <w:r>
        <w:rPr>
          <w:b w:val="0"/>
          <w:i w:val="0"/>
        </w:rPr>
        <w:t>Find Care is not a standalone destination. It’s an intelligence layer woven through the product, surfacing the right support at the right moment.</w:t>
      </w:r>
    </w:p>
    <w:tbl>
      <w:tblPr>
        <w:tblStyle w:val="TableGrid"/>
        <w:tblW w:type="auto" w:w="0"/>
        <w:jc w:val="center"/>
        <w:tblLook w:firstColumn="1" w:firstRow="1" w:lastColumn="0" w:lastRow="0" w:noHBand="0" w:noVBand="1" w:val="04A0"/>
      </w:tblPr>
      <w:tblGrid>
        <w:gridCol w:w="4680"/>
        <w:gridCol w:w="4680"/>
      </w:tblGrid>
      <w:tr>
        <w:tc>
          <w:tcPr>
            <w:tcW w:type="dxa" w:w="2160"/>
            <w:shd w:fill="6366C0" w:val="clear"/>
          </w:tcPr>
          <w:p>
            <w:r/>
            <w:r>
              <w:rPr>
                <w:rFonts w:ascii="Arial" w:hAnsi="Arial"/>
                <w:b/>
                <w:color w:val="FFFFFF"/>
                <w:sz w:val="19"/>
              </w:rPr>
              <w:t>Product Surface</w:t>
            </w:r>
          </w:p>
        </w:tc>
        <w:tc>
          <w:tcPr>
            <w:tcW w:type="dxa" w:w="7200"/>
            <w:shd w:fill="6366C0" w:val="clear"/>
          </w:tcPr>
          <w:p>
            <w:r/>
            <w:r>
              <w:rPr>
                <w:rFonts w:ascii="Arial" w:hAnsi="Arial"/>
                <w:b/>
                <w:color w:val="FFFFFF"/>
                <w:sz w:val="19"/>
              </w:rPr>
              <w:t>Marketplace Role</w:t>
            </w:r>
          </w:p>
        </w:tc>
      </w:tr>
      <w:tr>
        <w:tc>
          <w:tcPr>
            <w:tcW w:type="dxa" w:w="2160"/>
          </w:tcPr>
          <w:p>
            <w:r/>
            <w:r>
              <w:rPr>
                <w:rFonts w:ascii="Arial" w:hAnsi="Arial"/>
                <w:color w:val="5C6578"/>
                <w:sz w:val="19"/>
              </w:rPr>
              <w:t>Today</w:t>
            </w:r>
          </w:p>
        </w:tc>
        <w:tc>
          <w:tcPr>
            <w:tcW w:type="dxa" w:w="7200"/>
          </w:tcPr>
          <w:p>
            <w:r/>
            <w:r>
              <w:rPr>
                <w:rFonts w:ascii="Arial" w:hAnsi="Arial"/>
                <w:color w:val="5C6578"/>
                <w:sz w:val="19"/>
              </w:rPr>
              <w:t>Surfaces care suggestions when context signals the user may benefit from professional support</w:t>
            </w:r>
          </w:p>
        </w:tc>
      </w:tr>
      <w:tr>
        <w:tc>
          <w:tcPr>
            <w:tcW w:type="dxa" w:w="2160"/>
          </w:tcPr>
          <w:p>
            <w:r/>
            <w:r>
              <w:rPr>
                <w:rFonts w:ascii="Arial" w:hAnsi="Arial"/>
                <w:color w:val="5C6578"/>
                <w:sz w:val="19"/>
              </w:rPr>
              <w:t>Guides</w:t>
            </w:r>
          </w:p>
        </w:tc>
        <w:tc>
          <w:tcPr>
            <w:tcW w:type="dxa" w:w="7200"/>
          </w:tcPr>
          <w:p>
            <w:r/>
            <w:r>
              <w:rPr>
                <w:rFonts w:ascii="Arial" w:hAnsi="Arial"/>
                <w:color w:val="5C6578"/>
                <w:sz w:val="19"/>
              </w:rPr>
              <w:t>Explains what type of support may help and links naturally into Find Care</w:t>
            </w:r>
          </w:p>
        </w:tc>
      </w:tr>
      <w:tr>
        <w:tc>
          <w:tcPr>
            <w:tcW w:type="dxa" w:w="2160"/>
          </w:tcPr>
          <w:p>
            <w:r/>
            <w:r>
              <w:rPr>
                <w:rFonts w:ascii="Arial" w:hAnsi="Arial"/>
                <w:color w:val="5C6578"/>
                <w:sz w:val="19"/>
              </w:rPr>
              <w:t>LightKeeper</w:t>
            </w:r>
          </w:p>
        </w:tc>
        <w:tc>
          <w:tcPr>
            <w:tcW w:type="dxa" w:w="7200"/>
          </w:tcPr>
          <w:p>
            <w:r/>
            <w:r>
              <w:rPr>
                <w:rFonts w:ascii="Arial" w:hAnsi="Arial"/>
                <w:color w:val="5C6578"/>
                <w:sz w:val="19"/>
              </w:rPr>
              <w:t>Identifies moments where human support is more appropriate; routes to Find Care with context</w:t>
            </w:r>
          </w:p>
        </w:tc>
      </w:tr>
      <w:tr>
        <w:tc>
          <w:tcPr>
            <w:tcW w:type="dxa" w:w="2160"/>
          </w:tcPr>
          <w:p>
            <w:r/>
            <w:r>
              <w:rPr>
                <w:rFonts w:ascii="Arial" w:hAnsi="Arial"/>
                <w:color w:val="5C6578"/>
                <w:sz w:val="19"/>
              </w:rPr>
              <w:t>Inner Light</w:t>
            </w:r>
          </w:p>
        </w:tc>
        <w:tc>
          <w:tcPr>
            <w:tcW w:type="dxa" w:w="7200"/>
          </w:tcPr>
          <w:p>
            <w:r/>
            <w:r>
              <w:rPr>
                <w:rFonts w:ascii="Arial" w:hAnsi="Arial"/>
                <w:color w:val="5C6578"/>
                <w:sz w:val="19"/>
              </w:rPr>
              <w:t>Remains sanctuary-first; may suggest external support only when the user signals readiness</w:t>
            </w:r>
          </w:p>
        </w:tc>
      </w:tr>
      <w:tr>
        <w:tc>
          <w:tcPr>
            <w:tcW w:type="dxa" w:w="2160"/>
          </w:tcPr>
          <w:p>
            <w:r/>
            <w:r>
              <w:rPr>
                <w:rFonts w:ascii="Arial" w:hAnsi="Arial"/>
                <w:color w:val="5C6578"/>
                <w:sz w:val="19"/>
              </w:rPr>
              <w:t>Care Plan</w:t>
            </w:r>
          </w:p>
        </w:tc>
        <w:tc>
          <w:tcPr>
            <w:tcW w:type="dxa" w:w="7200"/>
          </w:tcPr>
          <w:p>
            <w:r/>
            <w:r>
              <w:rPr>
                <w:rFonts w:ascii="Arial" w:hAnsi="Arial"/>
                <w:color w:val="5C6578"/>
                <w:sz w:val="19"/>
              </w:rPr>
              <w:t>Primary integration point: tasks embed provider search, outreach drafts, and handoff actions</w:t>
            </w:r>
          </w:p>
        </w:tc>
      </w:tr>
      <w:tr>
        <w:tc>
          <w:tcPr>
            <w:tcW w:type="dxa" w:w="2160"/>
          </w:tcPr>
          <w:p>
            <w:r/>
            <w:r>
              <w:rPr>
                <w:rFonts w:ascii="Arial" w:hAnsi="Arial"/>
                <w:color w:val="5C6578"/>
                <w:sz w:val="19"/>
              </w:rPr>
              <w:t>Find Care</w:t>
            </w:r>
          </w:p>
        </w:tc>
        <w:tc>
          <w:tcPr>
            <w:tcW w:type="dxa" w:w="7200"/>
          </w:tcPr>
          <w:p>
            <w:r/>
            <w:r>
              <w:rPr>
                <w:rFonts w:ascii="Arial" w:hAnsi="Arial"/>
                <w:color w:val="5C6578"/>
                <w:sz w:val="19"/>
              </w:rPr>
              <w:t>Dedicated browse and match destination — but not the only place discovery happens</w:t>
            </w:r>
          </w:p>
        </w:tc>
      </w:tr>
    </w:tbl>
    <w:p/>
    <w:p>
      <w:pPr>
        <w:pStyle w:val="Heading2"/>
      </w:pPr>
      <w:r>
        <w:t>System requirements</w:t>
      </w:r>
    </w:p>
    <w:tbl>
      <w:tblPr>
        <w:tblStyle w:val="TableGrid"/>
        <w:tblW w:type="auto" w:w="0"/>
        <w:jc w:val="center"/>
        <w:tblLook w:firstColumn="1" w:firstRow="1" w:lastColumn="0" w:lastRow="0" w:noHBand="0" w:noVBand="1" w:val="04A0"/>
      </w:tblPr>
      <w:tblGrid>
        <w:gridCol w:w="4680"/>
        <w:gridCol w:w="4680"/>
      </w:tblGrid>
      <w:tr>
        <w:tc>
          <w:tcPr>
            <w:tcW w:type="dxa" w:w="2880"/>
            <w:shd w:fill="6366C0" w:val="clear"/>
          </w:tcPr>
          <w:p>
            <w:r/>
            <w:r>
              <w:rPr>
                <w:rFonts w:ascii="Arial" w:hAnsi="Arial"/>
                <w:b/>
                <w:color w:val="FFFFFF"/>
                <w:sz w:val="19"/>
              </w:rPr>
              <w:t>Layer</w:t>
            </w:r>
          </w:p>
        </w:tc>
        <w:tc>
          <w:tcPr>
            <w:tcW w:type="dxa" w:w="6480"/>
            <w:shd w:fill="6366C0" w:val="clear"/>
          </w:tcPr>
          <w:p>
            <w:r/>
            <w:r>
              <w:rPr>
                <w:rFonts w:ascii="Arial" w:hAnsi="Arial"/>
                <w:b/>
                <w:color w:val="FFFFFF"/>
                <w:sz w:val="19"/>
              </w:rPr>
              <w:t>Requirements</w:t>
            </w:r>
          </w:p>
        </w:tc>
      </w:tr>
      <w:tr>
        <w:tc>
          <w:tcPr>
            <w:tcW w:type="dxa" w:w="2880"/>
          </w:tcPr>
          <w:p>
            <w:r/>
            <w:r>
              <w:rPr>
                <w:rFonts w:ascii="Arial" w:hAnsi="Arial"/>
                <w:color w:val="5C6578"/>
                <w:sz w:val="19"/>
              </w:rPr>
              <w:t>Provider data model</w:t>
            </w:r>
          </w:p>
        </w:tc>
        <w:tc>
          <w:tcPr>
            <w:tcW w:type="dxa" w:w="6480"/>
          </w:tcPr>
          <w:p>
            <w:r/>
            <w:r>
              <w:rPr>
                <w:rFonts w:ascii="Arial" w:hAnsi="Arial"/>
                <w:color w:val="5C6578"/>
                <w:sz w:val="19"/>
              </w:rPr>
              <w:t>Profiles, categories, specialties, trust signals, pricing, availability, verification state</w:t>
            </w:r>
          </w:p>
        </w:tc>
      </w:tr>
      <w:tr>
        <w:tc>
          <w:tcPr>
            <w:tcW w:type="dxa" w:w="2880"/>
          </w:tcPr>
          <w:p>
            <w:r/>
            <w:r>
              <w:rPr>
                <w:rFonts w:ascii="Arial" w:hAnsi="Arial"/>
                <w:color w:val="5C6578"/>
                <w:sz w:val="19"/>
              </w:rPr>
              <w:t>Workflow objects</w:t>
            </w:r>
          </w:p>
        </w:tc>
        <w:tc>
          <w:tcPr>
            <w:tcW w:type="dxa" w:w="6480"/>
          </w:tcPr>
          <w:p>
            <w:r/>
            <w:r>
              <w:rPr>
                <w:rFonts w:ascii="Arial" w:hAnsi="Arial"/>
                <w:color w:val="5C6578"/>
                <w:sz w:val="19"/>
              </w:rPr>
              <w:t>Referral requests, outreach actions, notes, follow-up status, contact outcomes</w:t>
            </w:r>
          </w:p>
        </w:tc>
      </w:tr>
      <w:tr>
        <w:tc>
          <w:tcPr>
            <w:tcW w:type="dxa" w:w="2880"/>
          </w:tcPr>
          <w:p>
            <w:r/>
            <w:r>
              <w:rPr>
                <w:rFonts w:ascii="Arial" w:hAnsi="Arial"/>
                <w:color w:val="5C6578"/>
                <w:sz w:val="19"/>
              </w:rPr>
              <w:t>Moderation and governance</w:t>
            </w:r>
          </w:p>
        </w:tc>
        <w:tc>
          <w:tcPr>
            <w:tcW w:type="dxa" w:w="6480"/>
          </w:tcPr>
          <w:p>
            <w:r/>
            <w:r>
              <w:rPr>
                <w:rFonts w:ascii="Arial" w:hAnsi="Arial"/>
                <w:color w:val="5C6578"/>
                <w:sz w:val="19"/>
              </w:rPr>
              <w:t>Draft, submitted, approved, rejected, suspended states; admin review and audit trail</w:t>
            </w:r>
          </w:p>
        </w:tc>
      </w:tr>
      <w:tr>
        <w:tc>
          <w:tcPr>
            <w:tcW w:type="dxa" w:w="2880"/>
          </w:tcPr>
          <w:p>
            <w:r/>
            <w:r>
              <w:rPr>
                <w:rFonts w:ascii="Arial" w:hAnsi="Arial"/>
                <w:color w:val="5C6578"/>
                <w:sz w:val="19"/>
              </w:rPr>
              <w:t>Matching layer</w:t>
            </w:r>
          </w:p>
        </w:tc>
        <w:tc>
          <w:tcPr>
            <w:tcW w:type="dxa" w:w="6480"/>
          </w:tcPr>
          <w:p>
            <w:r/>
            <w:r>
              <w:rPr>
                <w:rFonts w:ascii="Arial" w:hAnsi="Arial"/>
                <w:color w:val="5C6578"/>
                <w:sz w:val="19"/>
              </w:rPr>
              <w:t>Rule-based and AI-assisted ranking by user context, task context, geography, and fit signals</w:t>
            </w:r>
          </w:p>
        </w:tc>
      </w:tr>
      <w:tr>
        <w:tc>
          <w:tcPr>
            <w:tcW w:type="dxa" w:w="2880"/>
          </w:tcPr>
          <w:p>
            <w:r/>
            <w:r>
              <w:rPr>
                <w:rFonts w:ascii="Arial" w:hAnsi="Arial"/>
                <w:color w:val="5C6578"/>
                <w:sz w:val="19"/>
              </w:rPr>
              <w:t>Supporter collaboration</w:t>
            </w:r>
          </w:p>
        </w:tc>
        <w:tc>
          <w:tcPr>
            <w:tcW w:type="dxa" w:w="6480"/>
          </w:tcPr>
          <w:p>
            <w:r/>
            <w:r>
              <w:rPr>
                <w:rFonts w:ascii="Arial" w:hAnsi="Arial"/>
                <w:color w:val="5C6578"/>
                <w:sz w:val="19"/>
              </w:rPr>
              <w:t>Share or assign provider outreach and follow-up tasks to the circle of care</w:t>
            </w:r>
          </w:p>
        </w:tc>
      </w:tr>
      <w:tr>
        <w:tc>
          <w:tcPr>
            <w:tcW w:type="dxa" w:w="2880"/>
          </w:tcPr>
          <w:p>
            <w:r/>
            <w:r>
              <w:rPr>
                <w:rFonts w:ascii="Arial" w:hAnsi="Arial"/>
                <w:color w:val="5C6578"/>
                <w:sz w:val="19"/>
              </w:rPr>
              <w:t>Analytics</w:t>
            </w:r>
          </w:p>
        </w:tc>
        <w:tc>
          <w:tcPr>
            <w:tcW w:type="dxa" w:w="6480"/>
          </w:tcPr>
          <w:p>
            <w:r/>
            <w:r>
              <w:rPr>
                <w:rFonts w:ascii="Arial" w:hAnsi="Arial"/>
                <w:color w:val="5C6578"/>
                <w:sz w:val="19"/>
              </w:rPr>
              <w:t>Views, contact attempts, referral conversion, response times, quality signals</w:t>
            </w:r>
          </w:p>
        </w:tc>
      </w:tr>
      <w:tr>
        <w:tc>
          <w:tcPr>
            <w:tcW w:type="dxa" w:w="2880"/>
          </w:tcPr>
          <w:p>
            <w:r/>
            <w:r>
              <w:rPr>
                <w:rFonts w:ascii="Arial" w:hAnsi="Arial"/>
                <w:color w:val="5C6578"/>
                <w:sz w:val="19"/>
              </w:rPr>
              <w:t>Monetization hooks</w:t>
            </w:r>
          </w:p>
        </w:tc>
        <w:tc>
          <w:tcPr>
            <w:tcW w:type="dxa" w:w="6480"/>
          </w:tcPr>
          <w:p>
            <w:r/>
            <w:r>
              <w:rPr>
                <w:rFonts w:ascii="Arial" w:hAnsi="Arial"/>
                <w:color w:val="5C6578"/>
                <w:sz w:val="19"/>
              </w:rPr>
              <w:t>Feature flags for premium placement, lead accounting, subscription logic</w:t>
            </w:r>
          </w:p>
        </w:tc>
      </w:tr>
    </w:tbl>
    <w:p/>
    <w:p>
      <w:pPr>
        <w:spacing w:before="240" w:after="240"/>
        <w:pBdr>
          <w:bottom w:val="single" w:sz="4" w:space="1" w:color="E8E0FA"/>
        </w:pBdr>
      </w:pPr>
    </w:p>
    <w:p>
      <w:pPr>
        <w:pStyle w:val="Heading1"/>
      </w:pPr>
      <w:r>
        <w:t>12. Emotional Design Principles</w:t>
      </w:r>
    </w:p>
    <w:p>
      <w:pPr>
        <w:spacing w:before="160" w:after="160"/>
        <w:ind w:left="432" w:right="432"/>
        <w:shd w:fill="E8E0FA" w:val="clear"/>
      </w:pPr>
      <w:r>
        <w:rPr>
          <w:i/>
          <w:color w:val="1C1C1E"/>
          <w:sz w:val="20"/>
        </w:rPr>
        <w:t>The 2am test applies here more than anywhere else in the product. Find Care is the moment where a grieving person reaches outward for human help. That is one of the most vulnerable gestures in the grief journey. Every pixel, every word, every interaction must honor that vulnerability.</w:t>
      </w:r>
    </w:p>
    <w:p>
      <w:pPr>
        <w:pStyle w:val="Heading2"/>
      </w:pPr>
      <w:r>
        <w:t>Core principles</w:t>
      </w:r>
    </w:p>
    <w:p>
      <w:pPr>
        <w:spacing w:after="120"/>
        <w:ind w:left="360"/>
      </w:pPr>
      <w:r>
        <w:rPr>
          <w:b/>
          <w:color w:val="6366C0"/>
          <w:sz w:val="21"/>
        </w:rPr>
        <w:t xml:space="preserve">Guide, don’t dump. </w:t>
      </w:r>
      <w:r>
        <w:rPr>
          <w:color w:val="5C6578"/>
          <w:sz w:val="21"/>
        </w:rPr>
        <w:t>Never present an overwhelming list. Prefer structured, reasoned suggestions. Two or three thoughtfully matched options are better than twenty search results.</w:t>
      </w:r>
    </w:p>
    <w:p>
      <w:pPr>
        <w:spacing w:after="120"/>
        <w:ind w:left="360"/>
      </w:pPr>
      <w:r>
        <w:rPr>
          <w:b/>
          <w:color w:val="6366C0"/>
          <w:sz w:val="21"/>
        </w:rPr>
        <w:t xml:space="preserve">Explain why. </w:t>
      </w:r>
      <w:r>
        <w:rPr>
          <w:color w:val="5C6578"/>
          <w:sz w:val="21"/>
        </w:rPr>
        <w:t>Every provider suggestion should carry a reason: “This counselor specializes in spousal loss and has worked with people navigating similar transitions.” Context builds trust.</w:t>
      </w:r>
    </w:p>
    <w:p>
      <w:pPr>
        <w:spacing w:after="120"/>
        <w:ind w:left="360"/>
      </w:pPr>
      <w:r>
        <w:rPr>
          <w:b/>
          <w:color w:val="6366C0"/>
          <w:sz w:val="21"/>
        </w:rPr>
        <w:t xml:space="preserve">Embed action. </w:t>
      </w:r>
      <w:r>
        <w:rPr>
          <w:color w:val="5C6578"/>
          <w:sz w:val="21"/>
        </w:rPr>
        <w:t>From a Care Plan task, offer outreach drafts, questions to ask, and follow-up tracking. Don’t leave the user staring at a phone number.</w:t>
      </w:r>
    </w:p>
    <w:p>
      <w:pPr>
        <w:spacing w:after="120"/>
        <w:ind w:left="360"/>
      </w:pPr>
      <w:r>
        <w:rPr>
          <w:b/>
          <w:color w:val="6366C0"/>
          <w:sz w:val="21"/>
        </w:rPr>
        <w:t xml:space="preserve">Respect emotional state. </w:t>
      </w:r>
      <w:r>
        <w:rPr>
          <w:color w:val="5C6578"/>
          <w:sz w:val="21"/>
        </w:rPr>
        <w:t>On hard days, show fewer options. After overwhelm signals in LightKeeper, reduce cognitive load. The system should sense when less is more.</w:t>
      </w:r>
    </w:p>
    <w:p>
      <w:pPr>
        <w:spacing w:after="120"/>
        <w:ind w:left="360"/>
      </w:pPr>
      <w:r>
        <w:rPr>
          <w:b/>
          <w:color w:val="6366C0"/>
          <w:sz w:val="21"/>
        </w:rPr>
        <w:t xml:space="preserve">Preserve trust absolutely. </w:t>
      </w:r>
      <w:r>
        <w:rPr>
          <w:color w:val="5C6578"/>
          <w:sz w:val="21"/>
        </w:rPr>
        <w:t>Promoted or premium providers must never make the experience feel biased. If monetization compromises the user’s sense of safety, the monetization is wrong.</w:t>
      </w:r>
    </w:p>
    <w:p>
      <w:pPr>
        <w:spacing w:after="120"/>
        <w:ind w:left="360"/>
      </w:pPr>
      <w:r>
        <w:rPr>
          <w:b/>
          <w:color w:val="6366C0"/>
          <w:sz w:val="21"/>
        </w:rPr>
        <w:t xml:space="preserve">Honor the pace. </w:t>
      </w:r>
      <w:r>
        <w:rPr>
          <w:color w:val="5C6578"/>
          <w:sz w:val="21"/>
        </w:rPr>
        <w:t>Never push. “When you’re ready” is a valid state. The marketplace should be available without being aggressive.</w:t>
      </w:r>
    </w:p>
    <w:p>
      <w:pPr>
        <w:pStyle w:val="Heading2"/>
      </w:pPr>
      <w:r>
        <w:t>Visual design alignment</w:t>
      </w:r>
    </w:p>
    <w:p>
      <w:r>
        <w:rPr>
          <w:b w:val="0"/>
          <w:i w:val="0"/>
        </w:rPr>
        <w:t>Find Care should feel like the rest of LightPath — not like a marketplace bolted on.</w:t>
      </w:r>
    </w:p>
    <w:tbl>
      <w:tblPr>
        <w:tblStyle w:val="TableGrid"/>
        <w:tblW w:type="auto" w:w="0"/>
        <w:jc w:val="center"/>
        <w:tblLook w:firstColumn="1" w:firstRow="1" w:lastColumn="0" w:lastRow="0" w:noHBand="0" w:noVBand="1" w:val="04A0"/>
      </w:tblPr>
      <w:tblGrid>
        <w:gridCol w:w="4680"/>
        <w:gridCol w:w="4680"/>
      </w:tblGrid>
      <w:tr>
        <w:tc>
          <w:tcPr>
            <w:tcW w:type="dxa" w:w="2160"/>
            <w:shd w:fill="6366C0" w:val="clear"/>
          </w:tcPr>
          <w:p>
            <w:r/>
            <w:r>
              <w:rPr>
                <w:rFonts w:ascii="Arial" w:hAnsi="Arial"/>
                <w:b/>
                <w:color w:val="FFFFFF"/>
                <w:sz w:val="19"/>
              </w:rPr>
              <w:t>Element</w:t>
            </w:r>
          </w:p>
        </w:tc>
        <w:tc>
          <w:tcPr>
            <w:tcW w:type="dxa" w:w="7200"/>
            <w:shd w:fill="6366C0" w:val="clear"/>
          </w:tcPr>
          <w:p>
            <w:r/>
            <w:r>
              <w:rPr>
                <w:rFonts w:ascii="Arial" w:hAnsi="Arial"/>
                <w:b/>
                <w:color w:val="FFFFFF"/>
                <w:sz w:val="19"/>
              </w:rPr>
              <w:t>Design Guidance</w:t>
            </w:r>
          </w:p>
        </w:tc>
      </w:tr>
      <w:tr>
        <w:tc>
          <w:tcPr>
            <w:tcW w:type="dxa" w:w="2160"/>
          </w:tcPr>
          <w:p>
            <w:r/>
            <w:r>
              <w:rPr>
                <w:rFonts w:ascii="Arial" w:hAnsi="Arial"/>
                <w:color w:val="5C6578"/>
                <w:sz w:val="19"/>
              </w:rPr>
              <w:t>Provider cards</w:t>
            </w:r>
          </w:p>
        </w:tc>
        <w:tc>
          <w:tcPr>
            <w:tcW w:type="dxa" w:w="7200"/>
          </w:tcPr>
          <w:p>
            <w:r/>
            <w:r>
              <w:rPr>
                <w:rFonts w:ascii="Arial" w:hAnsi="Arial"/>
                <w:color w:val="5C6578"/>
                <w:sz w:val="19"/>
              </w:rPr>
              <w:t>Platform card style: 16px radius, soft shadows, warm surface (#F9F7F4). No harsh borders. Sage accent for verified providers.</w:t>
            </w:r>
          </w:p>
        </w:tc>
      </w:tr>
      <w:tr>
        <w:tc>
          <w:tcPr>
            <w:tcW w:type="dxa" w:w="2160"/>
          </w:tcPr>
          <w:p>
            <w:r/>
            <w:r>
              <w:rPr>
                <w:rFonts w:ascii="Arial" w:hAnsi="Arial"/>
                <w:color w:val="5C6578"/>
                <w:sz w:val="19"/>
              </w:rPr>
              <w:t>Category colors</w:t>
            </w:r>
          </w:p>
        </w:tc>
        <w:tc>
          <w:tcPr>
            <w:tcW w:type="dxa" w:w="7200"/>
          </w:tcPr>
          <w:p>
            <w:r/>
            <w:r>
              <w:rPr>
                <w:rFonts w:ascii="Arial" w:hAnsi="Arial"/>
                <w:color w:val="5C6578"/>
                <w:sz w:val="19"/>
              </w:rPr>
              <w:t>Follow Care Plan mapping: Administrative = purple, Financial = sunrise, Legal = sage, Benefits = bloom.</w:t>
            </w:r>
          </w:p>
        </w:tc>
      </w:tr>
      <w:tr>
        <w:tc>
          <w:tcPr>
            <w:tcW w:type="dxa" w:w="2160"/>
          </w:tcPr>
          <w:p>
            <w:r/>
            <w:r>
              <w:rPr>
                <w:rFonts w:ascii="Arial" w:hAnsi="Arial"/>
                <w:color w:val="5C6578"/>
                <w:sz w:val="19"/>
              </w:rPr>
              <w:t>Empty states</w:t>
            </w:r>
          </w:p>
        </w:tc>
        <w:tc>
          <w:tcPr>
            <w:tcW w:type="dxa" w:w="7200"/>
          </w:tcPr>
          <w:p>
            <w:r/>
            <w:r>
              <w:rPr>
                <w:rFonts w:ascii="Arial" w:hAnsi="Arial"/>
                <w:color w:val="5C6578"/>
                <w:sz w:val="19"/>
              </w:rPr>
              <w:t>Invitations, not dead ends: “We’re still growing our network of grief counselors in your area. We’ll let you know when someone becomes available.”</w:t>
            </w:r>
          </w:p>
        </w:tc>
      </w:tr>
      <w:tr>
        <w:tc>
          <w:tcPr>
            <w:tcW w:type="dxa" w:w="2160"/>
          </w:tcPr>
          <w:p>
            <w:r/>
            <w:r>
              <w:rPr>
                <w:rFonts w:ascii="Arial" w:hAnsi="Arial"/>
                <w:color w:val="5C6578"/>
                <w:sz w:val="19"/>
              </w:rPr>
              <w:t>Loading states</w:t>
            </w:r>
          </w:p>
        </w:tc>
        <w:tc>
          <w:tcPr>
            <w:tcW w:type="dxa" w:w="7200"/>
          </w:tcPr>
          <w:p>
            <w:r/>
            <w:r>
              <w:rPr>
                <w:rFonts w:ascii="Arial" w:hAnsi="Arial"/>
                <w:color w:val="5C6578"/>
                <w:sz w:val="19"/>
              </w:rPr>
              <w:t>Lavender pulse. Never a harsh spinner. The system is “finding the right support” not “loading results.”</w:t>
            </w:r>
          </w:p>
        </w:tc>
      </w:tr>
      <w:tr>
        <w:tc>
          <w:tcPr>
            <w:tcW w:type="dxa" w:w="2160"/>
          </w:tcPr>
          <w:p>
            <w:r/>
            <w:r>
              <w:rPr>
                <w:rFonts w:ascii="Arial" w:hAnsi="Arial"/>
                <w:color w:val="5C6578"/>
                <w:sz w:val="19"/>
              </w:rPr>
              <w:t>Success moments</w:t>
            </w:r>
          </w:p>
        </w:tc>
        <w:tc>
          <w:tcPr>
            <w:tcW w:type="dxa" w:w="7200"/>
          </w:tcPr>
          <w:p>
            <w:r/>
            <w:r>
              <w:rPr>
                <w:rFonts w:ascii="Arial" w:hAnsi="Arial"/>
                <w:color w:val="5C6578"/>
                <w:sz w:val="19"/>
              </w:rPr>
              <w:t>When a user contacts a provider, use sage (progress earned). When they book a session, a gentle glow. Joy is earned, never assumed.</w:t>
            </w:r>
          </w:p>
        </w:tc>
      </w:tr>
      <w:tr>
        <w:tc>
          <w:tcPr>
            <w:tcW w:type="dxa" w:w="2160"/>
          </w:tcPr>
          <w:p>
            <w:r/>
            <w:r>
              <w:rPr>
                <w:rFonts w:ascii="Arial" w:hAnsi="Arial"/>
                <w:color w:val="5C6578"/>
                <w:sz w:val="19"/>
              </w:rPr>
              <w:t>Error states</w:t>
            </w:r>
          </w:p>
        </w:tc>
        <w:tc>
          <w:tcPr>
            <w:tcW w:type="dxa" w:w="7200"/>
          </w:tcPr>
          <w:p>
            <w:r/>
            <w:r>
              <w:rPr>
                <w:rFonts w:ascii="Arial" w:hAnsi="Arial"/>
                <w:color w:val="5C6578"/>
                <w:sz w:val="19"/>
              </w:rPr>
              <w:t>Coral, never red. Warm and explanatory: “We couldn’t complete that request. Here’s what you can try.”</w:t>
            </w:r>
          </w:p>
        </w:tc>
      </w:tr>
    </w:tbl>
    <w:p/>
    <w:p>
      <w:pPr>
        <w:pStyle w:val="Heading2"/>
      </w:pPr>
      <w:r>
        <w:t>The 10/10 experience</w:t>
      </w:r>
    </w:p>
    <w:p>
      <w:r>
        <w:rPr>
          <w:b w:val="0"/>
          <w:i w:val="0"/>
        </w:rPr>
        <w:t>A world-class marketplace interaction should feel like the product already understands the user’s moment, narrows the universe into the right next choices, and helps them act without a blank page.</w:t>
      </w:r>
    </w:p>
    <w:p>
      <w:pPr>
        <w:spacing w:before="120"/>
      </w:pPr>
      <w:r>
        <w:rPr>
          <w:b/>
          <w:i w:val="0"/>
        </w:rPr>
        <w:t>Example scenarios:</w:t>
      </w:r>
    </w:p>
    <w:p>
      <w:pPr>
        <w:pStyle w:val="ListBullet"/>
        <w:spacing w:after="60"/>
        <w:ind w:left="360"/>
      </w:pPr>
      <w:r>
        <w:t>From a Care Plan task: the product shows 2–3 matched providers, explains why each fits, offers a draft outreach message, provides a short question list for the first call, and gives an option to delegate follow-up to a supporter.</w:t>
      </w:r>
    </w:p>
    <w:p>
      <w:pPr>
        <w:pStyle w:val="ListBullet"/>
        <w:spacing w:after="60"/>
        <w:ind w:left="360"/>
      </w:pPr>
      <w:r>
        <w:t>When a user shows signs of overwhelm: the product reduces noise to one or two best-fit options. Not ten. One or two.</w:t>
      </w:r>
    </w:p>
    <w:p>
      <w:pPr>
        <w:pStyle w:val="ListBullet"/>
        <w:spacing w:after="60"/>
        <w:ind w:left="360"/>
      </w:pPr>
      <w:r>
        <w:t>After a provider match: the system helps track contact attempts, responses, pricing discussed, availability, and next steps — so the user never has to start over.</w:t>
      </w:r>
    </w:p>
    <w:p>
      <w:pPr>
        <w:pStyle w:val="ListBullet"/>
        <w:spacing w:after="60"/>
        <w:ind w:left="360"/>
      </w:pPr>
      <w:r>
        <w:t>Late at night: the interface shifts to warm-glow tones. The message is softer. “You don’t have to figure this out tonight. We saved some options for when you’re ready.”</w:t>
      </w:r>
    </w:p>
    <w:p>
      <w:pPr>
        <w:spacing w:before="240" w:after="240"/>
        <w:pBdr>
          <w:bottom w:val="single" w:sz="4" w:space="1" w:color="E8E0FA"/>
        </w:pBdr>
      </w:pPr>
    </w:p>
    <w:p>
      <w:pPr>
        <w:pStyle w:val="Heading1"/>
      </w:pPr>
      <w:r>
        <w:t>13. Trust and Safety Framework</w:t>
      </w:r>
    </w:p>
    <w:p>
      <w:r>
        <w:rPr>
          <w:b w:val="0"/>
          <w:i w:val="0"/>
        </w:rPr>
        <w:t>A marketplace that serves grieving people carries an elevated responsibility. Trust failures don’t just lose a customer — they can deepen harm at a moment of profound vulnerability.</w:t>
      </w:r>
    </w:p>
    <w:p>
      <w:pPr>
        <w:pStyle w:val="Heading2"/>
      </w:pPr>
      <w:r>
        <w:t>Provider vetting</w:t>
      </w:r>
    </w:p>
    <w:tbl>
      <w:tblPr>
        <w:tblStyle w:val="TableGrid"/>
        <w:tblW w:type="auto" w:w="0"/>
        <w:jc w:val="center"/>
        <w:tblLook w:firstColumn="1" w:firstRow="1" w:lastColumn="0" w:lastRow="0" w:noHBand="0" w:noVBand="1" w:val="04A0"/>
      </w:tblPr>
      <w:tblGrid>
        <w:gridCol w:w="4680"/>
        <w:gridCol w:w="4680"/>
      </w:tblGrid>
      <w:tr>
        <w:tc>
          <w:tcPr>
            <w:tcW w:type="dxa" w:w="2880"/>
            <w:shd w:fill="6366C0" w:val="clear"/>
          </w:tcPr>
          <w:p>
            <w:r/>
            <w:r>
              <w:rPr>
                <w:rFonts w:ascii="Arial" w:hAnsi="Arial"/>
                <w:b/>
                <w:color w:val="FFFFFF"/>
                <w:sz w:val="19"/>
              </w:rPr>
              <w:t>Safeguard</w:t>
            </w:r>
          </w:p>
        </w:tc>
        <w:tc>
          <w:tcPr>
            <w:tcW w:type="dxa" w:w="6480"/>
            <w:shd w:fill="6366C0" w:val="clear"/>
          </w:tcPr>
          <w:p>
            <w:r/>
            <w:r>
              <w:rPr>
                <w:rFonts w:ascii="Arial" w:hAnsi="Arial"/>
                <w:b/>
                <w:color w:val="FFFFFF"/>
                <w:sz w:val="19"/>
              </w:rPr>
              <w:t>Description</w:t>
            </w:r>
          </w:p>
        </w:tc>
      </w:tr>
      <w:tr>
        <w:tc>
          <w:tcPr>
            <w:tcW w:type="dxa" w:w="2880"/>
          </w:tcPr>
          <w:p>
            <w:r/>
            <w:r>
              <w:rPr>
                <w:rFonts w:ascii="Arial" w:hAnsi="Arial"/>
                <w:color w:val="5C6578"/>
                <w:sz w:val="19"/>
              </w:rPr>
              <w:t>Credential verification</w:t>
            </w:r>
          </w:p>
        </w:tc>
        <w:tc>
          <w:tcPr>
            <w:tcW w:type="dxa" w:w="6480"/>
          </w:tcPr>
          <w:p>
            <w:r/>
            <w:r>
              <w:rPr>
                <w:rFonts w:ascii="Arial" w:hAnsi="Arial"/>
                <w:color w:val="5C6578"/>
                <w:sz w:val="19"/>
              </w:rPr>
              <w:t>All licensed providers must have credentials independently verified before profile approval</w:t>
            </w:r>
          </w:p>
        </w:tc>
      </w:tr>
      <w:tr>
        <w:tc>
          <w:tcPr>
            <w:tcW w:type="dxa" w:w="2880"/>
          </w:tcPr>
          <w:p>
            <w:r/>
            <w:r>
              <w:rPr>
                <w:rFonts w:ascii="Arial" w:hAnsi="Arial"/>
                <w:color w:val="5C6578"/>
                <w:sz w:val="19"/>
              </w:rPr>
              <w:t>Grief-specific screening</w:t>
            </w:r>
          </w:p>
        </w:tc>
        <w:tc>
          <w:tcPr>
            <w:tcW w:type="dxa" w:w="6480"/>
          </w:tcPr>
          <w:p>
            <w:r/>
            <w:r>
              <w:rPr>
                <w:rFonts w:ascii="Arial" w:hAnsi="Arial"/>
                <w:color w:val="5C6578"/>
                <w:sz w:val="19"/>
              </w:rPr>
              <w:t>Self-reported grief experience is confirmed through intake questions, portfolio review, or references</w:t>
            </w:r>
          </w:p>
        </w:tc>
      </w:tr>
      <w:tr>
        <w:tc>
          <w:tcPr>
            <w:tcW w:type="dxa" w:w="2880"/>
          </w:tcPr>
          <w:p>
            <w:r/>
            <w:r>
              <w:rPr>
                <w:rFonts w:ascii="Arial" w:hAnsi="Arial"/>
                <w:color w:val="5C6578"/>
                <w:sz w:val="19"/>
              </w:rPr>
              <w:t>Profile review</w:t>
            </w:r>
          </w:p>
        </w:tc>
        <w:tc>
          <w:tcPr>
            <w:tcW w:type="dxa" w:w="6480"/>
          </w:tcPr>
          <w:p>
            <w:r/>
            <w:r>
              <w:rPr>
                <w:rFonts w:ascii="Arial" w:hAnsi="Arial"/>
                <w:color w:val="5C6578"/>
                <w:sz w:val="19"/>
              </w:rPr>
              <w:t>Every profile is reviewed by a human moderator before going live. No auto-approval.</w:t>
            </w:r>
          </w:p>
        </w:tc>
      </w:tr>
      <w:tr>
        <w:tc>
          <w:tcPr>
            <w:tcW w:type="dxa" w:w="2880"/>
          </w:tcPr>
          <w:p>
            <w:r/>
            <w:r>
              <w:rPr>
                <w:rFonts w:ascii="Arial" w:hAnsi="Arial"/>
                <w:color w:val="5C6578"/>
                <w:sz w:val="19"/>
              </w:rPr>
              <w:t>Ongoing monitoring</w:t>
            </w:r>
          </w:p>
        </w:tc>
        <w:tc>
          <w:tcPr>
            <w:tcW w:type="dxa" w:w="6480"/>
          </w:tcPr>
          <w:p>
            <w:r/>
            <w:r>
              <w:rPr>
                <w:rFonts w:ascii="Arial" w:hAnsi="Arial"/>
                <w:color w:val="5C6578"/>
                <w:sz w:val="19"/>
              </w:rPr>
              <w:t>User feedback signals, response time tracking, and periodic re-verification</w:t>
            </w:r>
          </w:p>
        </w:tc>
      </w:tr>
      <w:tr>
        <w:tc>
          <w:tcPr>
            <w:tcW w:type="dxa" w:w="2880"/>
          </w:tcPr>
          <w:p>
            <w:r/>
            <w:r>
              <w:rPr>
                <w:rFonts w:ascii="Arial" w:hAnsi="Arial"/>
                <w:color w:val="5C6578"/>
                <w:sz w:val="19"/>
              </w:rPr>
              <w:t>Escalation protocol</w:t>
            </w:r>
          </w:p>
        </w:tc>
        <w:tc>
          <w:tcPr>
            <w:tcW w:type="dxa" w:w="6480"/>
          </w:tcPr>
          <w:p>
            <w:r/>
            <w:r>
              <w:rPr>
                <w:rFonts w:ascii="Arial" w:hAnsi="Arial"/>
                <w:color w:val="5C6578"/>
                <w:sz w:val="19"/>
              </w:rPr>
              <w:t>Clear, documented process for suspending or removing providers based on user reports or quality signals</w:t>
            </w:r>
          </w:p>
        </w:tc>
      </w:tr>
    </w:tbl>
    <w:p/>
    <w:p>
      <w:pPr>
        <w:pStyle w:val="Heading2"/>
      </w:pPr>
      <w:r>
        <w:t>User protection</w:t>
      </w:r>
    </w:p>
    <w:p>
      <w:pPr>
        <w:pStyle w:val="ListBullet"/>
        <w:spacing w:after="60"/>
        <w:ind w:left="360"/>
      </w:pPr>
      <w:r>
        <w:t>Users are never required to share personal information with providers through the platform before they choose to</w:t>
      </w:r>
    </w:p>
    <w:p>
      <w:pPr>
        <w:pStyle w:val="ListBullet"/>
        <w:spacing w:after="60"/>
        <w:ind w:left="360"/>
      </w:pPr>
      <w:r>
        <w:t>Provider recommendations clearly distinguish between curated matches and promoted placements</w:t>
      </w:r>
    </w:p>
    <w:p>
      <w:pPr>
        <w:pStyle w:val="ListBullet"/>
        <w:spacing w:after="60"/>
        <w:ind w:left="360"/>
      </w:pPr>
      <w:r>
        <w:t>Users can report negative experiences through a grief-sensitive feedback mechanism (not a standard complaint form)</w:t>
      </w:r>
    </w:p>
    <w:p>
      <w:pPr>
        <w:pStyle w:val="ListBullet"/>
        <w:spacing w:after="60"/>
        <w:ind w:left="360"/>
      </w:pPr>
      <w:r>
        <w:t>Crisis signals detected through LightKeeper or usage patterns trigger immediate safety protocols, not marketplace prompts</w:t>
      </w:r>
    </w:p>
    <w:p>
      <w:pPr>
        <w:pStyle w:val="ListBullet"/>
        <w:spacing w:after="60"/>
        <w:ind w:left="360"/>
      </w:pPr>
      <w:r>
        <w:t>No provider communication happens without the user’s explicit initiation</w:t>
      </w:r>
    </w:p>
    <w:p>
      <w:pPr>
        <w:pStyle w:val="Heading2"/>
      </w:pPr>
      <w:r>
        <w:t>Moderation states</w:t>
      </w:r>
    </w:p>
    <w:tbl>
      <w:tblPr>
        <w:tblStyle w:val="TableGrid"/>
        <w:tblW w:type="auto" w:w="0"/>
        <w:jc w:val="center"/>
        <w:tblLook w:firstColumn="1" w:firstRow="1" w:lastColumn="0" w:lastRow="0" w:noHBand="0" w:noVBand="1" w:val="04A0"/>
      </w:tblPr>
      <w:tblGrid>
        <w:gridCol w:w="4680"/>
        <w:gridCol w:w="4680"/>
      </w:tblGrid>
      <w:tr>
        <w:tc>
          <w:tcPr>
            <w:tcW w:type="dxa" w:w="2160"/>
            <w:shd w:fill="6366C0" w:val="clear"/>
          </w:tcPr>
          <w:p>
            <w:r/>
            <w:r>
              <w:rPr>
                <w:rFonts w:ascii="Arial" w:hAnsi="Arial"/>
                <w:b/>
                <w:color w:val="FFFFFF"/>
                <w:sz w:val="19"/>
              </w:rPr>
              <w:t>State</w:t>
            </w:r>
          </w:p>
        </w:tc>
        <w:tc>
          <w:tcPr>
            <w:tcW w:type="dxa" w:w="7200"/>
            <w:shd w:fill="6366C0" w:val="clear"/>
          </w:tcPr>
          <w:p>
            <w:r/>
            <w:r>
              <w:rPr>
                <w:rFonts w:ascii="Arial" w:hAnsi="Arial"/>
                <w:b/>
                <w:color w:val="FFFFFF"/>
                <w:sz w:val="19"/>
              </w:rPr>
              <w:t>Description</w:t>
            </w:r>
          </w:p>
        </w:tc>
      </w:tr>
      <w:tr>
        <w:tc>
          <w:tcPr>
            <w:tcW w:type="dxa" w:w="2160"/>
          </w:tcPr>
          <w:p>
            <w:r/>
            <w:r>
              <w:rPr>
                <w:rFonts w:ascii="Arial" w:hAnsi="Arial"/>
                <w:color w:val="5C6578"/>
                <w:sz w:val="19"/>
              </w:rPr>
              <w:t>Draft</w:t>
            </w:r>
          </w:p>
        </w:tc>
        <w:tc>
          <w:tcPr>
            <w:tcW w:type="dxa" w:w="7200"/>
          </w:tcPr>
          <w:p>
            <w:r/>
            <w:r>
              <w:rPr>
                <w:rFonts w:ascii="Arial" w:hAnsi="Arial"/>
                <w:color w:val="5C6578"/>
                <w:sz w:val="19"/>
              </w:rPr>
              <w:t>Provider has started profile but not submitted</w:t>
            </w:r>
          </w:p>
        </w:tc>
      </w:tr>
      <w:tr>
        <w:tc>
          <w:tcPr>
            <w:tcW w:type="dxa" w:w="2160"/>
          </w:tcPr>
          <w:p>
            <w:r/>
            <w:r>
              <w:rPr>
                <w:rFonts w:ascii="Arial" w:hAnsi="Arial"/>
                <w:color w:val="5C6578"/>
                <w:sz w:val="19"/>
              </w:rPr>
              <w:t>Submitted</w:t>
            </w:r>
          </w:p>
        </w:tc>
        <w:tc>
          <w:tcPr>
            <w:tcW w:type="dxa" w:w="7200"/>
          </w:tcPr>
          <w:p>
            <w:r/>
            <w:r>
              <w:rPr>
                <w:rFonts w:ascii="Arial" w:hAnsi="Arial"/>
                <w:color w:val="5C6578"/>
                <w:sz w:val="19"/>
              </w:rPr>
              <w:t>Pending human review</w:t>
            </w:r>
          </w:p>
        </w:tc>
      </w:tr>
      <w:tr>
        <w:tc>
          <w:tcPr>
            <w:tcW w:type="dxa" w:w="2160"/>
          </w:tcPr>
          <w:p>
            <w:r/>
            <w:r>
              <w:rPr>
                <w:rFonts w:ascii="Arial" w:hAnsi="Arial"/>
                <w:color w:val="5C6578"/>
                <w:sz w:val="19"/>
              </w:rPr>
              <w:t>Approved</w:t>
            </w:r>
          </w:p>
        </w:tc>
        <w:tc>
          <w:tcPr>
            <w:tcW w:type="dxa" w:w="7200"/>
          </w:tcPr>
          <w:p>
            <w:r/>
            <w:r>
              <w:rPr>
                <w:rFonts w:ascii="Arial" w:hAnsi="Arial"/>
                <w:color w:val="5C6578"/>
                <w:sz w:val="19"/>
              </w:rPr>
              <w:t>Live and visible to users</w:t>
            </w:r>
          </w:p>
        </w:tc>
      </w:tr>
      <w:tr>
        <w:tc>
          <w:tcPr>
            <w:tcW w:type="dxa" w:w="2160"/>
          </w:tcPr>
          <w:p>
            <w:r/>
            <w:r>
              <w:rPr>
                <w:rFonts w:ascii="Arial" w:hAnsi="Arial"/>
                <w:color w:val="5C6578"/>
                <w:sz w:val="19"/>
              </w:rPr>
              <w:t>Flagged</w:t>
            </w:r>
          </w:p>
        </w:tc>
        <w:tc>
          <w:tcPr>
            <w:tcW w:type="dxa" w:w="7200"/>
          </w:tcPr>
          <w:p>
            <w:r/>
            <w:r>
              <w:rPr>
                <w:rFonts w:ascii="Arial" w:hAnsi="Arial"/>
                <w:color w:val="5C6578"/>
                <w:sz w:val="19"/>
              </w:rPr>
              <w:t>Under review due to user report or quality signal</w:t>
            </w:r>
          </w:p>
        </w:tc>
      </w:tr>
      <w:tr>
        <w:tc>
          <w:tcPr>
            <w:tcW w:type="dxa" w:w="2160"/>
          </w:tcPr>
          <w:p>
            <w:r/>
            <w:r>
              <w:rPr>
                <w:rFonts w:ascii="Arial" w:hAnsi="Arial"/>
                <w:color w:val="5C6578"/>
                <w:sz w:val="19"/>
              </w:rPr>
              <w:t>Suspended</w:t>
            </w:r>
          </w:p>
        </w:tc>
        <w:tc>
          <w:tcPr>
            <w:tcW w:type="dxa" w:w="7200"/>
          </w:tcPr>
          <w:p>
            <w:r/>
            <w:r>
              <w:rPr>
                <w:rFonts w:ascii="Arial" w:hAnsi="Arial"/>
                <w:color w:val="5C6578"/>
                <w:sz w:val="19"/>
              </w:rPr>
              <w:t>Temporarily removed pending investigation</w:t>
            </w:r>
          </w:p>
        </w:tc>
      </w:tr>
      <w:tr>
        <w:tc>
          <w:tcPr>
            <w:tcW w:type="dxa" w:w="2160"/>
          </w:tcPr>
          <w:p>
            <w:r/>
            <w:r>
              <w:rPr>
                <w:rFonts w:ascii="Arial" w:hAnsi="Arial"/>
                <w:color w:val="5C6578"/>
                <w:sz w:val="19"/>
              </w:rPr>
              <w:t>Rejected</w:t>
            </w:r>
          </w:p>
        </w:tc>
        <w:tc>
          <w:tcPr>
            <w:tcW w:type="dxa" w:w="7200"/>
          </w:tcPr>
          <w:p>
            <w:r/>
            <w:r>
              <w:rPr>
                <w:rFonts w:ascii="Arial" w:hAnsi="Arial"/>
                <w:color w:val="5C6578"/>
                <w:sz w:val="19"/>
              </w:rPr>
              <w:t>Did not meet quality or trust standards; provider notified with reason</w:t>
            </w:r>
          </w:p>
        </w:tc>
      </w:tr>
    </w:tbl>
    <w:p/>
    <w:p>
      <w:pPr>
        <w:pStyle w:val="Heading2"/>
      </w:pPr>
      <w:r>
        <w:t>Risks and mitigations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6366C0" w:val="clear"/>
          </w:tcPr>
          <w:p>
            <w:r/>
            <w:r>
              <w:rPr>
                <w:rFonts w:ascii="Arial" w:hAnsi="Arial"/>
                <w:b/>
                <w:color w:val="FFFFFF"/>
                <w:sz w:val="19"/>
              </w:rPr>
              <w:t>Risk</w:t>
            </w:r>
          </w:p>
        </w:tc>
        <w:tc>
          <w:tcPr>
            <w:tcW w:type="dxa" w:w="3312"/>
            <w:shd w:fill="6366C0" w:val="clear"/>
          </w:tcPr>
          <w:p>
            <w:r/>
            <w:r>
              <w:rPr>
                <w:rFonts w:ascii="Arial" w:hAnsi="Arial"/>
                <w:b/>
                <w:color w:val="FFFFFF"/>
                <w:sz w:val="19"/>
              </w:rPr>
              <w:t>Description</w:t>
            </w:r>
          </w:p>
        </w:tc>
        <w:tc>
          <w:tcPr>
            <w:tcW w:type="dxa" w:w="3888"/>
            <w:shd w:fill="6366C0" w:val="clear"/>
          </w:tcPr>
          <w:p>
            <w:r/>
            <w:r>
              <w:rPr>
                <w:rFonts w:ascii="Arial" w:hAnsi="Arial"/>
                <w:b/>
                <w:color w:val="FFFFFF"/>
                <w:sz w:val="19"/>
              </w:rPr>
              <w:t>Mitigation</w:t>
            </w:r>
          </w:p>
        </w:tc>
      </w:tr>
      <w:tr>
        <w:tc>
          <w:tcPr>
            <w:tcW w:type="dxa" w:w="2160"/>
          </w:tcPr>
          <w:p>
            <w:r/>
            <w:r>
              <w:rPr>
                <w:rFonts w:ascii="Arial" w:hAnsi="Arial"/>
                <w:color w:val="5C6578"/>
                <w:sz w:val="19"/>
              </w:rPr>
              <w:t>Predatory providers</w:t>
            </w:r>
          </w:p>
        </w:tc>
        <w:tc>
          <w:tcPr>
            <w:tcW w:type="dxa" w:w="3312"/>
          </w:tcPr>
          <w:p>
            <w:r/>
            <w:r>
              <w:rPr>
                <w:rFonts w:ascii="Arial" w:hAnsi="Arial"/>
                <w:color w:val="5C6578"/>
                <w:sz w:val="19"/>
              </w:rPr>
              <w:t>Providers who exploit grief vulnerability for financial gain</w:t>
            </w:r>
          </w:p>
        </w:tc>
        <w:tc>
          <w:tcPr>
            <w:tcW w:type="dxa" w:w="3888"/>
          </w:tcPr>
          <w:p>
            <w:r/>
            <w:r>
              <w:rPr>
                <w:rFonts w:ascii="Arial" w:hAnsi="Arial"/>
                <w:color w:val="5C6578"/>
                <w:sz w:val="19"/>
              </w:rPr>
              <w:t>Strict vetting, user feedback loops, financial-advice disclaimers, and periodic audits</w:t>
            </w:r>
          </w:p>
        </w:tc>
      </w:tr>
      <w:tr>
        <w:tc>
          <w:tcPr>
            <w:tcW w:type="dxa" w:w="2160"/>
          </w:tcPr>
          <w:p>
            <w:r/>
            <w:r>
              <w:rPr>
                <w:rFonts w:ascii="Arial" w:hAnsi="Arial"/>
                <w:color w:val="5C6578"/>
                <w:sz w:val="19"/>
              </w:rPr>
              <w:t>Quality variance</w:t>
            </w:r>
          </w:p>
        </w:tc>
        <w:tc>
          <w:tcPr>
            <w:tcW w:type="dxa" w:w="3312"/>
          </w:tcPr>
          <w:p>
            <w:r/>
            <w:r>
              <w:rPr>
                <w:rFonts w:ascii="Arial" w:hAnsi="Arial"/>
                <w:color w:val="5C6578"/>
                <w:sz w:val="19"/>
              </w:rPr>
              <w:t>Inconsistent provider quality erodes overall trust</w:t>
            </w:r>
          </w:p>
        </w:tc>
        <w:tc>
          <w:tcPr>
            <w:tcW w:type="dxa" w:w="3888"/>
          </w:tcPr>
          <w:p>
            <w:r/>
            <w:r>
              <w:rPr>
                <w:rFonts w:ascii="Arial" w:hAnsi="Arial"/>
                <w:color w:val="5C6578"/>
                <w:sz w:val="19"/>
              </w:rPr>
              <w:t>Verification standards, user rating signals (private, not public scores), and minimum quality thresholds for continued listing</w:t>
            </w:r>
          </w:p>
        </w:tc>
      </w:tr>
      <w:tr>
        <w:tc>
          <w:tcPr>
            <w:tcW w:type="dxa" w:w="2160"/>
          </w:tcPr>
          <w:p>
            <w:r/>
            <w:r>
              <w:rPr>
                <w:rFonts w:ascii="Arial" w:hAnsi="Arial"/>
                <w:color w:val="5C6578"/>
                <w:sz w:val="19"/>
              </w:rPr>
              <w:t>Emotional harm</w:t>
            </w:r>
          </w:p>
        </w:tc>
        <w:tc>
          <w:tcPr>
            <w:tcW w:type="dxa" w:w="3312"/>
          </w:tcPr>
          <w:p>
            <w:r/>
            <w:r>
              <w:rPr>
                <w:rFonts w:ascii="Arial" w:hAnsi="Arial"/>
                <w:color w:val="5C6578"/>
                <w:sz w:val="19"/>
              </w:rPr>
              <w:t>Bad match or insensitive provider interaction</w:t>
            </w:r>
          </w:p>
        </w:tc>
        <w:tc>
          <w:tcPr>
            <w:tcW w:type="dxa" w:w="3888"/>
          </w:tcPr>
          <w:p>
            <w:r/>
            <w:r>
              <w:rPr>
                <w:rFonts w:ascii="Arial" w:hAnsi="Arial"/>
                <w:color w:val="5C6578"/>
                <w:sz w:val="19"/>
              </w:rPr>
              <w:t>Grief-informed matching, post-interaction check-ins, easy reporting, and provider suspension protocol</w:t>
            </w:r>
          </w:p>
        </w:tc>
      </w:tr>
      <w:tr>
        <w:tc>
          <w:tcPr>
            <w:tcW w:type="dxa" w:w="2160"/>
          </w:tcPr>
          <w:p>
            <w:r/>
            <w:r>
              <w:rPr>
                <w:rFonts w:ascii="Arial" w:hAnsi="Arial"/>
                <w:color w:val="5C6578"/>
                <w:sz w:val="19"/>
              </w:rPr>
              <w:t>Bias in matching</w:t>
            </w:r>
          </w:p>
        </w:tc>
        <w:tc>
          <w:tcPr>
            <w:tcW w:type="dxa" w:w="3312"/>
          </w:tcPr>
          <w:p>
            <w:r/>
            <w:r>
              <w:rPr>
                <w:rFonts w:ascii="Arial" w:hAnsi="Arial"/>
                <w:color w:val="5C6578"/>
                <w:sz w:val="19"/>
              </w:rPr>
              <w:t>AI recommendations that inadvertently favor certain providers</w:t>
            </w:r>
          </w:p>
        </w:tc>
        <w:tc>
          <w:tcPr>
            <w:tcW w:type="dxa" w:w="3888"/>
          </w:tcPr>
          <w:p>
            <w:r/>
            <w:r>
              <w:rPr>
                <w:rFonts w:ascii="Arial" w:hAnsi="Arial"/>
                <w:color w:val="5C6578"/>
                <w:sz w:val="19"/>
              </w:rPr>
              <w:t>Transparent matching criteria, human oversight, regular bias audits</w:t>
            </w:r>
          </w:p>
        </w:tc>
      </w:tr>
      <w:tr>
        <w:tc>
          <w:tcPr>
            <w:tcW w:type="dxa" w:w="2160"/>
          </w:tcPr>
          <w:p>
            <w:r/>
            <w:r>
              <w:rPr>
                <w:rFonts w:ascii="Arial" w:hAnsi="Arial"/>
                <w:color w:val="5C6578"/>
                <w:sz w:val="19"/>
              </w:rPr>
              <w:t>Monetization vs. trust</w:t>
            </w:r>
          </w:p>
        </w:tc>
        <w:tc>
          <w:tcPr>
            <w:tcW w:type="dxa" w:w="3312"/>
          </w:tcPr>
          <w:p>
            <w:r/>
            <w:r>
              <w:rPr>
                <w:rFonts w:ascii="Arial" w:hAnsi="Arial"/>
                <w:color w:val="5C6578"/>
                <w:sz w:val="19"/>
              </w:rPr>
              <w:t>Paid placements that compromise user confidence</w:t>
            </w:r>
          </w:p>
        </w:tc>
        <w:tc>
          <w:tcPr>
            <w:tcW w:type="dxa" w:w="3888"/>
          </w:tcPr>
          <w:p>
            <w:r/>
            <w:r>
              <w:rPr>
                <w:rFonts w:ascii="Arial" w:hAnsi="Arial"/>
                <w:color w:val="5C6578"/>
                <w:sz w:val="19"/>
              </w:rPr>
              <w:t>Clear labeling of any promoted content; user trust metrics monitored alongside revenue</w:t>
            </w:r>
          </w:p>
        </w:tc>
      </w:tr>
    </w:tbl>
    <w:p/>
    <w:p>
      <w:pPr>
        <w:spacing w:before="240" w:after="240"/>
        <w:pBdr>
          <w:bottom w:val="single" w:sz="4" w:space="1" w:color="E8E0FA"/>
        </w:pBdr>
      </w:pPr>
    </w:p>
    <w:p>
      <w:pPr>
        <w:pStyle w:val="Heading1"/>
      </w:pPr>
      <w:r>
        <w:t>14. Success Metrics and KPIs</w:t>
      </w:r>
    </w:p>
    <w:p>
      <w:r>
        <w:rPr>
          <w:b w:val="0"/>
          <w:i w:val="0"/>
        </w:rPr>
        <w:t>Each phase of marketplace development should be measured against specific indicators. Vanity metrics (total listings, page views) are secondary. The metrics that matter are quality of fit, conversion, and user trust.</w:t>
      </w:r>
    </w:p>
    <w:p>
      <w:pPr>
        <w:pStyle w:val="Heading2"/>
      </w:pPr>
      <w:r>
        <w:t>Core metrics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6366C0" w:val="clear"/>
          </w:tcPr>
          <w:p>
            <w:r/>
            <w:r>
              <w:rPr>
                <w:rFonts w:ascii="Arial" w:hAnsi="Arial"/>
                <w:b/>
                <w:color w:val="FFFFFF"/>
                <w:sz w:val="19"/>
              </w:rPr>
              <w:t>Metric</w:t>
            </w:r>
          </w:p>
        </w:tc>
        <w:tc>
          <w:tcPr>
            <w:tcW w:type="dxa" w:w="3888"/>
            <w:shd w:fill="6366C0" w:val="clear"/>
          </w:tcPr>
          <w:p>
            <w:r/>
            <w:r>
              <w:rPr>
                <w:rFonts w:ascii="Arial" w:hAnsi="Arial"/>
                <w:b/>
                <w:color w:val="FFFFFF"/>
                <w:sz w:val="19"/>
              </w:rPr>
              <w:t>Definition</w:t>
            </w:r>
          </w:p>
        </w:tc>
        <w:tc>
          <w:tcPr>
            <w:tcW w:type="dxa" w:w="2880"/>
            <w:shd w:fill="6366C0" w:val="clear"/>
          </w:tcPr>
          <w:p>
            <w:r/>
            <w:r>
              <w:rPr>
                <w:rFonts w:ascii="Arial" w:hAnsi="Arial"/>
                <w:b/>
                <w:color w:val="FFFFFF"/>
                <w:sz w:val="19"/>
              </w:rPr>
              <w:t>Target</w:t>
            </w:r>
          </w:p>
        </w:tc>
      </w:tr>
      <w:tr>
        <w:tc>
          <w:tcPr>
            <w:tcW w:type="dxa" w:w="2592"/>
          </w:tcPr>
          <w:p>
            <w:r/>
            <w:r>
              <w:rPr>
                <w:rFonts w:ascii="Arial" w:hAnsi="Arial"/>
                <w:color w:val="5C6578"/>
                <w:sz w:val="19"/>
              </w:rPr>
              <w:t>Provider quality score</w:t>
            </w:r>
          </w:p>
        </w:tc>
        <w:tc>
          <w:tcPr>
            <w:tcW w:type="dxa" w:w="3888"/>
          </w:tcPr>
          <w:p>
            <w:r/>
            <w:r>
              <w:rPr>
                <w:rFonts w:ascii="Arial" w:hAnsi="Arial"/>
                <w:color w:val="5C6578"/>
                <w:sz w:val="19"/>
              </w:rPr>
              <w:t>Composite of verification status, response time, user feedback, and engagement quality</w:t>
            </w:r>
          </w:p>
        </w:tc>
        <w:tc>
          <w:tcPr>
            <w:tcW w:type="dxa" w:w="2880"/>
          </w:tcPr>
          <w:p>
            <w:r/>
            <w:r>
              <w:rPr>
                <w:rFonts w:ascii="Arial" w:hAnsi="Arial"/>
                <w:color w:val="5C6578"/>
                <w:sz w:val="19"/>
              </w:rPr>
              <w:t>Target: 85%+ of providers above quality threshold</w:t>
            </w:r>
          </w:p>
        </w:tc>
      </w:tr>
      <w:tr>
        <w:tc>
          <w:tcPr>
            <w:tcW w:type="dxa" w:w="2592"/>
          </w:tcPr>
          <w:p>
            <w:r/>
            <w:r>
              <w:rPr>
                <w:rFonts w:ascii="Arial" w:hAnsi="Arial"/>
                <w:color w:val="5C6578"/>
                <w:sz w:val="19"/>
              </w:rPr>
              <w:t>Referral-to-contact rate</w:t>
            </w:r>
          </w:p>
        </w:tc>
        <w:tc>
          <w:tcPr>
            <w:tcW w:type="dxa" w:w="3888"/>
          </w:tcPr>
          <w:p>
            <w:r/>
            <w:r>
              <w:rPr>
                <w:rFonts w:ascii="Arial" w:hAnsi="Arial"/>
                <w:color w:val="5C6578"/>
                <w:sz w:val="19"/>
              </w:rPr>
              <w:t>Percentage of users who view a provider and initiate contact</w:t>
            </w:r>
          </w:p>
        </w:tc>
        <w:tc>
          <w:tcPr>
            <w:tcW w:type="dxa" w:w="2880"/>
          </w:tcPr>
          <w:p>
            <w:r/>
            <w:r>
              <w:rPr>
                <w:rFonts w:ascii="Arial" w:hAnsi="Arial"/>
                <w:color w:val="5C6578"/>
                <w:sz w:val="19"/>
              </w:rPr>
              <w:t>Benchmark: 15–25% (vs. 3–5% for typical directories)</w:t>
            </w:r>
          </w:p>
        </w:tc>
      </w:tr>
      <w:tr>
        <w:tc>
          <w:tcPr>
            <w:tcW w:type="dxa" w:w="2592"/>
          </w:tcPr>
          <w:p>
            <w:r/>
            <w:r>
              <w:rPr>
                <w:rFonts w:ascii="Arial" w:hAnsi="Arial"/>
                <w:color w:val="5C6578"/>
                <w:sz w:val="19"/>
              </w:rPr>
              <w:t>Contact-to-engagement rate</w:t>
            </w:r>
          </w:p>
        </w:tc>
        <w:tc>
          <w:tcPr>
            <w:tcW w:type="dxa" w:w="3888"/>
          </w:tcPr>
          <w:p>
            <w:r/>
            <w:r>
              <w:rPr>
                <w:rFonts w:ascii="Arial" w:hAnsi="Arial"/>
                <w:color w:val="5C6578"/>
                <w:sz w:val="19"/>
              </w:rPr>
              <w:t>Percentage of contacts that result in a first session or meeting</w:t>
            </w:r>
          </w:p>
        </w:tc>
        <w:tc>
          <w:tcPr>
            <w:tcW w:type="dxa" w:w="2880"/>
          </w:tcPr>
          <w:p>
            <w:r/>
            <w:r>
              <w:rPr>
                <w:rFonts w:ascii="Arial" w:hAnsi="Arial"/>
                <w:color w:val="5C6578"/>
                <w:sz w:val="19"/>
              </w:rPr>
              <w:t>Benchmark: 40–60%</w:t>
            </w:r>
          </w:p>
        </w:tc>
      </w:tr>
      <w:tr>
        <w:tc>
          <w:tcPr>
            <w:tcW w:type="dxa" w:w="2592"/>
          </w:tcPr>
          <w:p>
            <w:r/>
            <w:r>
              <w:rPr>
                <w:rFonts w:ascii="Arial" w:hAnsi="Arial"/>
                <w:color w:val="5C6578"/>
                <w:sz w:val="19"/>
              </w:rPr>
              <w:t>User trust signal</w:t>
            </w:r>
          </w:p>
        </w:tc>
        <w:tc>
          <w:tcPr>
            <w:tcW w:type="dxa" w:w="3888"/>
          </w:tcPr>
          <w:p>
            <w:r/>
            <w:r>
              <w:rPr>
                <w:rFonts w:ascii="Arial" w:hAnsi="Arial"/>
                <w:color w:val="5C6578"/>
                <w:sz w:val="19"/>
              </w:rPr>
              <w:t>Post-interaction survey: “Did this feel like the right support for your moment?”</w:t>
            </w:r>
          </w:p>
        </w:tc>
        <w:tc>
          <w:tcPr>
            <w:tcW w:type="dxa" w:w="2880"/>
          </w:tcPr>
          <w:p>
            <w:r/>
            <w:r>
              <w:rPr>
                <w:rFonts w:ascii="Arial" w:hAnsi="Arial"/>
                <w:color w:val="5C6578"/>
                <w:sz w:val="19"/>
              </w:rPr>
              <w:t>Target: 4.5+/5.0</w:t>
            </w:r>
          </w:p>
        </w:tc>
      </w:tr>
      <w:tr>
        <w:tc>
          <w:tcPr>
            <w:tcW w:type="dxa" w:w="2592"/>
          </w:tcPr>
          <w:p>
            <w:r/>
            <w:r>
              <w:rPr>
                <w:rFonts w:ascii="Arial" w:hAnsi="Arial"/>
                <w:color w:val="5C6578"/>
                <w:sz w:val="19"/>
              </w:rPr>
              <w:t>Time to resolution</w:t>
            </w:r>
          </w:p>
        </w:tc>
        <w:tc>
          <w:tcPr>
            <w:tcW w:type="dxa" w:w="3888"/>
          </w:tcPr>
          <w:p>
            <w:r/>
            <w:r>
              <w:rPr>
                <w:rFonts w:ascii="Arial" w:hAnsi="Arial"/>
                <w:color w:val="5C6578"/>
                <w:sz w:val="19"/>
              </w:rPr>
              <w:t>Days from Care Plan task creation to first provider engagement</w:t>
            </w:r>
          </w:p>
        </w:tc>
        <w:tc>
          <w:tcPr>
            <w:tcW w:type="dxa" w:w="2880"/>
          </w:tcPr>
          <w:p>
            <w:r/>
            <w:r>
              <w:rPr>
                <w:rFonts w:ascii="Arial" w:hAnsi="Arial"/>
                <w:color w:val="5C6578"/>
                <w:sz w:val="19"/>
              </w:rPr>
              <w:t>Target: under 7 days for therapy; under 14 for legal/financial</w:t>
            </w:r>
          </w:p>
        </w:tc>
      </w:tr>
      <w:tr>
        <w:tc>
          <w:tcPr>
            <w:tcW w:type="dxa" w:w="2592"/>
          </w:tcPr>
          <w:p>
            <w:r/>
            <w:r>
              <w:rPr>
                <w:rFonts w:ascii="Arial" w:hAnsi="Arial"/>
                <w:color w:val="5C6578"/>
                <w:sz w:val="19"/>
              </w:rPr>
              <w:t>Provider satisfaction</w:t>
            </w:r>
          </w:p>
        </w:tc>
        <w:tc>
          <w:tcPr>
            <w:tcW w:type="dxa" w:w="3888"/>
          </w:tcPr>
          <w:p>
            <w:r/>
            <w:r>
              <w:rPr>
                <w:rFonts w:ascii="Arial" w:hAnsi="Arial"/>
                <w:color w:val="5C6578"/>
                <w:sz w:val="19"/>
              </w:rPr>
              <w:t>Quarterly provider survey on referral quality and platform experience</w:t>
            </w:r>
          </w:p>
        </w:tc>
        <w:tc>
          <w:tcPr>
            <w:tcW w:type="dxa" w:w="2880"/>
          </w:tcPr>
          <w:p>
            <w:r/>
            <w:r>
              <w:rPr>
                <w:rFonts w:ascii="Arial" w:hAnsi="Arial"/>
                <w:color w:val="5C6578"/>
                <w:sz w:val="19"/>
              </w:rPr>
              <w:t>Target: 4.0+/5.0; NPS 50+</w:t>
            </w:r>
          </w:p>
        </w:tc>
      </w:tr>
    </w:tbl>
    <w:p/>
    <w:p>
      <w:pPr>
        <w:pStyle w:val="Heading2"/>
      </w:pPr>
      <w:r>
        <w:t>Phase-specific success indicators</w:t>
      </w:r>
    </w:p>
    <w:tbl>
      <w:tblPr>
        <w:tblStyle w:val="TableGrid"/>
        <w:tblW w:type="auto" w:w="0"/>
        <w:jc w:val="center"/>
        <w:tblLook w:firstColumn="1" w:firstRow="1" w:lastColumn="0" w:lastRow="0" w:noHBand="0" w:noVBand="1" w:val="04A0"/>
      </w:tblPr>
      <w:tblGrid>
        <w:gridCol w:w="4680"/>
        <w:gridCol w:w="4680"/>
      </w:tblGrid>
      <w:tr>
        <w:tc>
          <w:tcPr>
            <w:tcW w:type="dxa" w:w="2880"/>
            <w:shd w:fill="6366C0" w:val="clear"/>
          </w:tcPr>
          <w:p>
            <w:r/>
            <w:r>
              <w:rPr>
                <w:rFonts w:ascii="Arial" w:hAnsi="Arial"/>
                <w:b/>
                <w:color w:val="FFFFFF"/>
                <w:sz w:val="19"/>
              </w:rPr>
              <w:t>Phase</w:t>
            </w:r>
          </w:p>
        </w:tc>
        <w:tc>
          <w:tcPr>
            <w:tcW w:type="dxa" w:w="6480"/>
            <w:shd w:fill="6366C0" w:val="clear"/>
          </w:tcPr>
          <w:p>
            <w:r/>
            <w:r>
              <w:rPr>
                <w:rFonts w:ascii="Arial" w:hAnsi="Arial"/>
                <w:b/>
                <w:color w:val="FFFFFF"/>
                <w:sz w:val="19"/>
              </w:rPr>
              <w:t>Key Success Indicators</w:t>
            </w:r>
          </w:p>
        </w:tc>
      </w:tr>
      <w:tr>
        <w:tc>
          <w:tcPr>
            <w:tcW w:type="dxa" w:w="2880"/>
          </w:tcPr>
          <w:p>
            <w:r/>
            <w:r>
              <w:rPr>
                <w:rFonts w:ascii="Arial" w:hAnsi="Arial"/>
                <w:color w:val="5C6578"/>
                <w:sz w:val="19"/>
              </w:rPr>
              <w:t>Phase 1: Design partners</w:t>
            </w:r>
          </w:p>
        </w:tc>
        <w:tc>
          <w:tcPr>
            <w:tcW w:type="dxa" w:w="6480"/>
          </w:tcPr>
          <w:p>
            <w:r/>
            <w:r>
              <w:rPr>
                <w:rFonts w:ascii="Arial" w:hAnsi="Arial"/>
                <w:color w:val="5C6578"/>
                <w:sz w:val="19"/>
              </w:rPr>
              <w:t>15–20 design partners onboarded; 80%+ completion of feedback sessions; profile UX validated</w:t>
            </w:r>
          </w:p>
        </w:tc>
      </w:tr>
      <w:tr>
        <w:tc>
          <w:tcPr>
            <w:tcW w:type="dxa" w:w="2880"/>
          </w:tcPr>
          <w:p>
            <w:r/>
            <w:r>
              <w:rPr>
                <w:rFonts w:ascii="Arial" w:hAnsi="Arial"/>
                <w:color w:val="5C6578"/>
                <w:sz w:val="19"/>
              </w:rPr>
              <w:t>Phase 2: Embedded Find Care</w:t>
            </w:r>
          </w:p>
        </w:tc>
        <w:tc>
          <w:tcPr>
            <w:tcW w:type="dxa" w:w="6480"/>
          </w:tcPr>
          <w:p>
            <w:r/>
            <w:r>
              <w:rPr>
                <w:rFonts w:ascii="Arial" w:hAnsi="Arial"/>
                <w:color w:val="5C6578"/>
                <w:sz w:val="19"/>
              </w:rPr>
              <w:t>Referral-to-contact rate above 15%; user trust signal above 4.3; Care Plan task completion rate improves</w:t>
            </w:r>
          </w:p>
        </w:tc>
      </w:tr>
      <w:tr>
        <w:tc>
          <w:tcPr>
            <w:tcW w:type="dxa" w:w="2880"/>
          </w:tcPr>
          <w:p>
            <w:r/>
            <w:r>
              <w:rPr>
                <w:rFonts w:ascii="Arial" w:hAnsi="Arial"/>
                <w:color w:val="5C6578"/>
                <w:sz w:val="19"/>
              </w:rPr>
              <w:t>Phase 3: Provider dashboard</w:t>
            </w:r>
          </w:p>
        </w:tc>
        <w:tc>
          <w:tcPr>
            <w:tcW w:type="dxa" w:w="6480"/>
          </w:tcPr>
          <w:p>
            <w:r/>
            <w:r>
              <w:rPr>
                <w:rFonts w:ascii="Arial" w:hAnsi="Arial"/>
                <w:color w:val="5C6578"/>
                <w:sz w:val="19"/>
              </w:rPr>
              <w:t>Provider satisfaction NPS above 40; 90%+ profile accuracy; average response time under 48 hours</w:t>
            </w:r>
          </w:p>
        </w:tc>
      </w:tr>
      <w:tr>
        <w:tc>
          <w:tcPr>
            <w:tcW w:type="dxa" w:w="2880"/>
          </w:tcPr>
          <w:p>
            <w:r/>
            <w:r>
              <w:rPr>
                <w:rFonts w:ascii="Arial" w:hAnsi="Arial"/>
                <w:color w:val="5C6578"/>
                <w:sz w:val="19"/>
              </w:rPr>
              <w:t>Phase 4: Monetization</w:t>
            </w:r>
          </w:p>
        </w:tc>
        <w:tc>
          <w:tcPr>
            <w:tcW w:type="dxa" w:w="6480"/>
          </w:tcPr>
          <w:p>
            <w:r/>
            <w:r>
              <w:rPr>
                <w:rFonts w:ascii="Arial" w:hAnsi="Arial"/>
                <w:color w:val="5C6578"/>
                <w:sz w:val="19"/>
              </w:rPr>
              <w:t>Revenue per provider above $100/month; zero trust-score degradation from monetization</w:t>
            </w:r>
          </w:p>
        </w:tc>
      </w:tr>
      <w:tr>
        <w:tc>
          <w:tcPr>
            <w:tcW w:type="dxa" w:w="2880"/>
          </w:tcPr>
          <w:p>
            <w:r/>
            <w:r>
              <w:rPr>
                <w:rFonts w:ascii="Arial" w:hAnsi="Arial"/>
                <w:color w:val="5C6578"/>
                <w:sz w:val="19"/>
              </w:rPr>
              <w:t>Phase 5: Intelligence</w:t>
            </w:r>
          </w:p>
        </w:tc>
        <w:tc>
          <w:tcPr>
            <w:tcW w:type="dxa" w:w="6480"/>
          </w:tcPr>
          <w:p>
            <w:r/>
            <w:r>
              <w:rPr>
                <w:rFonts w:ascii="Arial" w:hAnsi="Arial"/>
                <w:color w:val="5C6578"/>
                <w:sz w:val="19"/>
              </w:rPr>
              <w:t>Matching accuracy improves 20%+ over rule-based baseline; enterprise partners reporting measurable outcomes</w:t>
            </w:r>
          </w:p>
        </w:tc>
      </w:tr>
    </w:tbl>
    <w:p/>
    <w:p>
      <w:pPr>
        <w:spacing w:before="240" w:after="240"/>
        <w:pBdr>
          <w:bottom w:val="single" w:sz="4" w:space="1" w:color="E8E0FA"/>
        </w:pBdr>
      </w:pPr>
    </w:p>
    <w:p>
      <w:pPr>
        <w:pStyle w:val="Heading1"/>
      </w:pPr>
      <w:r>
        <w:t>15. Phased Roadmap</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6366C0" w:val="clear"/>
          </w:tcPr>
          <w:p>
            <w:r/>
            <w:r>
              <w:rPr>
                <w:rFonts w:ascii="Arial" w:hAnsi="Arial"/>
                <w:b/>
                <w:color w:val="FFFFFF"/>
                <w:sz w:val="19"/>
              </w:rPr>
              <w:t>Phase</w:t>
            </w:r>
          </w:p>
        </w:tc>
        <w:tc>
          <w:tcPr>
            <w:tcW w:type="dxa" w:w="3600"/>
            <w:shd w:fill="6366C0" w:val="clear"/>
          </w:tcPr>
          <w:p>
            <w:r/>
            <w:r>
              <w:rPr>
                <w:rFonts w:ascii="Arial" w:hAnsi="Arial"/>
                <w:b/>
                <w:color w:val="FFFFFF"/>
                <w:sz w:val="19"/>
              </w:rPr>
              <w:t>Focus</w:t>
            </w:r>
          </w:p>
        </w:tc>
        <w:tc>
          <w:tcPr>
            <w:tcW w:type="dxa" w:w="3456"/>
            <w:shd w:fill="6366C0" w:val="clear"/>
          </w:tcPr>
          <w:p>
            <w:r/>
            <w:r>
              <w:rPr>
                <w:rFonts w:ascii="Arial" w:hAnsi="Arial"/>
                <w:b/>
                <w:color w:val="FFFFFF"/>
                <w:sz w:val="19"/>
              </w:rPr>
              <w:t>What Success Looks Like</w:t>
            </w:r>
          </w:p>
        </w:tc>
      </w:tr>
      <w:tr>
        <w:tc>
          <w:tcPr>
            <w:tcW w:type="dxa" w:w="2304"/>
          </w:tcPr>
          <w:p>
            <w:r/>
            <w:r>
              <w:rPr>
                <w:rFonts w:ascii="Arial" w:hAnsi="Arial"/>
                <w:color w:val="5C6578"/>
                <w:sz w:val="19"/>
              </w:rPr>
              <w:t>Phase 1</w:t>
              <w:br/>
              <w:t>Design-Partner Pilot</w:t>
              <w:br/>
              <w:t>(Months 1–3)</w:t>
            </w:r>
          </w:p>
        </w:tc>
        <w:tc>
          <w:tcPr>
            <w:tcW w:type="dxa" w:w="3600"/>
          </w:tcPr>
          <w:p>
            <w:r/>
            <w:r>
              <w:rPr>
                <w:rFonts w:ascii="Arial" w:hAnsi="Arial"/>
                <w:color w:val="5C6578"/>
                <w:sz w:val="19"/>
              </w:rPr>
              <w:t>Recruit 15–20 design partners across 4–5 categories. Build provider data model and profile foundation. Establish internal moderation workflow. Conduct weekly feedback sessions.</w:t>
            </w:r>
          </w:p>
        </w:tc>
        <w:tc>
          <w:tcPr>
            <w:tcW w:type="dxa" w:w="3456"/>
          </w:tcPr>
          <w:p>
            <w:r/>
            <w:r>
              <w:rPr>
                <w:rFonts w:ascii="Arial" w:hAnsi="Arial"/>
                <w:color w:val="5C6578"/>
                <w:sz w:val="19"/>
              </w:rPr>
              <w:t>Trusted categories defined, provider profiles functional, moderation working, initial learnings documented.</w:t>
            </w:r>
          </w:p>
        </w:tc>
      </w:tr>
      <w:tr>
        <w:tc>
          <w:tcPr>
            <w:tcW w:type="dxa" w:w="2304"/>
          </w:tcPr>
          <w:p>
            <w:r/>
            <w:r>
              <w:rPr>
                <w:rFonts w:ascii="Arial" w:hAnsi="Arial"/>
                <w:color w:val="5C6578"/>
                <w:sz w:val="19"/>
              </w:rPr>
              <w:t>Phase 2</w:t>
              <w:br/>
              <w:t>Embedded Find Care</w:t>
              <w:br/>
              <w:t>(Months 3–6)</w:t>
            </w:r>
          </w:p>
        </w:tc>
        <w:tc>
          <w:tcPr>
            <w:tcW w:type="dxa" w:w="3600"/>
          </w:tcPr>
          <w:p>
            <w:r/>
            <w:r>
              <w:rPr>
                <w:rFonts w:ascii="Arial" w:hAnsi="Arial"/>
                <w:color w:val="5C6578"/>
                <w:sz w:val="19"/>
              </w:rPr>
              <w:t>Integrate Find Care into top Care Plan tasks. Build contextual matching (rule-based). Design provider cards, outreach templates, and follow-up tracking.</w:t>
            </w:r>
          </w:p>
        </w:tc>
        <w:tc>
          <w:tcPr>
            <w:tcW w:type="dxa" w:w="3456"/>
          </w:tcPr>
          <w:p>
            <w:r/>
            <w:r>
              <w:rPr>
                <w:rFonts w:ascii="Arial" w:hAnsi="Arial"/>
                <w:color w:val="5C6578"/>
                <w:sz w:val="19"/>
              </w:rPr>
              <w:t>Users can discover and contact providers from real task moments. Referral-to-contact rate measured.</w:t>
            </w:r>
          </w:p>
        </w:tc>
      </w:tr>
      <w:tr>
        <w:tc>
          <w:tcPr>
            <w:tcW w:type="dxa" w:w="2304"/>
          </w:tcPr>
          <w:p>
            <w:r/>
            <w:r>
              <w:rPr>
                <w:rFonts w:ascii="Arial" w:hAnsi="Arial"/>
                <w:color w:val="5C6578"/>
                <w:sz w:val="19"/>
              </w:rPr>
              <w:t>Phase 3</w:t>
              <w:br/>
              <w:t>Provider Dashboard</w:t>
              <w:br/>
              <w:t>(Months 6–9)</w:t>
            </w:r>
          </w:p>
        </w:tc>
        <w:tc>
          <w:tcPr>
            <w:tcW w:type="dxa" w:w="3600"/>
          </w:tcPr>
          <w:p>
            <w:r/>
            <w:r>
              <w:rPr>
                <w:rFonts w:ascii="Arial" w:hAnsi="Arial"/>
                <w:color w:val="5C6578"/>
                <w:sz w:val="19"/>
              </w:rPr>
              <w:t>Providers manage profiles, offerings, referrals, and availability. Add response-time tracking and basic analytics. Iterate on matching quality.</w:t>
            </w:r>
          </w:p>
        </w:tc>
        <w:tc>
          <w:tcPr>
            <w:tcW w:type="dxa" w:w="3456"/>
          </w:tcPr>
          <w:p>
            <w:r/>
            <w:r>
              <w:rPr>
                <w:rFonts w:ascii="Arial" w:hAnsi="Arial"/>
                <w:color w:val="5C6578"/>
                <w:sz w:val="19"/>
              </w:rPr>
              <w:t>Self-service provider experience functional. Quality signals flowing. Provider satisfaction measured.</w:t>
            </w:r>
          </w:p>
        </w:tc>
      </w:tr>
      <w:tr>
        <w:tc>
          <w:tcPr>
            <w:tcW w:type="dxa" w:w="2304"/>
          </w:tcPr>
          <w:p>
            <w:r/>
            <w:r>
              <w:rPr>
                <w:rFonts w:ascii="Arial" w:hAnsi="Arial"/>
                <w:color w:val="5C6578"/>
                <w:sz w:val="19"/>
              </w:rPr>
              <w:t>Phase 4</w:t>
              <w:br/>
              <w:t>Monetization</w:t>
              <w:br/>
              <w:t>(Months 9–12)</w:t>
            </w:r>
          </w:p>
        </w:tc>
        <w:tc>
          <w:tcPr>
            <w:tcW w:type="dxa" w:w="3600"/>
          </w:tcPr>
          <w:p>
            <w:r/>
            <w:r>
              <w:rPr>
                <w:rFonts w:ascii="Arial" w:hAnsi="Arial"/>
                <w:color w:val="5C6578"/>
                <w:sz w:val="19"/>
              </w:rPr>
              <w:t>Launch listing fees for new providers. Test premium placement in relevant categories. Build referral attribution. Monitor trust metrics closely.</w:t>
            </w:r>
          </w:p>
        </w:tc>
        <w:tc>
          <w:tcPr>
            <w:tcW w:type="dxa" w:w="3456"/>
          </w:tcPr>
          <w:p>
            <w:r/>
            <w:r>
              <w:rPr>
                <w:rFonts w:ascii="Arial" w:hAnsi="Arial"/>
                <w:color w:val="5C6578"/>
                <w:sz w:val="19"/>
              </w:rPr>
              <w:t>Revenue generated without trust degradation. Pricing model validated.</w:t>
            </w:r>
          </w:p>
        </w:tc>
      </w:tr>
      <w:tr>
        <w:tc>
          <w:tcPr>
            <w:tcW w:type="dxa" w:w="2304"/>
          </w:tcPr>
          <w:p>
            <w:r/>
            <w:r>
              <w:rPr>
                <w:rFonts w:ascii="Arial" w:hAnsi="Arial"/>
                <w:color w:val="5C6578"/>
                <w:sz w:val="19"/>
              </w:rPr>
              <w:t>Phase 5</w:t>
              <w:br/>
              <w:t>Intelligence + Scale</w:t>
              <w:br/>
              <w:t>(Months 12–18)</w:t>
            </w:r>
          </w:p>
        </w:tc>
        <w:tc>
          <w:tcPr>
            <w:tcW w:type="dxa" w:w="3600"/>
          </w:tcPr>
          <w:p>
            <w:r/>
            <w:r>
              <w:rPr>
                <w:rFonts w:ascii="Arial" w:hAnsi="Arial"/>
                <w:color w:val="5C6578"/>
                <w:sz w:val="19"/>
              </w:rPr>
              <w:t>AI-assisted matching recommendations. Enterprise partner onboarding. Outcome learning across the platform. Expand provider categories.</w:t>
            </w:r>
          </w:p>
        </w:tc>
        <w:tc>
          <w:tcPr>
            <w:tcW w:type="dxa" w:w="3456"/>
          </w:tcPr>
          <w:p>
            <w:r/>
            <w:r>
              <w:rPr>
                <w:rFonts w:ascii="Arial" w:hAnsi="Arial"/>
                <w:color w:val="5C6578"/>
                <w:sz w:val="19"/>
              </w:rPr>
              <w:t>Context-aware recommendations outperform rule-based. Partner distribution active. Data flywheel turning.</w:t>
            </w:r>
          </w:p>
        </w:tc>
      </w:tr>
    </w:tbl>
    <w:p/>
    <w:p>
      <w:pPr>
        <w:spacing w:before="240" w:after="240"/>
        <w:pBdr>
          <w:bottom w:val="single" w:sz="4" w:space="1" w:color="E8E0FA"/>
        </w:pBdr>
      </w:pPr>
    </w:p>
    <w:p>
      <w:pPr>
        <w:pStyle w:val="Heading1"/>
      </w:pPr>
      <w:r>
        <w:t>16. Investor Narrative</w:t>
      </w:r>
    </w:p>
    <w:p>
      <w:pPr>
        <w:pStyle w:val="Heading2"/>
      </w:pPr>
      <w:r>
        <w:t>The story in five beats</w:t>
      </w:r>
    </w:p>
    <w:p>
      <w:pPr>
        <w:spacing w:after="120"/>
        <w:ind w:left="360"/>
      </w:pPr>
      <w:r>
        <w:rPr>
          <w:b/>
          <w:color w:val="6366C0"/>
          <w:sz w:val="21"/>
        </w:rPr>
        <w:t xml:space="preserve">The problem. </w:t>
      </w:r>
      <w:r>
        <w:rPr>
          <w:color w:val="5C6578"/>
          <w:sz w:val="21"/>
        </w:rPr>
        <w:t>People navigating loss often don’t know what kind of support they need, who to trust, or how to take the next step. They’re overwhelmed, under-informed, and alone.</w:t>
      </w:r>
    </w:p>
    <w:p>
      <w:pPr>
        <w:spacing w:after="120"/>
        <w:ind w:left="360"/>
      </w:pPr>
      <w:r>
        <w:rPr>
          <w:b/>
          <w:color w:val="6366C0"/>
          <w:sz w:val="21"/>
        </w:rPr>
        <w:t xml:space="preserve">The product system. </w:t>
      </w:r>
      <w:r>
        <w:rPr>
          <w:color w:val="5C6578"/>
          <w:sz w:val="21"/>
        </w:rPr>
        <w:t>LightPath combines emotional support, practical guidance, and intelligent task management in a single grief-navigation platform.</w:t>
      </w:r>
    </w:p>
    <w:p>
      <w:pPr>
        <w:spacing w:after="120"/>
        <w:ind w:left="360"/>
      </w:pPr>
      <w:r>
        <w:rPr>
          <w:b/>
          <w:color w:val="6366C0"/>
          <w:sz w:val="21"/>
        </w:rPr>
        <w:t xml:space="preserve">The marketplace extension. </w:t>
      </w:r>
      <w:r>
        <w:rPr>
          <w:color w:val="5C6578"/>
          <w:sz w:val="21"/>
        </w:rPr>
        <w:t>Find Care converts moments of uncertainty into guided access to trusted providers and support resources — from inside the same system that already understands the user’s context.</w:t>
      </w:r>
    </w:p>
    <w:p>
      <w:pPr>
        <w:spacing w:after="120"/>
        <w:ind w:left="360"/>
      </w:pPr>
      <w:r>
        <w:rPr>
          <w:b/>
          <w:color w:val="6366C0"/>
          <w:sz w:val="21"/>
        </w:rPr>
        <w:t xml:space="preserve">Why this is different. </w:t>
      </w:r>
      <w:r>
        <w:rPr>
          <w:color w:val="5C6578"/>
          <w:sz w:val="21"/>
        </w:rPr>
        <w:t>This is not a broad horizontal marketplace. It’s a high-intent, high-context support layer embedded inside a grief-navigation platform. Referral intent is stronger because the product already knows the user’s moment, task context, and support needs.</w:t>
      </w:r>
    </w:p>
    <w:p>
      <w:pPr>
        <w:spacing w:after="120"/>
        <w:ind w:left="360"/>
      </w:pPr>
      <w:r>
        <w:rPr>
          <w:b/>
          <w:color w:val="6366C0"/>
          <w:sz w:val="21"/>
        </w:rPr>
        <w:t xml:space="preserve">The moat. </w:t>
      </w:r>
      <w:r>
        <w:rPr>
          <w:color w:val="5C6578"/>
          <w:sz w:val="21"/>
        </w:rPr>
        <w:t>Timing, context, matching intelligence, workflow integration, and cross-feature learning create defensibility that directories and generic lead platforms cannot replicate.</w:t>
      </w:r>
    </w:p>
    <w:p>
      <w:pPr>
        <w:spacing w:before="200"/>
      </w:pPr>
      <w:r>
        <w:rPr>
          <w:b/>
          <w:i w:val="0"/>
        </w:rPr>
        <w:t>Key investor-facing framing:</w:t>
      </w:r>
    </w:p>
    <w:p>
      <w:pPr>
        <w:pStyle w:val="ListBullet"/>
        <w:spacing w:after="60"/>
        <w:ind w:left="360"/>
      </w:pPr>
      <w:r>
        <w:t>Unlike generic directories, LightPath routes users from insight to action inside the same system.</w:t>
      </w:r>
    </w:p>
    <w:p>
      <w:pPr>
        <w:pStyle w:val="ListBullet"/>
        <w:spacing w:after="60"/>
        <w:ind w:left="360"/>
      </w:pPr>
      <w:r>
        <w:t>The data flywheel compounds: every referral teaches the system about which providers help which users in which moments.</w:t>
      </w:r>
    </w:p>
    <w:p>
      <w:pPr>
        <w:pStyle w:val="ListBullet"/>
        <w:spacing w:after="60"/>
        <w:ind w:left="360"/>
      </w:pPr>
      <w:r>
        <w:t>Marketplace revenue diversifies beyond subscription, creating multiple monetization channels as the network scales.</w:t>
      </w:r>
    </w:p>
    <w:p>
      <w:pPr>
        <w:pStyle w:val="ListBullet"/>
        <w:spacing w:after="60"/>
        <w:ind w:left="360"/>
      </w:pPr>
      <w:r>
        <w:t>Enterprise and partner distribution create volume without user-acquisition cost.</w:t>
      </w:r>
    </w:p>
    <w:p>
      <w:pPr>
        <w:spacing w:before="240" w:after="240"/>
        <w:pBdr>
          <w:bottom w:val="single" w:sz="4" w:space="1" w:color="E8E0FA"/>
        </w:pBdr>
      </w:pPr>
    </w:p>
    <w:p>
      <w:pPr>
        <w:pStyle w:val="Heading1"/>
      </w:pPr>
      <w:r>
        <w:t>17. Website Architecture and Provider Content</w:t>
      </w:r>
    </w:p>
    <w:p>
      <w:r>
        <w:rPr>
          <w:b w:val="0"/>
          <w:i w:val="0"/>
        </w:rPr>
        <w:t>The website needs a dedicated, high-quality provider-facing section. This is not a feature page — it’s a trust-building surface that converts the right providers into network partners.</w:t>
      </w:r>
    </w:p>
    <w:p>
      <w:pPr>
        <w:pStyle w:val="Heading2"/>
      </w:pPr>
      <w:r>
        <w:t>17.1 Site architecture</w:t>
      </w:r>
    </w:p>
    <w:p>
      <w:pPr>
        <w:pStyle w:val="ListBullet"/>
        <w:spacing w:after="60"/>
        <w:ind w:left="360"/>
      </w:pPr>
      <w:r>
        <w:t>Do not over-feature the marketplace on the consumer homepage too early</w:t>
      </w:r>
    </w:p>
    <w:p>
      <w:pPr>
        <w:pStyle w:val="ListBullet"/>
        <w:spacing w:after="60"/>
        <w:ind w:left="360"/>
      </w:pPr>
      <w:r>
        <w:t>Use language like “Find the right kind of help” and “Trusted support when you need it”</w:t>
      </w:r>
    </w:p>
    <w:p>
      <w:pPr>
        <w:pStyle w:val="ListBullet"/>
        <w:spacing w:after="60"/>
        <w:ind w:left="360"/>
      </w:pPr>
      <w:r>
        <w:t>Create separate pages for consumers (/find-care), providers (/providers or /for-providers), and enterprise partners (/partners)</w:t>
      </w:r>
    </w:p>
    <w:p>
      <w:pPr>
        <w:pStyle w:val="ListBullet"/>
        <w:spacing w:after="60"/>
        <w:ind w:left="360"/>
      </w:pPr>
      <w:r>
        <w:t>Launch a provider-interest landing page first, then expand into a full provider-marketing section as the network grows</w:t>
      </w:r>
    </w:p>
    <w:p>
      <w:pPr>
        <w:pStyle w:val="Heading2"/>
      </w:pPr>
      <w:r>
        <w:t>17.2 Provider page structure (for-providers)</w:t>
      </w:r>
    </w:p>
    <w:p>
      <w:r>
        <w:rPr>
          <w:b w:val="0"/>
          <w:i w:val="0"/>
        </w:rPr>
        <w:t>This page should follow the warm section gradient from the brand system. Lora headings, Inter body, glassmorphic cards. Tone: confident and professional (marketing voice), but warmer than a typical B2B page.</w:t>
      </w:r>
    </w:p>
    <w:p>
      <w:pPr>
        <w:pStyle w:val="Heading3"/>
      </w:pPr>
      <w:r>
        <w:t>Section 1: Hero</w:t>
      </w:r>
    </w:p>
    <w:p>
      <w:r>
        <w:rPr>
          <w:b w:val="0"/>
          <w:i w:val="0"/>
        </w:rPr>
        <w:t>Headline: “The right people are looking for someone like you.”</w:t>
      </w:r>
    </w:p>
    <w:p>
      <w:r>
        <w:rPr>
          <w:b w:val="0"/>
          <w:i w:val="0"/>
        </w:rPr>
        <w:t>Subhead: “LightPath connects grieving individuals to trusted professionals at moments when support genuinely matters. Join our founding provider network.”</w:t>
      </w:r>
    </w:p>
    <w:p>
      <w:r>
        <w:rPr>
          <w:b w:val="0"/>
          <w:i w:val="0"/>
        </w:rPr>
        <w:t>CTA: “Become a Founding Provider” (links to interest form)</w:t>
      </w:r>
    </w:p>
    <w:p>
      <w:r>
        <w:rPr>
          <w:b w:val="0"/>
          <w:i w:val="0"/>
        </w:rPr>
        <w:t>Visual: Warm section gradient background. Subtle Living Sky orbs. No stock photography.</w:t>
      </w:r>
    </w:p>
    <w:p>
      <w:pPr>
        <w:pStyle w:val="Heading3"/>
      </w:pPr>
      <w:r>
        <w:t>Section 2: The problem you know</w:t>
      </w:r>
    </w:p>
    <w:p>
      <w:r>
        <w:rPr>
          <w:b w:val="0"/>
          <w:i w:val="0"/>
        </w:rPr>
        <w:t>Frame the provider’s own frustration: grief-informed providers are hard to find. Users search generically. Directories don’t surface your specialization. Referrals are low-intent. You know you could help more people if they could find you.</w:t>
      </w:r>
    </w:p>
    <w:p>
      <w:pPr>
        <w:pStyle w:val="Heading3"/>
      </w:pPr>
      <w:r>
        <w:t>Section 3: How LightPath is different</w:t>
      </w:r>
    </w:p>
    <w:p>
      <w:r>
        <w:rPr>
          <w:b w:val="0"/>
          <w:i w:val="0"/>
        </w:rPr>
        <w:t>Three cards (glassmorphic, on cool gradient):</w:t>
      </w:r>
    </w:p>
    <w:p>
      <w:pPr>
        <w:spacing w:after="80"/>
        <w:ind w:left="360"/>
      </w:pPr>
      <w:r>
        <w:rPr>
          <w:b/>
          <w:color w:val="6366C0"/>
          <w:sz w:val="21"/>
        </w:rPr>
        <w:t xml:space="preserve">Contextual referrals. </w:t>
      </w:r>
      <w:r>
        <w:rPr>
          <w:color w:val="5C6578"/>
          <w:sz w:val="21"/>
        </w:rPr>
        <w:t>Users arrive from Care Plan tasks. They already understand what kind of help they need and why.</w:t>
      </w:r>
    </w:p>
    <w:p>
      <w:pPr>
        <w:spacing w:after="80"/>
        <w:ind w:left="360"/>
      </w:pPr>
      <w:r>
        <w:rPr>
          <w:b/>
          <w:color w:val="6366C0"/>
          <w:sz w:val="21"/>
        </w:rPr>
        <w:t xml:space="preserve">Grief-informed profiles. </w:t>
      </w:r>
      <w:r>
        <w:rPr>
          <w:color w:val="5C6578"/>
          <w:sz w:val="21"/>
        </w:rPr>
        <w:t>Your profile highlights what matters: grief experience, modalities, philosophy, cultural sensitivity — not just credentials.</w:t>
      </w:r>
    </w:p>
    <w:p>
      <w:pPr>
        <w:spacing w:after="80"/>
        <w:ind w:left="360"/>
      </w:pPr>
      <w:r>
        <w:rPr>
          <w:b/>
          <w:color w:val="6366C0"/>
          <w:sz w:val="21"/>
        </w:rPr>
        <w:t xml:space="preserve">A brand you want to be part of. </w:t>
      </w:r>
      <w:r>
        <w:rPr>
          <w:color w:val="5C6578"/>
          <w:sz w:val="21"/>
        </w:rPr>
        <w:t>LightPath is built for the most vulnerable moments. Your name appears in a trust-rich, emotionally intelligent environment.</w:t>
      </w:r>
    </w:p>
    <w:p>
      <w:pPr>
        <w:pStyle w:val="Heading3"/>
      </w:pPr>
      <w:r>
        <w:t>Section 4: Who we serve</w:t>
      </w:r>
    </w:p>
    <w:p>
      <w:r>
        <w:rPr>
          <w:b w:val="0"/>
          <w:i w:val="0"/>
        </w:rPr>
        <w:t>Brief overview of the user population: people navigating loss — spouses, parents, children, friends. The emotional and practical dimensions. Help the provider understand who will find them through LightPath.</w:t>
      </w:r>
    </w:p>
    <w:p>
      <w:pPr>
        <w:pStyle w:val="Heading3"/>
      </w:pPr>
      <w:r>
        <w:t>Section 5: How it works</w:t>
      </w:r>
    </w:p>
    <w:p>
      <w:r>
        <w:rPr>
          <w:b w:val="0"/>
          <w:i w:val="0"/>
        </w:rPr>
        <w:t>Simple 3-step visual: 1. Create your profile → 2. We match you with people who need your help → 3. You focus on what you do best.</w:t>
      </w:r>
    </w:p>
    <w:p>
      <w:pPr>
        <w:pStyle w:val="Heading3"/>
      </w:pPr>
      <w:r>
        <w:t>Section 6: Founding Provider program</w:t>
      </w:r>
    </w:p>
    <w:p>
      <w:r>
        <w:rPr>
          <w:b w:val="0"/>
          <w:i w:val="0"/>
        </w:rPr>
        <w:t>Explain the design-partner opportunity: early access, waived fees, direct influence on product design, preferred visibility at launch. Position this as an exclusive, mission-aligned opportunity — not a free trial.</w:t>
      </w:r>
    </w:p>
    <w:p>
      <w:pPr>
        <w:pStyle w:val="Heading3"/>
      </w:pPr>
      <w:r>
        <w:t>Section 7: FAQ</w:t>
      </w:r>
    </w:p>
    <w:p>
      <w:pPr>
        <w:pStyle w:val="ListBullet"/>
        <w:spacing w:after="60"/>
        <w:ind w:left="360"/>
      </w:pPr>
      <w:r>
        <w:t>What does it cost? (Design partners: free. Post-launch pricing shared transparently.)</w:t>
      </w:r>
    </w:p>
    <w:p>
      <w:pPr>
        <w:pStyle w:val="ListBullet"/>
        <w:spacing w:after="60"/>
        <w:ind w:left="360"/>
      </w:pPr>
      <w:r>
        <w:t>How do referrals work? (Contextual matching from Care Plan tasks and guided discovery.)</w:t>
      </w:r>
    </w:p>
    <w:p>
      <w:pPr>
        <w:pStyle w:val="ListBullet"/>
        <w:spacing w:after="60"/>
        <w:ind w:left="360"/>
      </w:pPr>
      <w:r>
        <w:t>Who reviews my profile? (Human moderation. Every profile is reviewed before going live.)</w:t>
      </w:r>
    </w:p>
    <w:p>
      <w:pPr>
        <w:pStyle w:val="ListBullet"/>
        <w:spacing w:after="60"/>
        <w:ind w:left="360"/>
      </w:pPr>
      <w:r>
        <w:t>What categories do you support? (Therapists, attorneys, financial advisors, funeral providers, nonprofits, and more.)</w:t>
      </w:r>
    </w:p>
    <w:p>
      <w:pPr>
        <w:pStyle w:val="ListBullet"/>
        <w:spacing w:after="60"/>
        <w:ind w:left="360"/>
      </w:pPr>
      <w:r>
        <w:t>How do I get started? (Fill out the interest form. We’ll follow up within 48 hours.)</w:t>
      </w:r>
    </w:p>
    <w:p>
      <w:pPr>
        <w:pStyle w:val="Heading3"/>
      </w:pPr>
      <w:r>
        <w:t>Section 8: Interest form</w:t>
      </w:r>
    </w:p>
    <w:p>
      <w:r>
        <w:rPr>
          <w:b w:val="0"/>
          <w:i w:val="0"/>
        </w:rPr>
        <w:t>Keep it short: name, practice name, category, location, website, and one open-ended question: “What do you wish platforms understood about grief-informed care?” This question does double duty — it’s an intake signal and a relationship builder.</w:t>
      </w:r>
    </w:p>
    <w:p>
      <w:pPr>
        <w:pStyle w:val="Heading2"/>
      </w:pPr>
      <w:r>
        <w:t>17.3 Consumer Find Care page</w:t>
      </w:r>
    </w:p>
    <w:p>
      <w:r>
        <w:rPr>
          <w:b w:val="0"/>
          <w:i w:val="0"/>
        </w:rPr>
        <w:t>The user-facing page should be calm and minimal. Not a search page. An invitation.</w:t>
      </w:r>
    </w:p>
    <w:p>
      <w:pPr>
        <w:pStyle w:val="ListBullet"/>
        <w:spacing w:after="60"/>
        <w:ind w:left="360"/>
      </w:pPr>
      <w:r>
        <w:t>Headline: “When you’re ready, we can help you find the right kind of support.”</w:t>
      </w:r>
    </w:p>
    <w:p>
      <w:pPr>
        <w:pStyle w:val="ListBullet"/>
        <w:spacing w:after="60"/>
        <w:ind w:left="360"/>
      </w:pPr>
      <w:r>
        <w:t>Brief explanation of what Find Care does (guided matching, not a directory)</w:t>
      </w:r>
    </w:p>
    <w:p>
      <w:pPr>
        <w:pStyle w:val="ListBullet"/>
        <w:spacing w:after="60"/>
        <w:ind w:left="360"/>
      </w:pPr>
      <w:r>
        <w:t>Category cards: Counseling, Legal, Financial, Funeral and Memorial, Community Support</w:t>
      </w:r>
    </w:p>
    <w:p>
      <w:pPr>
        <w:pStyle w:val="ListBullet"/>
        <w:spacing w:after="60"/>
        <w:ind w:left="360"/>
      </w:pPr>
      <w:r>
        <w:t>Each card links into contextual matching — not a generic search results page</w:t>
      </w:r>
    </w:p>
    <w:p>
      <w:pPr>
        <w:pStyle w:val="ListBullet"/>
        <w:spacing w:after="60"/>
        <w:ind w:left="360"/>
      </w:pPr>
      <w:r>
        <w:t>Reassurance: “Every provider in our network has been reviewed for grief-specific experience.”</w:t>
      </w:r>
    </w:p>
    <w:p>
      <w:pPr>
        <w:spacing w:before="240" w:after="240"/>
        <w:pBdr>
          <w:bottom w:val="single" w:sz="4" w:space="1" w:color="E8E0FA"/>
        </w:pBdr>
      </w:pPr>
    </w:p>
    <w:p>
      <w:pPr>
        <w:pStyle w:val="Heading1"/>
      </w:pPr>
      <w:r>
        <w:t>18. Solo-Founder Playbook: AI Tools and Automation</w:t>
      </w:r>
    </w:p>
    <w:p>
      <w:pPr>
        <w:spacing w:before="160" w:after="160"/>
        <w:ind w:left="432" w:right="432"/>
        <w:shd w:fill="E8E0FA" w:val="clear"/>
      </w:pPr>
      <w:r>
        <w:rPr>
          <w:i/>
          <w:color w:val="1C1C1E"/>
          <w:sz w:val="20"/>
        </w:rPr>
        <w:t>You are a team of one building a marketplace that serves vulnerable people. This section is a practical guide to the AI agents, automation tools, and workflows that can multiply your capacity without compromising quality.</w:t>
      </w:r>
    </w:p>
    <w:p>
      <w:pPr>
        <w:pStyle w:val="Heading2"/>
      </w:pPr>
      <w:r>
        <w:t>18.1 Provider research and discovery</w:t>
      </w:r>
    </w:p>
    <w:p>
      <w:r>
        <w:rPr>
          <w:b w:val="0"/>
          <w:i w:val="0"/>
        </w:rPr>
        <w:t>Finding grief-informed providers to recruit is research-heavy work. These tools can accelerate it:</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6366C0" w:val="clear"/>
          </w:tcPr>
          <w:p>
            <w:r/>
            <w:r>
              <w:rPr>
                <w:rFonts w:ascii="Arial" w:hAnsi="Arial"/>
                <w:b/>
                <w:color w:val="FFFFFF"/>
                <w:sz w:val="19"/>
              </w:rPr>
              <w:t>Tool</w:t>
            </w:r>
          </w:p>
        </w:tc>
        <w:tc>
          <w:tcPr>
            <w:tcW w:type="dxa" w:w="4896"/>
            <w:shd w:fill="6366C0" w:val="clear"/>
          </w:tcPr>
          <w:p>
            <w:r/>
            <w:r>
              <w:rPr>
                <w:rFonts w:ascii="Arial" w:hAnsi="Arial"/>
                <w:b/>
                <w:color w:val="FFFFFF"/>
                <w:sz w:val="19"/>
              </w:rPr>
              <w:t>What It Does</w:t>
            </w:r>
          </w:p>
        </w:tc>
        <w:tc>
          <w:tcPr>
            <w:tcW w:type="dxa" w:w="2160"/>
            <w:shd w:fill="6366C0" w:val="clear"/>
          </w:tcPr>
          <w:p>
            <w:r/>
            <w:r>
              <w:rPr>
                <w:rFonts w:ascii="Arial" w:hAnsi="Arial"/>
                <w:b/>
                <w:color w:val="FFFFFF"/>
                <w:sz w:val="19"/>
              </w:rPr>
              <w:t>Priority</w:t>
            </w:r>
          </w:p>
        </w:tc>
      </w:tr>
      <w:tr>
        <w:tc>
          <w:tcPr>
            <w:tcW w:type="dxa" w:w="2304"/>
          </w:tcPr>
          <w:p>
            <w:r/>
            <w:r>
              <w:rPr>
                <w:rFonts w:ascii="Arial" w:hAnsi="Arial"/>
                <w:color w:val="5C6578"/>
                <w:sz w:val="19"/>
              </w:rPr>
              <w:t>Clay (clay.com)</w:t>
            </w:r>
          </w:p>
        </w:tc>
        <w:tc>
          <w:tcPr>
            <w:tcW w:type="dxa" w:w="4896"/>
          </w:tcPr>
          <w:p>
            <w:r/>
            <w:r>
              <w:rPr>
                <w:rFonts w:ascii="Arial" w:hAnsi="Arial"/>
                <w:color w:val="5C6578"/>
                <w:sz w:val="19"/>
              </w:rPr>
              <w:t>AI-powered lead enrichment platform. Build lists of therapists, attorneys, and financial advisors by specialty, location, and keywords. Enrich with emails, LinkedIn profiles, and practice details. Automate outreach sequences.</w:t>
            </w:r>
          </w:p>
        </w:tc>
        <w:tc>
          <w:tcPr>
            <w:tcW w:type="dxa" w:w="2160"/>
          </w:tcPr>
          <w:p>
            <w:r/>
            <w:r>
              <w:rPr>
                <w:rFonts w:ascii="Arial" w:hAnsi="Arial"/>
                <w:color w:val="5C6578"/>
                <w:sz w:val="19"/>
              </w:rPr>
              <w:t>High — this is your provider CRM and outreach engine in one.</w:t>
            </w:r>
          </w:p>
        </w:tc>
      </w:tr>
      <w:tr>
        <w:tc>
          <w:tcPr>
            <w:tcW w:type="dxa" w:w="2304"/>
          </w:tcPr>
          <w:p>
            <w:r/>
            <w:r>
              <w:rPr>
                <w:rFonts w:ascii="Arial" w:hAnsi="Arial"/>
                <w:color w:val="5C6578"/>
                <w:sz w:val="19"/>
              </w:rPr>
              <w:t>Apollo.io</w:t>
            </w:r>
          </w:p>
        </w:tc>
        <w:tc>
          <w:tcPr>
            <w:tcW w:type="dxa" w:w="4896"/>
          </w:tcPr>
          <w:p>
            <w:r/>
            <w:r>
              <w:rPr>
                <w:rFonts w:ascii="Arial" w:hAnsi="Arial"/>
                <w:color w:val="5C6578"/>
                <w:sz w:val="19"/>
              </w:rPr>
              <w:t>Sales intelligence platform. Find provider contact information at scale. Filter by job title, industry, and location. Integrates with email sequences.</w:t>
            </w:r>
          </w:p>
        </w:tc>
        <w:tc>
          <w:tcPr>
            <w:tcW w:type="dxa" w:w="2160"/>
          </w:tcPr>
          <w:p>
            <w:r/>
            <w:r>
              <w:rPr>
                <w:rFonts w:ascii="Arial" w:hAnsi="Arial"/>
                <w:color w:val="5C6578"/>
                <w:sz w:val="19"/>
              </w:rPr>
              <w:t>High for finding providers. Free tier available.</w:t>
            </w:r>
          </w:p>
        </w:tc>
      </w:tr>
      <w:tr>
        <w:tc>
          <w:tcPr>
            <w:tcW w:type="dxa" w:w="2304"/>
          </w:tcPr>
          <w:p>
            <w:r/>
            <w:r>
              <w:rPr>
                <w:rFonts w:ascii="Arial" w:hAnsi="Arial"/>
                <w:color w:val="5C6578"/>
                <w:sz w:val="19"/>
              </w:rPr>
              <w:t>Perplexity AI (perplexity.ai)</w:t>
            </w:r>
          </w:p>
        </w:tc>
        <w:tc>
          <w:tcPr>
            <w:tcW w:type="dxa" w:w="4896"/>
          </w:tcPr>
          <w:p>
            <w:r/>
            <w:r>
              <w:rPr>
                <w:rFonts w:ascii="Arial" w:hAnsi="Arial"/>
                <w:color w:val="5C6578"/>
                <w:sz w:val="19"/>
              </w:rPr>
              <w:t>AI research assistant. Use it to find grief-focused therapy practices, estate attorneys in specific regions, and community organizations. Faster than manual Google searches.</w:t>
            </w:r>
          </w:p>
        </w:tc>
        <w:tc>
          <w:tcPr>
            <w:tcW w:type="dxa" w:w="2160"/>
          </w:tcPr>
          <w:p>
            <w:r/>
            <w:r>
              <w:rPr>
                <w:rFonts w:ascii="Arial" w:hAnsi="Arial"/>
                <w:color w:val="5C6578"/>
                <w:sz w:val="19"/>
              </w:rPr>
              <w:t>Medium — great for research sprints.</w:t>
            </w:r>
          </w:p>
        </w:tc>
      </w:tr>
      <w:tr>
        <w:tc>
          <w:tcPr>
            <w:tcW w:type="dxa" w:w="2304"/>
          </w:tcPr>
          <w:p>
            <w:r/>
            <w:r>
              <w:rPr>
                <w:rFonts w:ascii="Arial" w:hAnsi="Arial"/>
                <w:color w:val="5C6578"/>
                <w:sz w:val="19"/>
              </w:rPr>
              <w:t>LinkedIn Sales Navigator</w:t>
            </w:r>
          </w:p>
        </w:tc>
        <w:tc>
          <w:tcPr>
            <w:tcW w:type="dxa" w:w="4896"/>
          </w:tcPr>
          <w:p>
            <w:r/>
            <w:r>
              <w:rPr>
                <w:rFonts w:ascii="Arial" w:hAnsi="Arial"/>
                <w:color w:val="5C6578"/>
                <w:sz w:val="19"/>
              </w:rPr>
              <w:t>Find grief counselors, probate attorneys, and financial advisors by specialty. InMail for warm outreach. Build saved lists by geography.</w:t>
            </w:r>
          </w:p>
        </w:tc>
        <w:tc>
          <w:tcPr>
            <w:tcW w:type="dxa" w:w="2160"/>
          </w:tcPr>
          <w:p>
            <w:r/>
            <w:r>
              <w:rPr>
                <w:rFonts w:ascii="Arial" w:hAnsi="Arial"/>
                <w:color w:val="5C6578"/>
                <w:sz w:val="19"/>
              </w:rPr>
              <w:t>Medium-high. Monthly cost but powerful for targeted outreach.</w:t>
            </w:r>
          </w:p>
        </w:tc>
      </w:tr>
    </w:tbl>
    <w:p/>
    <w:p>
      <w:pPr>
        <w:pStyle w:val="Heading2"/>
      </w:pPr>
      <w:r>
        <w:t>18.2 Outreach and communication automation</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6366C0" w:val="clear"/>
          </w:tcPr>
          <w:p>
            <w:r/>
            <w:r>
              <w:rPr>
                <w:rFonts w:ascii="Arial" w:hAnsi="Arial"/>
                <w:b/>
                <w:color w:val="FFFFFF"/>
                <w:sz w:val="19"/>
              </w:rPr>
              <w:t>Tool</w:t>
            </w:r>
          </w:p>
        </w:tc>
        <w:tc>
          <w:tcPr>
            <w:tcW w:type="dxa" w:w="4896"/>
            <w:shd w:fill="6366C0" w:val="clear"/>
          </w:tcPr>
          <w:p>
            <w:r/>
            <w:r>
              <w:rPr>
                <w:rFonts w:ascii="Arial" w:hAnsi="Arial"/>
                <w:b/>
                <w:color w:val="FFFFFF"/>
                <w:sz w:val="19"/>
              </w:rPr>
              <w:t>What It Does</w:t>
            </w:r>
          </w:p>
        </w:tc>
        <w:tc>
          <w:tcPr>
            <w:tcW w:type="dxa" w:w="2160"/>
            <w:shd w:fill="6366C0" w:val="clear"/>
          </w:tcPr>
          <w:p>
            <w:r/>
            <w:r>
              <w:rPr>
                <w:rFonts w:ascii="Arial" w:hAnsi="Arial"/>
                <w:b/>
                <w:color w:val="FFFFFF"/>
                <w:sz w:val="19"/>
              </w:rPr>
              <w:t>Priority</w:t>
            </w:r>
          </w:p>
        </w:tc>
      </w:tr>
      <w:tr>
        <w:tc>
          <w:tcPr>
            <w:tcW w:type="dxa" w:w="2304"/>
          </w:tcPr>
          <w:p>
            <w:r/>
            <w:r>
              <w:rPr>
                <w:rFonts w:ascii="Arial" w:hAnsi="Arial"/>
                <w:color w:val="5C6578"/>
                <w:sz w:val="19"/>
              </w:rPr>
              <w:t>Instantly.ai</w:t>
            </w:r>
          </w:p>
        </w:tc>
        <w:tc>
          <w:tcPr>
            <w:tcW w:type="dxa" w:w="4896"/>
          </w:tcPr>
          <w:p>
            <w:r/>
            <w:r>
              <w:rPr>
                <w:rFonts w:ascii="Arial" w:hAnsi="Arial"/>
                <w:color w:val="5C6578"/>
                <w:sz w:val="19"/>
              </w:rPr>
              <w:t>Cold email automation built for deliverability. Set up warm-up domains, A/B test subject lines, send personalized sequences at scale. Critical for provider outreach when you’re one person.</w:t>
            </w:r>
          </w:p>
        </w:tc>
        <w:tc>
          <w:tcPr>
            <w:tcW w:type="dxa" w:w="2160"/>
          </w:tcPr>
          <w:p>
            <w:r/>
            <w:r>
              <w:rPr>
                <w:rFonts w:ascii="Arial" w:hAnsi="Arial"/>
                <w:color w:val="5C6578"/>
                <w:sz w:val="19"/>
              </w:rPr>
              <w:t>High — your email engine.</w:t>
            </w:r>
          </w:p>
        </w:tc>
      </w:tr>
      <w:tr>
        <w:tc>
          <w:tcPr>
            <w:tcW w:type="dxa" w:w="2304"/>
          </w:tcPr>
          <w:p>
            <w:r/>
            <w:r>
              <w:rPr>
                <w:rFonts w:ascii="Arial" w:hAnsi="Arial"/>
                <w:color w:val="5C6578"/>
                <w:sz w:val="19"/>
              </w:rPr>
              <w:t>Lemlist</w:t>
            </w:r>
          </w:p>
        </w:tc>
        <w:tc>
          <w:tcPr>
            <w:tcW w:type="dxa" w:w="4896"/>
          </w:tcPr>
          <w:p>
            <w:r/>
            <w:r>
              <w:rPr>
                <w:rFonts w:ascii="Arial" w:hAnsi="Arial"/>
                <w:color w:val="5C6578"/>
                <w:sz w:val="19"/>
              </w:rPr>
              <w:t>Email outreach with personalization. Image and video personalization in emails. Sequence automation with multi-channel (email + LinkedIn).</w:t>
            </w:r>
          </w:p>
        </w:tc>
        <w:tc>
          <w:tcPr>
            <w:tcW w:type="dxa" w:w="2160"/>
          </w:tcPr>
          <w:p>
            <w:r/>
            <w:r>
              <w:rPr>
                <w:rFonts w:ascii="Arial" w:hAnsi="Arial"/>
                <w:color w:val="5C6578"/>
                <w:sz w:val="19"/>
              </w:rPr>
              <w:t>High — alternative to Instantly with LinkedIn integration.</w:t>
            </w:r>
          </w:p>
        </w:tc>
      </w:tr>
      <w:tr>
        <w:tc>
          <w:tcPr>
            <w:tcW w:type="dxa" w:w="2304"/>
          </w:tcPr>
          <w:p>
            <w:r/>
            <w:r>
              <w:rPr>
                <w:rFonts w:ascii="Arial" w:hAnsi="Arial"/>
                <w:color w:val="5C6578"/>
                <w:sz w:val="19"/>
              </w:rPr>
              <w:t>Calendly or Cal.com</w:t>
            </w:r>
          </w:p>
        </w:tc>
        <w:tc>
          <w:tcPr>
            <w:tcW w:type="dxa" w:w="4896"/>
          </w:tcPr>
          <w:p>
            <w:r/>
            <w:r>
              <w:rPr>
                <w:rFonts w:ascii="Arial" w:hAnsi="Arial"/>
                <w:color w:val="5C6578"/>
                <w:sz w:val="19"/>
              </w:rPr>
              <w:t>Scheduling links in outreach emails. Removes the back-and-forth. Providers can book a discovery call directly from your email.</w:t>
            </w:r>
          </w:p>
        </w:tc>
        <w:tc>
          <w:tcPr>
            <w:tcW w:type="dxa" w:w="2160"/>
          </w:tcPr>
          <w:p>
            <w:r/>
            <w:r>
              <w:rPr>
                <w:rFonts w:ascii="Arial" w:hAnsi="Arial"/>
                <w:color w:val="5C6578"/>
                <w:sz w:val="19"/>
              </w:rPr>
              <w:t>High — essential for conversion.</w:t>
            </w:r>
          </w:p>
        </w:tc>
      </w:tr>
      <w:tr>
        <w:tc>
          <w:tcPr>
            <w:tcW w:type="dxa" w:w="2304"/>
          </w:tcPr>
          <w:p>
            <w:r/>
            <w:r>
              <w:rPr>
                <w:rFonts w:ascii="Arial" w:hAnsi="Arial"/>
                <w:color w:val="5C6578"/>
                <w:sz w:val="19"/>
              </w:rPr>
              <w:t>Loom</w:t>
            </w:r>
          </w:p>
        </w:tc>
        <w:tc>
          <w:tcPr>
            <w:tcW w:type="dxa" w:w="4896"/>
          </w:tcPr>
          <w:p>
            <w:r/>
            <w:r>
              <w:rPr>
                <w:rFonts w:ascii="Arial" w:hAnsi="Arial"/>
                <w:color w:val="5C6578"/>
                <w:sz w:val="19"/>
              </w:rPr>
              <w:t>Record short personal video introductions for high-value providers. A 90-second Loom in a cold email dramatically increases response rates.</w:t>
            </w:r>
          </w:p>
        </w:tc>
        <w:tc>
          <w:tcPr>
            <w:tcW w:type="dxa" w:w="2160"/>
          </w:tcPr>
          <w:p>
            <w:r/>
            <w:r>
              <w:rPr>
                <w:rFonts w:ascii="Arial" w:hAnsi="Arial"/>
                <w:color w:val="5C6578"/>
                <w:sz w:val="19"/>
              </w:rPr>
              <w:t>Medium-high — for your top-tier outreach.</w:t>
            </w:r>
          </w:p>
        </w:tc>
      </w:tr>
    </w:tbl>
    <w:p/>
    <w:p>
      <w:pPr>
        <w:pStyle w:val="Heading2"/>
      </w:pPr>
      <w:r>
        <w:t>18.3 Content and website automation</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6366C0" w:val="clear"/>
          </w:tcPr>
          <w:p>
            <w:r/>
            <w:r>
              <w:rPr>
                <w:rFonts w:ascii="Arial" w:hAnsi="Arial"/>
                <w:b/>
                <w:color w:val="FFFFFF"/>
                <w:sz w:val="19"/>
              </w:rPr>
              <w:t>Tool</w:t>
            </w:r>
          </w:p>
        </w:tc>
        <w:tc>
          <w:tcPr>
            <w:tcW w:type="dxa" w:w="4896"/>
            <w:shd w:fill="6366C0" w:val="clear"/>
          </w:tcPr>
          <w:p>
            <w:r/>
            <w:r>
              <w:rPr>
                <w:rFonts w:ascii="Arial" w:hAnsi="Arial"/>
                <w:b/>
                <w:color w:val="FFFFFF"/>
                <w:sz w:val="19"/>
              </w:rPr>
              <w:t>What It Does</w:t>
            </w:r>
          </w:p>
        </w:tc>
        <w:tc>
          <w:tcPr>
            <w:tcW w:type="dxa" w:w="2160"/>
            <w:shd w:fill="6366C0" w:val="clear"/>
          </w:tcPr>
          <w:p>
            <w:r/>
            <w:r>
              <w:rPr>
                <w:rFonts w:ascii="Arial" w:hAnsi="Arial"/>
                <w:b/>
                <w:color w:val="FFFFFF"/>
                <w:sz w:val="19"/>
              </w:rPr>
              <w:t>Priority</w:t>
            </w:r>
          </w:p>
        </w:tc>
      </w:tr>
      <w:tr>
        <w:tc>
          <w:tcPr>
            <w:tcW w:type="dxa" w:w="2304"/>
          </w:tcPr>
          <w:p>
            <w:r/>
            <w:r>
              <w:rPr>
                <w:rFonts w:ascii="Arial" w:hAnsi="Arial"/>
                <w:color w:val="5C6578"/>
                <w:sz w:val="19"/>
              </w:rPr>
              <w:t>Claude (Anthropic)</w:t>
            </w:r>
          </w:p>
        </w:tc>
        <w:tc>
          <w:tcPr>
            <w:tcW w:type="dxa" w:w="4896"/>
          </w:tcPr>
          <w:p>
            <w:r/>
            <w:r>
              <w:rPr>
                <w:rFonts w:ascii="Arial" w:hAnsi="Arial"/>
                <w:color w:val="5C6578"/>
                <w:sz w:val="19"/>
              </w:rPr>
              <w:t>You’re already using this. Use it for provider page copy, email drafts, blog content, FAQ generation, and strategy refinement. Build a project with your brand guide for consistent voice.</w:t>
            </w:r>
          </w:p>
        </w:tc>
        <w:tc>
          <w:tcPr>
            <w:tcW w:type="dxa" w:w="2160"/>
          </w:tcPr>
          <w:p>
            <w:r/>
            <w:r>
              <w:rPr>
                <w:rFonts w:ascii="Arial" w:hAnsi="Arial"/>
                <w:color w:val="5C6578"/>
                <w:sz w:val="19"/>
              </w:rPr>
              <w:t>Essential — your co-strategist.</w:t>
            </w:r>
          </w:p>
        </w:tc>
      </w:tr>
      <w:tr>
        <w:tc>
          <w:tcPr>
            <w:tcW w:type="dxa" w:w="2304"/>
          </w:tcPr>
          <w:p>
            <w:r/>
            <w:r>
              <w:rPr>
                <w:rFonts w:ascii="Arial" w:hAnsi="Arial"/>
                <w:color w:val="5C6578"/>
                <w:sz w:val="19"/>
              </w:rPr>
              <w:t>Framer or Webflow</w:t>
            </w:r>
          </w:p>
        </w:tc>
        <w:tc>
          <w:tcPr>
            <w:tcW w:type="dxa" w:w="4896"/>
          </w:tcPr>
          <w:p>
            <w:r/>
            <w:r>
              <w:rPr>
                <w:rFonts w:ascii="Arial" w:hAnsi="Arial"/>
                <w:color w:val="5C6578"/>
                <w:sz w:val="19"/>
              </w:rPr>
              <w:t>Build the provider landing page and interest form without a developer. Both support CMS for blog content. Framer is faster; Webflow is more flexible.</w:t>
            </w:r>
          </w:p>
        </w:tc>
        <w:tc>
          <w:tcPr>
            <w:tcW w:type="dxa" w:w="2160"/>
          </w:tcPr>
          <w:p>
            <w:r/>
            <w:r>
              <w:rPr>
                <w:rFonts w:ascii="Arial" w:hAnsi="Arial"/>
                <w:color w:val="5C6578"/>
                <w:sz w:val="19"/>
              </w:rPr>
              <w:t>High — for the provider page.</w:t>
            </w:r>
          </w:p>
        </w:tc>
      </w:tr>
      <w:tr>
        <w:tc>
          <w:tcPr>
            <w:tcW w:type="dxa" w:w="2304"/>
          </w:tcPr>
          <w:p>
            <w:r/>
            <w:r>
              <w:rPr>
                <w:rFonts w:ascii="Arial" w:hAnsi="Arial"/>
                <w:color w:val="5C6578"/>
                <w:sz w:val="19"/>
              </w:rPr>
              <w:t>Typeform or Tally</w:t>
            </w:r>
          </w:p>
        </w:tc>
        <w:tc>
          <w:tcPr>
            <w:tcW w:type="dxa" w:w="4896"/>
          </w:tcPr>
          <w:p>
            <w:r/>
            <w:r>
              <w:rPr>
                <w:rFonts w:ascii="Arial" w:hAnsi="Arial"/>
                <w:color w:val="5C6578"/>
                <w:sz w:val="19"/>
              </w:rPr>
              <w:t>Provider interest forms with a warm, conversational UX. Tally is free and privacy-friendly. Both integrate with email automation.</w:t>
            </w:r>
          </w:p>
        </w:tc>
        <w:tc>
          <w:tcPr>
            <w:tcW w:type="dxa" w:w="2160"/>
          </w:tcPr>
          <w:p>
            <w:r/>
            <w:r>
              <w:rPr>
                <w:rFonts w:ascii="Arial" w:hAnsi="Arial"/>
                <w:color w:val="5C6578"/>
                <w:sz w:val="19"/>
              </w:rPr>
              <w:t>High — for the intake form.</w:t>
            </w:r>
          </w:p>
        </w:tc>
      </w:tr>
      <w:tr>
        <w:tc>
          <w:tcPr>
            <w:tcW w:type="dxa" w:w="2304"/>
          </w:tcPr>
          <w:p>
            <w:r/>
            <w:r>
              <w:rPr>
                <w:rFonts w:ascii="Arial" w:hAnsi="Arial"/>
                <w:color w:val="5C6578"/>
                <w:sz w:val="19"/>
              </w:rPr>
              <w:t>Notion or Airtable</w:t>
            </w:r>
          </w:p>
        </w:tc>
        <w:tc>
          <w:tcPr>
            <w:tcW w:type="dxa" w:w="4896"/>
          </w:tcPr>
          <w:p>
            <w:r/>
            <w:r>
              <w:rPr>
                <w:rFonts w:ascii="Arial" w:hAnsi="Arial"/>
                <w:color w:val="5C6578"/>
                <w:sz w:val="19"/>
              </w:rPr>
              <w:t>Provider pipeline management. Track outreach status, follow-ups, design-partner progress, and feedback. Airtable for structured data; Notion for flexible docs.</w:t>
            </w:r>
          </w:p>
        </w:tc>
        <w:tc>
          <w:tcPr>
            <w:tcW w:type="dxa" w:w="2160"/>
          </w:tcPr>
          <w:p>
            <w:r/>
            <w:r>
              <w:rPr>
                <w:rFonts w:ascii="Arial" w:hAnsi="Arial"/>
                <w:color w:val="5C6578"/>
                <w:sz w:val="19"/>
              </w:rPr>
              <w:t>High — your operations hub.</w:t>
            </w:r>
          </w:p>
        </w:tc>
      </w:tr>
    </w:tbl>
    <w:p/>
    <w:p>
      <w:pPr>
        <w:pStyle w:val="Heading2"/>
      </w:pPr>
      <w:r>
        <w:t>18.4 AI agents for scaling solo</w:t>
      </w:r>
    </w:p>
    <w:p>
      <w:r>
        <w:rPr>
          <w:b w:val="0"/>
          <w:i w:val="0"/>
        </w:rPr>
        <w:t>These are newer tools that use AI agents to automate multi-step workflows: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6366C0" w:val="clear"/>
          </w:tcPr>
          <w:p>
            <w:r/>
            <w:r>
              <w:rPr>
                <w:rFonts w:ascii="Arial" w:hAnsi="Arial"/>
                <w:b/>
                <w:color w:val="FFFFFF"/>
                <w:sz w:val="19"/>
              </w:rPr>
              <w:t>Tool</w:t>
            </w:r>
          </w:p>
        </w:tc>
        <w:tc>
          <w:tcPr>
            <w:tcW w:type="dxa" w:w="4896"/>
            <w:shd w:fill="6366C0" w:val="clear"/>
          </w:tcPr>
          <w:p>
            <w:r/>
            <w:r>
              <w:rPr>
                <w:rFonts w:ascii="Arial" w:hAnsi="Arial"/>
                <w:b/>
                <w:color w:val="FFFFFF"/>
                <w:sz w:val="19"/>
              </w:rPr>
              <w:t>What It Does</w:t>
            </w:r>
          </w:p>
        </w:tc>
        <w:tc>
          <w:tcPr>
            <w:tcW w:type="dxa" w:w="2160"/>
            <w:shd w:fill="6366C0" w:val="clear"/>
          </w:tcPr>
          <w:p>
            <w:r/>
            <w:r>
              <w:rPr>
                <w:rFonts w:ascii="Arial" w:hAnsi="Arial"/>
                <w:b/>
                <w:color w:val="FFFFFF"/>
                <w:sz w:val="19"/>
              </w:rPr>
              <w:t>Priority</w:t>
            </w:r>
          </w:p>
        </w:tc>
      </w:tr>
      <w:tr>
        <w:tc>
          <w:tcPr>
            <w:tcW w:type="dxa" w:w="2304"/>
          </w:tcPr>
          <w:p>
            <w:r/>
            <w:r>
              <w:rPr>
                <w:rFonts w:ascii="Arial" w:hAnsi="Arial"/>
                <w:color w:val="5C6578"/>
                <w:sz w:val="19"/>
              </w:rPr>
              <w:t>n8n (self-hosted) or Make.com</w:t>
            </w:r>
          </w:p>
        </w:tc>
        <w:tc>
          <w:tcPr>
            <w:tcW w:type="dxa" w:w="4896"/>
          </w:tcPr>
          <w:p>
            <w:r/>
            <w:r>
              <w:rPr>
                <w:rFonts w:ascii="Arial" w:hAnsi="Arial"/>
                <w:color w:val="5C6578"/>
                <w:sz w:val="19"/>
              </w:rPr>
              <w:t>Visual workflow automation. Example: when a provider fills out the interest form, automatically add them to your pipeline in Airtable, send a personalized welcome email via Instantly, and create a Calendly invite.</w:t>
            </w:r>
          </w:p>
        </w:tc>
        <w:tc>
          <w:tcPr>
            <w:tcW w:type="dxa" w:w="2160"/>
          </w:tcPr>
          <w:p>
            <w:r/>
            <w:r>
              <w:rPr>
                <w:rFonts w:ascii="Arial" w:hAnsi="Arial"/>
                <w:color w:val="5C6578"/>
                <w:sz w:val="19"/>
              </w:rPr>
              <w:t>High — connects everything.</w:t>
            </w:r>
          </w:p>
        </w:tc>
      </w:tr>
      <w:tr>
        <w:tc>
          <w:tcPr>
            <w:tcW w:type="dxa" w:w="2304"/>
          </w:tcPr>
          <w:p>
            <w:r/>
            <w:r>
              <w:rPr>
                <w:rFonts w:ascii="Arial" w:hAnsi="Arial"/>
                <w:color w:val="5C6578"/>
                <w:sz w:val="19"/>
              </w:rPr>
              <w:t>Bland AI or Synthflow</w:t>
            </w:r>
          </w:p>
        </w:tc>
        <w:tc>
          <w:tcPr>
            <w:tcW w:type="dxa" w:w="4896"/>
          </w:tcPr>
          <w:p>
            <w:r/>
            <w:r>
              <w:rPr>
                <w:rFonts w:ascii="Arial" w:hAnsi="Arial"/>
                <w:color w:val="5C6578"/>
                <w:sz w:val="19"/>
              </w:rPr>
              <w:t>AI voice agents for phone outreach. Can make initial screening calls to providers on your list, introduce LightPath, gauge interest, and book qualified calls with you.</w:t>
            </w:r>
          </w:p>
        </w:tc>
        <w:tc>
          <w:tcPr>
            <w:tcW w:type="dxa" w:w="2160"/>
          </w:tcPr>
          <w:p>
            <w:r/>
            <w:r>
              <w:rPr>
                <w:rFonts w:ascii="Arial" w:hAnsi="Arial"/>
                <w:color w:val="5C6578"/>
                <w:sz w:val="19"/>
              </w:rPr>
              <w:t>Medium — experimental but high-leverage for a solo founder.</w:t>
            </w:r>
          </w:p>
        </w:tc>
      </w:tr>
      <w:tr>
        <w:tc>
          <w:tcPr>
            <w:tcW w:type="dxa" w:w="2304"/>
          </w:tcPr>
          <w:p>
            <w:r/>
            <w:r>
              <w:rPr>
                <w:rFonts w:ascii="Arial" w:hAnsi="Arial"/>
                <w:color w:val="5C6578"/>
                <w:sz w:val="19"/>
              </w:rPr>
              <w:t>Relevance AI</w:t>
            </w:r>
          </w:p>
        </w:tc>
        <w:tc>
          <w:tcPr>
            <w:tcW w:type="dxa" w:w="4896"/>
          </w:tcPr>
          <w:p>
            <w:r/>
            <w:r>
              <w:rPr>
                <w:rFonts w:ascii="Arial" w:hAnsi="Arial"/>
                <w:color w:val="5C6578"/>
                <w:sz w:val="19"/>
              </w:rPr>
              <w:t>Build custom AI agents for repetitive tasks: research providers in a new city, draft personalized outreach emails, summarize feedback from design-partner calls.</w:t>
            </w:r>
          </w:p>
        </w:tc>
        <w:tc>
          <w:tcPr>
            <w:tcW w:type="dxa" w:w="2160"/>
          </w:tcPr>
          <w:p>
            <w:r/>
            <w:r>
              <w:rPr>
                <w:rFonts w:ascii="Arial" w:hAnsi="Arial"/>
                <w:color w:val="5C6578"/>
                <w:sz w:val="19"/>
              </w:rPr>
              <w:t>Medium — useful for research automation.</w:t>
            </w:r>
          </w:p>
        </w:tc>
      </w:tr>
      <w:tr>
        <w:tc>
          <w:tcPr>
            <w:tcW w:type="dxa" w:w="2304"/>
          </w:tcPr>
          <w:p>
            <w:r/>
            <w:r>
              <w:rPr>
                <w:rFonts w:ascii="Arial" w:hAnsi="Arial"/>
                <w:color w:val="5C6578"/>
                <w:sz w:val="19"/>
              </w:rPr>
              <w:t>Lindy AI</w:t>
            </w:r>
          </w:p>
        </w:tc>
        <w:tc>
          <w:tcPr>
            <w:tcW w:type="dxa" w:w="4896"/>
          </w:tcPr>
          <w:p>
            <w:r/>
            <w:r>
              <w:rPr>
                <w:rFonts w:ascii="Arial" w:hAnsi="Arial"/>
                <w:color w:val="5C6578"/>
                <w:sz w:val="19"/>
              </w:rPr>
              <w:t>AI assistant that can manage email follow-ups, schedule meetings, and automate CRM updates. Good for keeping provider communication flowing when you’re deep in product work.</w:t>
            </w:r>
          </w:p>
        </w:tc>
        <w:tc>
          <w:tcPr>
            <w:tcW w:type="dxa" w:w="2160"/>
          </w:tcPr>
          <w:p>
            <w:r/>
            <w:r>
              <w:rPr>
                <w:rFonts w:ascii="Arial" w:hAnsi="Arial"/>
                <w:color w:val="5C6578"/>
                <w:sz w:val="19"/>
              </w:rPr>
              <w:t>Medium — your virtual operations assistant.</w:t>
            </w:r>
          </w:p>
        </w:tc>
      </w:tr>
    </w:tbl>
    <w:p/>
    <w:p>
      <w:pPr>
        <w:pStyle w:val="Heading2"/>
      </w:pPr>
      <w:r>
        <w:t>18.5 Recommended solo-founder stack</w:t>
      </w:r>
    </w:p>
    <w:p>
      <w:pPr>
        <w:spacing w:before="160" w:after="160"/>
        <w:ind w:left="432" w:right="432"/>
        <w:shd w:fill="E8E0FA" w:val="clear"/>
      </w:pPr>
      <w:r>
        <w:rPr>
          <w:i/>
          <w:color w:val="1C1C1E"/>
          <w:sz w:val="20"/>
        </w:rPr>
        <w:t>Research: Clay or Apollo → Outreach: Instantly.ai + Loom + Calendly → CRM: Airtable → Automation: n8n or Make.com → Website: Framer + Tally → Content: Claude → Total monthly cost: approximately $150–300/month.</w:t>
      </w:r>
    </w:p>
    <w:p>
      <w:r>
        <w:rPr>
          <w:b w:val="0"/>
          <w:i w:val="0"/>
        </w:rPr>
        <w:t>This stack lets one person research hundreds of providers, send personalized outreach at scale, manage a design-partner pipeline, and build a professional provider-facing web presence — all while maintaining the brand’s emotional integrity.</w:t>
      </w:r>
    </w:p>
    <w:p>
      <w:pPr>
        <w:spacing w:before="240" w:after="240"/>
        <w:pBdr>
          <w:bottom w:val="single" w:sz="4" w:space="1" w:color="E8E0FA"/>
        </w:pBdr>
      </w:pPr>
    </w:p>
    <w:p>
      <w:pPr>
        <w:pStyle w:val="Heading1"/>
      </w:pPr>
      <w:r>
        <w:t>19. Provider Outreach Templates</w:t>
      </w:r>
    </w:p>
    <w:p>
      <w:r>
        <w:rPr>
          <w:b w:val="0"/>
          <w:i w:val="0"/>
        </w:rPr>
        <w:t>These are ready-to-send email templates for each stage of provider outreach. Adapt the specifics but preserve the tone: collaborative, mission-driven, warm, never salesy.</w:t>
      </w:r>
    </w:p>
    <w:p>
      <w:pPr>
        <w:pStyle w:val="Heading2"/>
      </w:pPr>
      <w:r>
        <w:t>19.1 Cold outreach: Initial introduction</w:t>
      </w:r>
    </w:p>
    <w:p>
      <w:pPr>
        <w:spacing w:before="120"/>
      </w:pPr>
      <w:r>
        <w:rPr>
          <w:b/>
          <w:i w:val="0"/>
        </w:rPr>
        <w:t>Subject line options:</w:t>
      </w:r>
    </w:p>
    <w:p>
      <w:pPr>
        <w:pStyle w:val="ListBullet"/>
        <w:spacing w:after="60"/>
        <w:ind w:left="360"/>
      </w:pPr>
      <w:r>
        <w:t>“A different kind of referral platform for grief-informed providers”</w:t>
      </w:r>
    </w:p>
    <w:p>
      <w:pPr>
        <w:pStyle w:val="ListBullet"/>
        <w:spacing w:after="60"/>
        <w:ind w:left="360"/>
      </w:pPr>
      <w:r>
        <w:t>“Helping the right people find you at the right moment”</w:t>
      </w:r>
    </w:p>
    <w:p>
      <w:pPr>
        <w:pStyle w:val="ListBullet"/>
        <w:spacing w:after="60"/>
        <w:ind w:left="360"/>
      </w:pPr>
      <w:r>
        <w:t>“[First name], your grief work matters — and more people should know about it”</w:t>
      </w:r>
    </w:p>
    <w:p>
      <w:pPr>
        <w:spacing w:before="200"/>
      </w:pPr>
      <w:r>
        <w:rPr>
          <w:b/>
          <w:i w:val="0"/>
        </w:rPr>
        <w:t>Email body:</w:t>
      </w:r>
    </w:p>
    <w:p>
      <w:r>
        <w:rPr>
          <w:b w:val="0"/>
          <w:i w:val="0"/>
          <w:color w:val="5C6578"/>
          <w:sz w:val="20"/>
        </w:rPr>
        <w:t>Hi [First name],</w:t>
        <w:br/>
        <w:br/>
        <w:t>I’m Sara, the founder of LightPath — a grief-support platform that helps people navigate the emotional and practical realities of loss.</w:t>
        <w:br/>
        <w:br/>
        <w:t>I came across your practice [or: your work with bereaved families / your focus on estate planning after loss] and wanted to reach out personally.</w:t>
        <w:br/>
        <w:br/>
        <w:t>We’re building something different from a directory. LightPath guides people through their grief journey with a Care Plan, emotional support tools, and educational resources. When someone reaches the point where they need professional help — a counselor, an attorney, a financial advisor — we want to connect them with the right person, not just the nearest name.</w:t>
        <w:br/>
        <w:br/>
        <w:t>We’re inviting a small group of grief-informed providers to help shape this network as founding partners. It’s not a sales pitch — it’s an invitation to build something together.</w:t>
        <w:br/>
        <w:br/>
        <w:t>Would you be open to a 15-minute conversation? I’d love to learn about your practice and share what we’re building.</w:t>
        <w:br/>
        <w:br/>
        <w:t>Warmly,</w:t>
        <w:br/>
        <w:t>Sara</w:t>
        <w:br/>
        <w:t>Founder, LightPath</w:t>
        <w:br/>
        <w:t>[website URL]</w:t>
      </w:r>
    </w:p>
    <w:p>
      <w:pPr>
        <w:pStyle w:val="Heading2"/>
      </w:pPr>
      <w:r>
        <w:t>19.2 Follow-up (Day 5, no response)</w:t>
      </w:r>
    </w:p>
    <w:p>
      <w:pPr>
        <w:spacing w:before="120"/>
      </w:pPr>
      <w:r>
        <w:rPr>
          <w:b/>
          <w:i w:val="0"/>
        </w:rPr>
        <w:t>Subject line: Re: [original subject]</w:t>
      </w:r>
    </w:p>
    <w:p>
      <w:r>
        <w:rPr>
          <w:b w:val="0"/>
          <w:i w:val="0"/>
          <w:color w:val="5C6578"/>
          <w:sz w:val="20"/>
        </w:rPr>
        <w:t>Hi [First name],</w:t>
        <w:br/>
        <w:br/>
        <w:t>I know your time is valuable, so I’ll keep this brief.</w:t>
        <w:br/>
        <w:br/>
        <w:t>I reached out last week about LightPath’s founding provider network. One thing I didn’t mention: the providers who join now will have direct input into how profiles, matching, and referrals work. We’re designing this with providers, not just for them.</w:t>
        <w:br/>
        <w:br/>
        <w:t>If you’re curious, here’s a 90-second overview: [Loom video link]</w:t>
        <w:br/>
        <w:br/>
        <w:t>And if the timing isn’t right, no pressure at all. Your work matters either way.</w:t>
        <w:br/>
        <w:br/>
        <w:t>Warmly,</w:t>
        <w:br/>
        <w:t>Sara</w:t>
      </w:r>
    </w:p>
    <w:p>
      <w:pPr>
        <w:pStyle w:val="Heading2"/>
      </w:pPr>
      <w:r>
        <w:t>19.3 Follow-up (Day 10, still no response)</w:t>
      </w:r>
    </w:p>
    <w:p>
      <w:r>
        <w:rPr>
          <w:b w:val="0"/>
          <w:i w:val="0"/>
          <w:color w:val="5C6578"/>
          <w:sz w:val="20"/>
        </w:rPr>
        <w:t>Hi [First name],</w:t>
        <w:br/>
        <w:br/>
        <w:t>Last note from me — I don’t want to clutter your inbox.</w:t>
        <w:br/>
        <w:br/>
        <w:t>If connecting people navigating loss to the right professional support resonates with you, I’d welcome a conversation anytime: [Calendly link]</w:t>
        <w:br/>
        <w:br/>
        <w:t>If not, I understand completely. Wishing you and your practice well.</w:t>
        <w:br/>
        <w:br/>
        <w:t>Sara</w:t>
      </w:r>
    </w:p>
    <w:p>
      <w:pPr>
        <w:pStyle w:val="Heading2"/>
      </w:pPr>
      <w:r>
        <w:t>19.4 Warm outreach: After interest form submission</w:t>
      </w:r>
    </w:p>
    <w:p>
      <w:pPr>
        <w:spacing w:before="120"/>
      </w:pPr>
      <w:r>
        <w:rPr>
          <w:b/>
          <w:i w:val="0"/>
        </w:rPr>
        <w:t>Subject line: “Welcome to LightPath — next steps”</w:t>
      </w:r>
    </w:p>
    <w:p>
      <w:r>
        <w:rPr>
          <w:b w:val="0"/>
          <w:i w:val="0"/>
          <w:color w:val="5C6578"/>
          <w:sz w:val="20"/>
        </w:rPr>
        <w:t>Hi [First name],</w:t>
        <w:br/>
        <w:br/>
        <w:t>Thank you for your interest in the LightPath Provider Network. I’m genuinely excited to learn more about your practice.</w:t>
        <w:br/>
        <w:br/>
        <w:t>A few things to expect:</w:t>
        <w:br/>
        <w:br/>
        <w:t>1. I’ll reach out within 48 hours to schedule a short discovery call (15–20 minutes). This is a conversation, not an interview — I want to understand your work and how LightPath can serve providers like you well.</w:t>
        <w:br/>
        <w:br/>
        <w:t>2. As a founding provider, you’ll have direct input into how profiles, matching, and the referral experience are designed. Your expertise shapes this.</w:t>
        <w:br/>
        <w:br/>
        <w:t>3. During our pilot period, there is no cost to participate. We’re investing in relationships first.</w:t>
        <w:br/>
        <w:br/>
        <w:t>In the meantime, if you’d like to book a call now: [Calendly link]</w:t>
        <w:br/>
        <w:br/>
        <w:t>Thank you for the work you do. It matters more than most people realize.</w:t>
        <w:br/>
        <w:br/>
        <w:t>Warmly,</w:t>
        <w:br/>
        <w:t>Sara</w:t>
        <w:br/>
        <w:t>Founder, LightPath</w:t>
      </w:r>
    </w:p>
    <w:p>
      <w:pPr>
        <w:pStyle w:val="Heading2"/>
      </w:pPr>
      <w:r>
        <w:t>19.5 Post-call: Design-partner invitation</w:t>
      </w:r>
    </w:p>
    <w:p>
      <w:pPr>
        <w:spacing w:before="120"/>
      </w:pPr>
      <w:r>
        <w:rPr>
          <w:b/>
          <w:i w:val="0"/>
        </w:rPr>
        <w:t>Subject line: “Your invitation to the LightPath Founding Provider Network”</w:t>
      </w:r>
    </w:p>
    <w:p>
      <w:r>
        <w:rPr>
          <w:b w:val="0"/>
          <w:i w:val="0"/>
          <w:color w:val="5C6578"/>
          <w:sz w:val="20"/>
        </w:rPr>
        <w:t>Hi [First name],</w:t>
        <w:br/>
        <w:br/>
        <w:t>It was wonderful speaking with you. [Personalized reference to something from the call — their approach, a challenge they mentioned, something that resonated.]</w:t>
        <w:br/>
        <w:br/>
        <w:t>I’d love to formally invite you to join LightPath’s Founding Provider Network as a design partner.</w:t>
        <w:br/>
        <w:br/>
        <w:t>What this means:</w:t>
        <w:br/>
        <w:br/>
        <w:t>• Your profile will be among the first on the platform, with preferred visibility at launch</w:t>
        <w:br/>
        <w:t>• You’ll have direct input into profile design, matching logic, and referral workflows</w:t>
        <w:br/>
        <w:t>• No cost during the pilot period — we’re building together</w:t>
        <w:br/>
        <w:t>• Founding Provider recognition on your profile when we go live</w:t>
        <w:br/>
        <w:br/>
        <w:t>What we ask:</w:t>
        <w:br/>
        <w:br/>
        <w:t>• A 30–45 minute feedback session once a month (we’ll schedule around your availability)</w:t>
        <w:br/>
        <w:t>• Honest reactions to profile and onboarding flows as we build them</w:t>
        <w:br/>
        <w:t>• Willingness to share feedback on referral quality once matching is live</w:t>
        <w:br/>
        <w:t>• Permission to use an approved quote or case study later (completely optional)</w:t>
        <w:br/>
        <w:br/>
        <w:t>If this feels right, just reply “I’m in” and I’ll send you the onboarding details.</w:t>
        <w:br/>
        <w:br/>
        <w:t>Thank you for trusting us with your time and expertise, [First name]. We’re building this because of providers like you.</w:t>
        <w:br/>
        <w:br/>
        <w:t>Warmly,</w:t>
        <w:br/>
        <w:t>Sara</w:t>
      </w:r>
    </w:p>
    <w:p>
      <w:pPr>
        <w:pStyle w:val="Heading2"/>
      </w:pPr>
      <w:r>
        <w:t>19.6 The ask — summary</w:t>
      </w:r>
    </w:p>
    <w:p>
      <w:pPr>
        <w:spacing w:before="120"/>
      </w:pPr>
      <w:r>
        <w:rPr>
          <w:b/>
          <w:i w:val="0"/>
        </w:rPr>
        <w:t>When reaching out to providers, the ask should be clear and modest:</w:t>
      </w:r>
    </w:p>
    <w:p>
      <w:pPr>
        <w:spacing w:after="80"/>
        <w:ind w:left="360"/>
      </w:pPr>
      <w:r>
        <w:rPr>
          <w:b/>
          <w:color w:val="6366C0"/>
          <w:sz w:val="21"/>
        </w:rPr>
        <w:t xml:space="preserve">For cold outreach: </w:t>
      </w:r>
      <w:r>
        <w:rPr>
          <w:color w:val="5C6578"/>
          <w:sz w:val="21"/>
        </w:rPr>
        <w:t>15 minutes of their time for a conversation. That’s it. No commitment, no signup, no sales funnel.</w:t>
      </w:r>
    </w:p>
    <w:p>
      <w:pPr>
        <w:spacing w:after="80"/>
        <w:ind w:left="360"/>
      </w:pPr>
      <w:r>
        <w:rPr>
          <w:b/>
          <w:color w:val="6366C0"/>
          <w:sz w:val="21"/>
        </w:rPr>
        <w:t xml:space="preserve">For interested providers: </w:t>
      </w:r>
      <w:r>
        <w:rPr>
          <w:color w:val="5C6578"/>
          <w:sz w:val="21"/>
        </w:rPr>
        <w:t>Join as a founding design partner. Monthly 30–45 min feedback sessions. Honest input on product design. Permission for future quotes.</w:t>
      </w:r>
    </w:p>
    <w:p>
      <w:pPr>
        <w:spacing w:after="80"/>
        <w:ind w:left="360"/>
      </w:pPr>
      <w:r>
        <w:rPr>
          <w:b/>
          <w:color w:val="6366C0"/>
          <w:sz w:val="21"/>
        </w:rPr>
        <w:t xml:space="preserve">For design partners: </w:t>
      </w:r>
      <w:r>
        <w:rPr>
          <w:color w:val="5C6578"/>
          <w:sz w:val="21"/>
        </w:rPr>
        <w:t>Stay engaged during the pilot. Provide feedback on referral quality. Help shape the provider experience. Be a reference when the network launches publicly.</w:t>
      </w:r>
    </w:p>
    <w:p>
      <w:pPr>
        <w:pStyle w:val="Heading2"/>
      </w:pPr>
      <w:r>
        <w:t>19.7 Where to find providers</w:t>
      </w:r>
    </w:p>
    <w:p>
      <w:r>
        <w:rPr>
          <w:b w:val="0"/>
          <w:i w:val="0"/>
        </w:rPr>
        <w:t>Practical sourcing channels for a solo founder:</w:t>
      </w:r>
    </w:p>
    <w:p>
      <w:pPr>
        <w:spacing w:after="80"/>
        <w:ind w:left="360"/>
      </w:pPr>
      <w:r>
        <w:rPr>
          <w:b/>
          <w:sz w:val="21"/>
        </w:rPr>
        <w:t xml:space="preserve">Psychology Today directory. </w:t>
      </w:r>
      <w:r>
        <w:rPr>
          <w:color w:val="5C6578"/>
          <w:sz w:val="21"/>
        </w:rPr>
        <w:t>Filter by grief specialty and location. Most therapists list their email or website. Start with your target cities.</w:t>
      </w:r>
    </w:p>
    <w:p>
      <w:pPr>
        <w:spacing w:after="80"/>
        <w:ind w:left="360"/>
      </w:pPr>
      <w:r>
        <w:rPr>
          <w:b/>
          <w:sz w:val="21"/>
        </w:rPr>
        <w:t xml:space="preserve">State bar association directories. </w:t>
      </w:r>
      <w:r>
        <w:rPr>
          <w:color w:val="5C6578"/>
          <w:sz w:val="21"/>
        </w:rPr>
        <w:t>Search for probate and estate attorneys. Many bar associations allow specialty filtering.</w:t>
      </w:r>
    </w:p>
    <w:p>
      <w:pPr>
        <w:spacing w:after="80"/>
        <w:ind w:left="360"/>
      </w:pPr>
      <w:r>
        <w:rPr>
          <w:b/>
          <w:sz w:val="21"/>
        </w:rPr>
        <w:t xml:space="preserve">ADEC (Association for Death Education and Counseling). </w:t>
      </w:r>
      <w:r>
        <w:rPr>
          <w:color w:val="5C6578"/>
          <w:sz w:val="21"/>
        </w:rPr>
        <w:t>Professional organization with a member directory. High-quality, grief-focused providers.</w:t>
      </w:r>
    </w:p>
    <w:p>
      <w:pPr>
        <w:spacing w:after="80"/>
        <w:ind w:left="360"/>
      </w:pPr>
      <w:r>
        <w:rPr>
          <w:b/>
          <w:sz w:val="21"/>
        </w:rPr>
        <w:t xml:space="preserve">AFSP (American Foundation for Suicide Prevention) referral lists. </w:t>
      </w:r>
      <w:r>
        <w:rPr>
          <w:color w:val="5C6578"/>
          <w:sz w:val="21"/>
        </w:rPr>
        <w:t>For grief counselors with loss-specific training.</w:t>
      </w:r>
    </w:p>
    <w:p>
      <w:pPr>
        <w:spacing w:after="80"/>
        <w:ind w:left="360"/>
      </w:pPr>
      <w:r>
        <w:rPr>
          <w:b/>
          <w:sz w:val="21"/>
        </w:rPr>
        <w:t xml:space="preserve">NFDA (National Funeral Directors Association). </w:t>
      </w:r>
      <w:r>
        <w:rPr>
          <w:color w:val="5C6578"/>
          <w:sz w:val="21"/>
        </w:rPr>
        <w:t>For funeral and memorial providers. Regional chapters are good for warm introductions.</w:t>
      </w:r>
    </w:p>
    <w:p>
      <w:pPr>
        <w:spacing w:after="80"/>
        <w:ind w:left="360"/>
      </w:pPr>
      <w:r>
        <w:rPr>
          <w:b/>
          <w:sz w:val="21"/>
        </w:rPr>
        <w:t xml:space="preserve">LinkedIn. </w:t>
      </w:r>
      <w:r>
        <w:rPr>
          <w:color w:val="5C6578"/>
          <w:sz w:val="21"/>
        </w:rPr>
        <w:t>Search “grief counselor,” “probate attorney,” “estate planning + loss.” Many providers are active on LinkedIn and responsive to thoughtful InMail.</w:t>
      </w:r>
    </w:p>
    <w:p>
      <w:pPr>
        <w:spacing w:after="80"/>
        <w:ind w:left="360"/>
      </w:pPr>
      <w:r>
        <w:rPr>
          <w:b/>
          <w:sz w:val="21"/>
        </w:rPr>
        <w:t xml:space="preserve">Local grief support groups and nonprofits. </w:t>
      </w:r>
      <w:r>
        <w:rPr>
          <w:color w:val="5C6578"/>
          <w:sz w:val="21"/>
        </w:rPr>
        <w:t>They often know the best providers in their region and can make warm introductions.</w:t>
      </w:r>
    </w:p>
    <w:p>
      <w:pPr>
        <w:spacing w:after="80"/>
        <w:ind w:left="360"/>
      </w:pPr>
      <w:r>
        <w:rPr>
          <w:b/>
          <w:sz w:val="21"/>
        </w:rPr>
        <w:t xml:space="preserve">Grief podcast guests. </w:t>
      </w:r>
      <w:r>
        <w:rPr>
          <w:color w:val="5C6578"/>
          <w:sz w:val="21"/>
        </w:rPr>
        <w:t>Providers who appear on grief-focused podcasts are typically articulate, passionate, and already comfortable with public visibility.</w:t>
      </w:r>
    </w:p>
    <w:p>
      <w:pPr>
        <w:spacing w:before="240" w:after="240"/>
        <w:pBdr>
          <w:bottom w:val="single" w:sz="4" w:space="1" w:color="E8E0FA"/>
        </w:pBdr>
      </w:pPr>
    </w:p>
    <w:p>
      <w:pPr>
        <w:pStyle w:val="Heading1"/>
      </w:pPr>
      <w:r>
        <w:t>Appendix A: Sample Copy</w:t>
      </w:r>
    </w:p>
    <w:p>
      <w:pPr>
        <w:pStyle w:val="Heading3"/>
      </w:pPr>
      <w:r>
        <w:t>Provider-facing short pitch</w:t>
      </w:r>
    </w:p>
    <w:p>
      <w:r>
        <w:rPr>
          <w:b w:val="0"/>
          <w:i/>
        </w:rPr>
        <w:t>LightPath is building a trusted support platform for people navigating loss. We help users through the emotional and practical realities of life after a death — and connect them to the right professional support at the right moment. We’re inviting a small number of grief-informed providers to help shape our network as founding design partners.</w:t>
      </w:r>
    </w:p>
    <w:p>
      <w:pPr>
        <w:pStyle w:val="Heading3"/>
      </w:pPr>
      <w:r>
        <w:t>Consumer-facing short description</w:t>
      </w:r>
    </w:p>
    <w:p>
      <w:r>
        <w:rPr>
          <w:b w:val="0"/>
          <w:i/>
        </w:rPr>
        <w:t>Find Care helps you connect with trusted professionals and support resources that fit what you’re navigating right now. LightPath does more than show names — it helps you understand what kind of support may help, why it may fit, and how to take the next step.</w:t>
      </w:r>
    </w:p>
    <w:p>
      <w:pPr>
        <w:pStyle w:val="Heading3"/>
      </w:pPr>
      <w:r>
        <w:t>Investor / deck short description</w:t>
      </w:r>
    </w:p>
    <w:p>
      <w:r>
        <w:rPr>
          <w:b w:val="0"/>
          <w:i/>
        </w:rPr>
        <w:t>Find Care is the marketplace and care-navigation layer inside LightPath. It extends product value beyond emotional support and task guidance into trusted, contextual connection with real-world providers and support resources.</w:t>
      </w:r>
    </w:p>
    <w:p>
      <w:pPr>
        <w:spacing w:before="240" w:after="240"/>
        <w:pBdr>
          <w:bottom w:val="single" w:sz="4" w:space="1" w:color="E8E0FA"/>
        </w:pBdr>
      </w:pPr>
    </w:p>
    <w:p>
      <w:pPr>
        <w:pStyle w:val="Heading1"/>
      </w:pPr>
      <w:r>
        <w:t>Appendix B: Benchmark Sources</w:t>
      </w:r>
    </w:p>
    <w:p>
      <w:r>
        <w:rPr>
          <w:b w:val="0"/>
          <w:i w:val="0"/>
        </w:rPr>
        <w:t>The following sources informed the competitive analysis in this document:</w:t>
      </w:r>
    </w:p>
    <w:p>
      <w:pPr>
        <w:pStyle w:val="ListBullet"/>
        <w:spacing w:after="60"/>
        <w:ind w:left="360"/>
      </w:pPr>
      <w:r>
        <w:t>Empathy: empathy.com/solutions/loss-support and empathy.com/about</w:t>
      </w:r>
    </w:p>
    <w:p>
      <w:pPr>
        <w:pStyle w:val="ListBullet"/>
        <w:spacing w:after="60"/>
        <w:ind w:left="360"/>
      </w:pPr>
      <w:r>
        <w:t>Psychology Today: join.psychologytoday.com/us/signup and psychologytoday.com/us/about</w:t>
      </w:r>
    </w:p>
    <w:p>
      <w:pPr>
        <w:pStyle w:val="ListBullet"/>
        <w:spacing w:after="60"/>
        <w:ind w:left="360"/>
      </w:pPr>
      <w:r>
        <w:t>Headway: headway.co/for-providers</w:t>
      </w:r>
    </w:p>
    <w:p>
      <w:pPr>
        <w:pStyle w:val="ListBullet"/>
        <w:spacing w:after="60"/>
        <w:ind w:left="360"/>
      </w:pPr>
      <w:r>
        <w:t>Zocdoc: zocdoc.com/business and zocdoc.com/provider-help (pricing and billing)</w:t>
      </w:r>
    </w:p>
    <w:p>
      <w:pPr>
        <w:pStyle w:val="ListBullet"/>
        <w:spacing w:after="60"/>
        <w:ind w:left="360"/>
      </w:pPr>
      <w:r>
        <w:t>SimplePractice / Therapy Finder: support.simplepractice.com (Therapy Finder documentation)</w:t>
      </w:r>
    </w:p>
    <w:p/>
    <w:p>
      <w:pPr>
        <w:spacing w:before="240" w:after="240"/>
        <w:pBdr>
          <w:bottom w:val="single" w:sz="4" w:space="1" w:color="E8E0FA"/>
        </w:pBdr>
      </w:pPr>
    </w:p>
    <w:p>
      <w:pPr>
        <w:spacing w:before="400"/>
        <w:jc w:val="center"/>
      </w:pPr>
      <w:r>
        <w:rPr>
          <w:b w:val="0"/>
          <w:i w:val="0"/>
          <w:color w:val="8E96A6"/>
          <w:sz w:val="16"/>
        </w:rPr>
        <w:t>© 2026 LightPathAI. Confidential.</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5C657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Georgia" w:hAnsi="Georgia"/>
      <w:b w:val="0"/>
      <w:bCs/>
      <w:color w:val="6366C0"/>
      <w:sz w:val="52"/>
      <w:szCs w:val="28"/>
    </w:rPr>
  </w:style>
  <w:style w:type="paragraph" w:styleId="Heading2">
    <w:name w:val="heading 2"/>
    <w:basedOn w:val="Normal"/>
    <w:next w:val="Normal"/>
    <w:link w:val="Heading2Char"/>
    <w:uiPriority w:val="9"/>
    <w:unhideWhenUsed/>
    <w:qFormat/>
    <w:rsid w:val="00FC693F"/>
    <w:pPr>
      <w:keepNext/>
      <w:keepLines/>
      <w:spacing w:before="480" w:after="160"/>
      <w:outlineLvl w:val="1"/>
    </w:pPr>
    <w:rPr>
      <w:rFonts w:asciiTheme="majorHAnsi" w:eastAsiaTheme="majorEastAsia" w:hAnsiTheme="majorHAnsi" w:cstheme="majorBidi" w:ascii="Georgia" w:hAnsi="Georgia"/>
      <w:b/>
      <w:bCs/>
      <w:color w:val="1C1C1E"/>
      <w:sz w:val="36"/>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Georgia" w:hAnsi="Georgia"/>
      <w:b/>
      <w:bCs/>
      <w:color w:val="6366C0"/>
      <w:sz w:val="28"/>
    </w:rPr>
  </w:style>
  <w:style w:type="paragraph" w:styleId="Heading4">
    <w:name w:val="heading 4"/>
    <w:basedOn w:val="Normal"/>
    <w:next w:val="Normal"/>
    <w:link w:val="Heading4Char"/>
    <w:uiPriority w:val="9"/>
    <w:semiHidden/>
    <w:unhideWhenUsed/>
    <w:qFormat/>
    <w:rsid w:val="00FC693F"/>
    <w:pPr>
      <w:keepNext/>
      <w:keepLines/>
      <w:spacing w:before="320" w:after="120"/>
      <w:outlineLvl w:val="3"/>
    </w:pPr>
    <w:rPr>
      <w:rFonts w:asciiTheme="majorHAnsi" w:eastAsiaTheme="majorEastAsia" w:hAnsiTheme="majorHAnsi" w:cstheme="majorBidi" w:ascii="Georgia" w:hAnsi="Georgia"/>
      <w:b/>
      <w:bCs/>
      <w:i/>
      <w:iCs/>
      <w:color w:val="1C1C1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