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BFAA30">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24"/>
        </w:rPr>
      </w:pPr>
      <w:r>
        <w:rPr>
          <w:rFonts w:hint="eastAsia" w:ascii="Times New Roman" w:hAnsi="Times New Roman"/>
          <w:sz w:val="32"/>
          <w:szCs w:val="32"/>
          <w:lang w:val="en-US" w:eastAsia="zh-CN"/>
        </w:rPr>
        <w:t>Loghub</w:t>
      </w:r>
    </w:p>
    <w:p w14:paraId="38F79976">
      <w:pPr>
        <w:rPr>
          <w:rFonts w:hint="eastAsia" w:ascii="Times New Roman" w:hAnsi="Times New Roman"/>
          <w:sz w:val="24"/>
        </w:rPr>
      </w:pPr>
      <w:r>
        <w:rPr>
          <w:rFonts w:hint="eastAsia" w:ascii="Times New Roman" w:hAnsi="Times New Roman"/>
          <w:sz w:val="24"/>
        </w:rPr>
        <w:t>Loghub: A Large Collection of System Log Datasets for AI-driven Log Analytics. ISSRE, 2023.</w:t>
      </w:r>
    </w:p>
    <w:p w14:paraId="145AEDDB">
      <w:pPr>
        <w:rPr>
          <w:rFonts w:hint="eastAsia" w:ascii="Times New Roman" w:hAnsi="Times New Roman"/>
          <w:sz w:val="24"/>
        </w:rPr>
      </w:pPr>
      <w:r>
        <w:drawing>
          <wp:inline distT="0" distB="0" distL="114300" distR="114300">
            <wp:extent cx="5266690" cy="2258060"/>
            <wp:effectExtent l="0" t="0" r="6350" b="12700"/>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4"/>
                    <a:stretch>
                      <a:fillRect/>
                    </a:stretch>
                  </pic:blipFill>
                  <pic:spPr>
                    <a:xfrm>
                      <a:off x="0" y="0"/>
                      <a:ext cx="5266690" cy="2258060"/>
                    </a:xfrm>
                    <a:prstGeom prst="rect">
                      <a:avLst/>
                    </a:prstGeom>
                    <a:noFill/>
                    <a:ln>
                      <a:noFill/>
                    </a:ln>
                  </pic:spPr>
                </pic:pic>
              </a:graphicData>
            </a:graphic>
          </wp:inline>
        </w:drawing>
      </w:r>
    </w:p>
    <w:p w14:paraId="0AC0A871">
      <w:pPr>
        <w:rPr>
          <w:rFonts w:hint="eastAsia" w:ascii="Times New Roman" w:hAnsi="Times New Roman"/>
          <w:sz w:val="24"/>
        </w:rPr>
      </w:pPr>
      <w:r>
        <w:rPr>
          <w:rFonts w:hint="eastAsia" w:ascii="Times New Roman" w:hAnsi="Times New Roman"/>
          <w:sz w:val="24"/>
        </w:rPr>
        <w:t>由香港中文大学 Logpai 团队开发并维护的一个大规模、开源的系统日志数据集集合</w:t>
      </w:r>
    </w:p>
    <w:p w14:paraId="6D740F51">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1.研究背景与核心痛点</w:t>
      </w:r>
    </w:p>
    <w:p w14:paraId="2EA89F80">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Times New Roman" w:hAnsi="Times New Roman"/>
          <w:sz w:val="24"/>
          <w:lang w:val="en-US" w:eastAsia="zh-CN"/>
        </w:rPr>
      </w:pPr>
      <w:r>
        <w:rPr>
          <w:rFonts w:hint="eastAsia" w:ascii="Times New Roman" w:hAnsi="Times New Roman"/>
          <w:b/>
          <w:bCs/>
          <w:sz w:val="24"/>
          <w:lang w:val="en-US" w:eastAsia="zh-CN"/>
        </w:rPr>
        <w:t>背景</w:t>
      </w:r>
      <w:r>
        <w:rPr>
          <w:rFonts w:hint="eastAsia" w:ascii="Times New Roman" w:hAnsi="Times New Roman"/>
          <w:sz w:val="24"/>
          <w:lang w:val="en-US" w:eastAsia="zh-CN"/>
        </w:rPr>
        <w:t>：日志广泛应用于软件系统开发与维护，记录了丰富的运行时信息，如时间戳、严重性级别和事件内容。</w:t>
      </w:r>
    </w:p>
    <w:p w14:paraId="729AE664">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Times New Roman" w:hAnsi="Times New Roman"/>
          <w:sz w:val="24"/>
          <w:lang w:val="en-US" w:eastAsia="zh-CN"/>
        </w:rPr>
      </w:pPr>
      <w:r>
        <w:rPr>
          <w:rFonts w:hint="eastAsia" w:ascii="Times New Roman" w:hAnsi="Times New Roman"/>
          <w:b/>
          <w:bCs/>
          <w:sz w:val="24"/>
          <w:lang w:val="en-US" w:eastAsia="zh-CN"/>
        </w:rPr>
        <w:t>痛点</w:t>
      </w:r>
      <w:r>
        <w:rPr>
          <w:rFonts w:hint="eastAsia" w:ascii="Times New Roman" w:hAnsi="Times New Roman"/>
          <w:sz w:val="24"/>
          <w:lang w:val="en-US" w:eastAsia="zh-CN"/>
        </w:rPr>
        <w:t>：</w:t>
      </w:r>
    </w:p>
    <w:p w14:paraId="4B8D9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规模爆炸：软件规模和复杂度的增加导致日志量飞速增长，手动分析变得极其耗时耗力。</w:t>
      </w:r>
    </w:p>
    <w:p w14:paraId="7535910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数据稀缺：由于隐私顾虑，企业通常不愿公开生产环境日志，导致研究人员缺乏高质量数据。</w:t>
      </w:r>
    </w:p>
    <w:p w14:paraId="73A0C91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基准缺失：缺乏标准化的数据集和基准测试，难以准确复现和对比不同分析方法的效果。</w:t>
      </w:r>
    </w:p>
    <w:p w14:paraId="3DC60577">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sz w:val="28"/>
          <w:szCs w:val="28"/>
          <w:lang w:val="en-US" w:eastAsia="zh-CN"/>
        </w:rPr>
      </w:pPr>
      <w:r>
        <w:rPr>
          <w:rFonts w:hint="eastAsia" w:ascii="Times New Roman" w:hAnsi="Times New Roman"/>
          <w:sz w:val="28"/>
          <w:szCs w:val="28"/>
          <w:lang w:val="en-US" w:eastAsia="zh-CN"/>
        </w:rPr>
        <w:t>2.Loghub数据集库概览</w:t>
      </w:r>
    </w:p>
    <w:p w14:paraId="5748BCE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sz w:val="24"/>
          <w:lang w:val="en-US" w:eastAsia="zh-CN"/>
        </w:rPr>
      </w:pPr>
      <w:r>
        <w:rPr>
          <w:rFonts w:hint="default" w:ascii="Times New Roman" w:hAnsi="Times New Roman"/>
          <w:sz w:val="24"/>
          <w:lang w:val="en-US" w:eastAsia="zh-CN"/>
        </w:rPr>
        <w:t>总量：包含19个真实世界的日志数据集，总容量超过77GB。</w:t>
      </w:r>
    </w:p>
    <w:p w14:paraId="4B732183">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sz w:val="24"/>
          <w:lang w:val="en-US" w:eastAsia="zh-CN"/>
        </w:rPr>
      </w:pPr>
      <w:r>
        <w:rPr>
          <w:rFonts w:hint="default" w:ascii="Times New Roman" w:hAnsi="Times New Roman"/>
          <w:sz w:val="24"/>
          <w:lang w:val="en-US" w:eastAsia="zh-CN"/>
        </w:rPr>
        <w:t>标注情况：6个包含标签（如正常/异常、告警信息），13个为无标签数据集。</w:t>
      </w:r>
    </w:p>
    <w:p w14:paraId="61BA9465">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ascii="Times New Roman" w:hAnsi="Times New Roman"/>
          <w:sz w:val="24"/>
          <w:lang w:val="en-US" w:eastAsia="zh-CN"/>
        </w:rPr>
      </w:pPr>
      <w:r>
        <w:rPr>
          <w:rFonts w:hint="default" w:ascii="Times New Roman" w:hAnsi="Times New Roman"/>
          <w:sz w:val="24"/>
          <w:lang w:val="en-US" w:eastAsia="zh-CN"/>
        </w:rPr>
        <w:t>影响力：已被450多家机构下载超过90,000次，用户包括微软、IBM、华为等知名企业及全球高校。</w:t>
      </w:r>
    </w:p>
    <w:p w14:paraId="48B55F20">
      <w:pPr>
        <w:jc w:val="center"/>
        <w:rPr>
          <w:rFonts w:hint="eastAsia" w:ascii="Times New Roman" w:hAnsi="Times New Roman"/>
          <w:sz w:val="24"/>
        </w:rPr>
      </w:pPr>
      <w:r>
        <w:drawing>
          <wp:inline distT="0" distB="0" distL="114300" distR="114300">
            <wp:extent cx="4972050" cy="4211320"/>
            <wp:effectExtent l="0" t="0" r="1143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4972050" cy="4211320"/>
                    </a:xfrm>
                    <a:prstGeom prst="rect">
                      <a:avLst/>
                    </a:prstGeom>
                    <a:noFill/>
                    <a:ln>
                      <a:noFill/>
                    </a:ln>
                  </pic:spPr>
                </pic:pic>
              </a:graphicData>
            </a:graphic>
          </wp:inline>
        </w:drawing>
      </w:r>
    </w:p>
    <w:p w14:paraId="355F47CF">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sz w:val="28"/>
          <w:szCs w:val="28"/>
          <w:lang w:val="en-US" w:eastAsia="zh-CN"/>
        </w:rPr>
      </w:pPr>
      <w:r>
        <w:rPr>
          <w:rFonts w:hint="eastAsia" w:ascii="Times New Roman" w:hAnsi="Times New Roman"/>
          <w:sz w:val="28"/>
          <w:szCs w:val="28"/>
          <w:lang w:val="en-US" w:eastAsia="zh-CN"/>
        </w:rPr>
        <w:t>3.关键研究应用场景</w:t>
      </w:r>
    </w:p>
    <w:p w14:paraId="60823310">
      <w:pPr>
        <w:rPr>
          <w:rFonts w:hint="default" w:ascii="Times New Roman" w:hAnsi="Times New Roman" w:eastAsiaTheme="minorEastAsia"/>
          <w:sz w:val="24"/>
          <w:lang w:val="en-US" w:eastAsia="zh-CN"/>
        </w:rPr>
      </w:pPr>
      <w:r>
        <w:rPr>
          <w:rFonts w:hint="default" w:ascii="Times New Roman" w:hAnsi="Times New Roman" w:eastAsiaTheme="minorEastAsia"/>
          <w:sz w:val="24"/>
          <w:lang w:val="en-US" w:eastAsia="zh-CN"/>
        </w:rPr>
        <w:t>总结了Loghub的四个主要实践场景：</w:t>
      </w:r>
    </w:p>
    <w:p w14:paraId="25E579EA">
      <w:pPr>
        <w:rPr>
          <w:rFonts w:hint="default" w:ascii="Times New Roman" w:hAnsi="Times New Roman" w:eastAsiaTheme="minorEastAsia"/>
          <w:sz w:val="24"/>
          <w:lang w:val="en-US" w:eastAsia="zh-CN"/>
        </w:rPr>
      </w:pPr>
    </w:p>
    <w:p w14:paraId="65ACDE22">
      <w:pPr>
        <w:rPr>
          <w:rFonts w:hint="default" w:ascii="Times New Roman" w:hAnsi="Times New Roman" w:eastAsiaTheme="minorEastAsia"/>
          <w:sz w:val="24"/>
          <w:lang w:val="en-US" w:eastAsia="zh-CN"/>
        </w:rPr>
      </w:pPr>
      <w:r>
        <w:rPr>
          <w:rFonts w:hint="eastAsia" w:ascii="Times New Roman" w:hAnsi="Times New Roman"/>
          <w:sz w:val="24"/>
          <w:lang w:val="en-US" w:eastAsia="zh-CN"/>
        </w:rPr>
        <w:t>（1）</w:t>
      </w:r>
      <w:r>
        <w:rPr>
          <w:rFonts w:hint="default" w:ascii="Times New Roman" w:hAnsi="Times New Roman" w:eastAsiaTheme="minorEastAsia"/>
          <w:sz w:val="24"/>
          <w:lang w:val="en-US" w:eastAsia="zh-CN"/>
        </w:rPr>
        <w:t>日志解析 (Log Parsing)</w:t>
      </w:r>
    </w:p>
    <w:p w14:paraId="46E64CA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核心逻辑：由于日志通常是非结构化文本，解析的目标是将其转化为包含事件ID和事件模板的结构化数据</w:t>
      </w:r>
      <w:r>
        <w:rPr>
          <w:rFonts w:hint="eastAsia" w:ascii="Times New Roman" w:hAnsi="Times New Roman"/>
          <w:sz w:val="24"/>
          <w:lang w:val="en-US" w:eastAsia="zh-CN"/>
        </w:rPr>
        <w:t>，例如</w:t>
      </w:r>
      <w:r>
        <w:rPr>
          <w:rFonts w:hint="default" w:ascii="Times New Roman" w:hAnsi="Times New Roman"/>
          <w:sz w:val="24"/>
          <w:lang w:val="en-US" w:eastAsia="zh-CN"/>
        </w:rPr>
        <w:t>矩阵或列表。</w:t>
      </w:r>
    </w:p>
    <w:p w14:paraId="38D117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建模方式：通常被建模为聚类问题，即将描述同一系统事件的日志归为一类，提取共有的Token作为模板。</w:t>
      </w:r>
    </w:p>
    <w:p w14:paraId="6F686026">
      <w:pPr>
        <w:rPr>
          <w:rFonts w:hint="default" w:ascii="Times New Roman" w:hAnsi="Times New Roman" w:eastAsiaTheme="minorEastAsia"/>
          <w:sz w:val="24"/>
          <w:lang w:val="en-US" w:eastAsia="zh-CN"/>
        </w:rPr>
      </w:pPr>
      <w:r>
        <w:rPr>
          <w:rFonts w:hint="eastAsia" w:ascii="Times New Roman" w:hAnsi="Times New Roman"/>
          <w:sz w:val="24"/>
          <w:lang w:val="en-US" w:eastAsia="zh-CN"/>
        </w:rPr>
        <w:t>（2）</w:t>
      </w:r>
      <w:r>
        <w:rPr>
          <w:rFonts w:hint="default" w:ascii="Times New Roman" w:hAnsi="Times New Roman" w:eastAsiaTheme="minorEastAsia"/>
          <w:sz w:val="24"/>
          <w:lang w:val="en-US" w:eastAsia="zh-CN"/>
        </w:rPr>
        <w:t>日志压缩 (Log Compression)</w:t>
      </w:r>
    </w:p>
    <w:p w14:paraId="1FDD3A9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核心逻辑：通用压缩工具（如gzip）不考虑日志的内在结构，而专用算法能利用这些模式提高压缩比。</w:t>
      </w:r>
    </w:p>
    <w:p w14:paraId="1C230EB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建模方式：被建模为频繁模式挖掘问题，寻找日志中的重复结构进行无损压缩。</w:t>
      </w:r>
    </w:p>
    <w:p w14:paraId="7465C7E6">
      <w:pPr>
        <w:rPr>
          <w:rFonts w:hint="default" w:ascii="Times New Roman" w:hAnsi="Times New Roman" w:eastAsiaTheme="minorEastAsia"/>
          <w:sz w:val="24"/>
          <w:lang w:val="en-US" w:eastAsia="zh-CN"/>
        </w:rPr>
      </w:pPr>
      <w:r>
        <w:rPr>
          <w:rFonts w:hint="eastAsia" w:ascii="Times New Roman" w:hAnsi="Times New Roman"/>
          <w:sz w:val="24"/>
          <w:lang w:val="en-US" w:eastAsia="zh-CN"/>
        </w:rPr>
        <w:t>（3）</w:t>
      </w:r>
      <w:r>
        <w:rPr>
          <w:rFonts w:hint="default" w:ascii="Times New Roman" w:hAnsi="Times New Roman" w:eastAsiaTheme="minorEastAsia"/>
          <w:sz w:val="24"/>
          <w:lang w:val="en-US" w:eastAsia="zh-CN"/>
        </w:rPr>
        <w:t>异常检测 (Anomaly Detection)</w:t>
      </w:r>
    </w:p>
    <w:p w14:paraId="66E185E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核心逻辑：通过分析运行时日志识别潜在的系统故障、攻击或性能下降，以增强系统可靠性。</w:t>
      </w:r>
    </w:p>
    <w:p w14:paraId="15FA81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建模方式：通常被视为二分类问题，输入是结构化的事件序列或统计矩阵，输出为“正常”或“异常”标签。</w:t>
      </w:r>
    </w:p>
    <w:p w14:paraId="3048CD1B">
      <w:pPr>
        <w:rPr>
          <w:rFonts w:hint="default" w:ascii="Times New Roman" w:hAnsi="Times New Roman" w:eastAsiaTheme="minorEastAsia"/>
          <w:sz w:val="24"/>
          <w:lang w:val="en-US" w:eastAsia="zh-CN"/>
        </w:rPr>
      </w:pPr>
      <w:r>
        <w:rPr>
          <w:rFonts w:hint="eastAsia" w:ascii="Times New Roman" w:hAnsi="Times New Roman"/>
          <w:sz w:val="24"/>
          <w:lang w:val="en-US" w:eastAsia="zh-CN"/>
        </w:rPr>
        <w:t>（4）</w:t>
      </w:r>
      <w:r>
        <w:rPr>
          <w:rFonts w:hint="default" w:ascii="Times New Roman" w:hAnsi="Times New Roman" w:eastAsiaTheme="minorEastAsia"/>
          <w:sz w:val="24"/>
          <w:lang w:val="en-US" w:eastAsia="zh-CN"/>
        </w:rPr>
        <w:t>重复问题识别 (Duplicate Issues Identification)</w:t>
      </w:r>
    </w:p>
    <w:p w14:paraId="1257316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核心逻辑：当用户报告系统问题时，开发人员需检查日志以定位故障。通过模式识别，可以自动发现当前问题是否与历史已解决的问题重复。</w:t>
      </w:r>
    </w:p>
    <w:p w14:paraId="5125098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建模方式：根据日志序列的出现频率和顺序，将相似模式的运维问题聚类在一起。</w:t>
      </w:r>
    </w:p>
    <w:p w14:paraId="57C9EC1E">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sz w:val="28"/>
          <w:szCs w:val="28"/>
          <w:lang w:val="en-US" w:eastAsia="zh-CN"/>
        </w:rPr>
      </w:pPr>
      <w:r>
        <w:rPr>
          <w:rFonts w:hint="eastAsia" w:ascii="Times New Roman" w:hAnsi="Times New Roman"/>
          <w:sz w:val="28"/>
          <w:szCs w:val="28"/>
          <w:lang w:val="en-US" w:eastAsia="zh-CN"/>
        </w:rPr>
        <w:t>4.基准测试结果分析</w:t>
      </w:r>
    </w:p>
    <w:p w14:paraId="5F3D1FEB">
      <w:pPr>
        <w:rPr>
          <w:rFonts w:hint="eastAsia" w:ascii="Times New Roman" w:hAnsi="Times New Roman"/>
          <w:sz w:val="24"/>
        </w:rPr>
      </w:pPr>
      <w:r>
        <w:rPr>
          <w:rFonts w:hint="eastAsia" w:ascii="Times New Roman" w:hAnsi="Times New Roman"/>
          <w:sz w:val="24"/>
        </w:rPr>
        <w:t>对解析、压缩和异常检测三类主流任务进行了算法性能测评：</w:t>
      </w:r>
    </w:p>
    <w:p w14:paraId="33EA9104">
      <w:pPr>
        <w:rPr>
          <w:rFonts w:hint="eastAsia" w:ascii="Times New Roman" w:hAnsi="Times New Roman"/>
          <w:sz w:val="24"/>
        </w:rPr>
      </w:pPr>
      <w:r>
        <w:rPr>
          <w:rFonts w:hint="eastAsia" w:ascii="Times New Roman" w:hAnsi="Times New Roman"/>
          <w:sz w:val="24"/>
          <w:lang w:eastAsia="zh-CN"/>
        </w:rPr>
        <w:t>（</w:t>
      </w:r>
      <w:r>
        <w:rPr>
          <w:rFonts w:hint="eastAsia" w:ascii="Times New Roman" w:hAnsi="Times New Roman"/>
          <w:sz w:val="24"/>
          <w:lang w:val="en-US" w:eastAsia="zh-CN"/>
        </w:rPr>
        <w:t>1</w:t>
      </w:r>
      <w:r>
        <w:rPr>
          <w:rFonts w:hint="eastAsia" w:ascii="Times New Roman" w:hAnsi="Times New Roman"/>
          <w:sz w:val="24"/>
          <w:lang w:eastAsia="zh-CN"/>
        </w:rPr>
        <w:t>）</w:t>
      </w:r>
      <w:r>
        <w:rPr>
          <w:rFonts w:hint="eastAsia" w:ascii="Times New Roman" w:hAnsi="Times New Roman"/>
          <w:sz w:val="24"/>
        </w:rPr>
        <w:t>日志解析算法评估</w:t>
      </w:r>
    </w:p>
    <w:p w14:paraId="28D654EA">
      <w:pPr>
        <w:rPr>
          <w:rFonts w:hint="eastAsia" w:ascii="Times New Roman" w:hAnsi="Times New Roman"/>
          <w:sz w:val="24"/>
        </w:rPr>
      </w:pPr>
      <w:r>
        <w:rPr>
          <w:rFonts w:hint="eastAsia" w:ascii="Times New Roman" w:hAnsi="Times New Roman"/>
          <w:sz w:val="24"/>
        </w:rPr>
        <w:t>测试对象：评估了Drain,Spell,IPLOM等13种解析器。</w:t>
      </w:r>
    </w:p>
    <w:p w14:paraId="22FBFBD2">
      <w:pPr>
        <w:rPr>
          <w:rFonts w:hint="eastAsia" w:ascii="Times New Roman" w:hAnsi="Times New Roman"/>
          <w:sz w:val="24"/>
        </w:rPr>
      </w:pPr>
      <w:r>
        <w:rPr>
          <w:rFonts w:hint="eastAsia" w:ascii="Times New Roman" w:hAnsi="Times New Roman"/>
          <w:sz w:val="24"/>
        </w:rPr>
        <w:t>结论：Drain在16个数据集上的平均准确率最高，表现最稳健。</w:t>
      </w:r>
    </w:p>
    <w:p w14:paraId="4083E21D">
      <w:pPr>
        <w:rPr>
          <w:rFonts w:hint="eastAsia" w:ascii="Times New Roman" w:hAnsi="Times New Roman"/>
          <w:sz w:val="24"/>
        </w:rPr>
      </w:pPr>
      <w:r>
        <w:rPr>
          <w:rFonts w:hint="eastAsia" w:ascii="Times New Roman" w:hAnsi="Times New Roman"/>
          <w:sz w:val="24"/>
        </w:rPr>
        <w:t>挑战：对于结构复杂的日志，现有解析器的准确率仍有待提高。</w:t>
      </w:r>
    </w:p>
    <w:p w14:paraId="1058F9FE">
      <w:pPr>
        <w:jc w:val="center"/>
        <w:rPr>
          <w:rFonts w:hint="eastAsia" w:ascii="Times New Roman" w:hAnsi="Times New Roman"/>
          <w:sz w:val="24"/>
        </w:rPr>
      </w:pPr>
      <w:r>
        <w:drawing>
          <wp:inline distT="0" distB="0" distL="114300" distR="114300">
            <wp:extent cx="5269230" cy="2198370"/>
            <wp:effectExtent l="0" t="0" r="3810" b="1143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69230" cy="2198370"/>
                    </a:xfrm>
                    <a:prstGeom prst="rect">
                      <a:avLst/>
                    </a:prstGeom>
                    <a:noFill/>
                    <a:ln>
                      <a:noFill/>
                    </a:ln>
                  </pic:spPr>
                </pic:pic>
              </a:graphicData>
            </a:graphic>
          </wp:inline>
        </w:drawing>
      </w:r>
    </w:p>
    <w:p w14:paraId="76E5DA59">
      <w:pPr>
        <w:rPr>
          <w:rFonts w:hint="eastAsia" w:ascii="Times New Roman" w:hAnsi="Times New Roman"/>
          <w:sz w:val="24"/>
        </w:rPr>
      </w:pPr>
      <w:r>
        <w:rPr>
          <w:rFonts w:hint="eastAsia" w:ascii="Times New Roman" w:hAnsi="Times New Roman"/>
          <w:sz w:val="24"/>
          <w:lang w:eastAsia="zh-CN"/>
        </w:rPr>
        <w:t>（</w:t>
      </w:r>
      <w:r>
        <w:rPr>
          <w:rFonts w:hint="eastAsia" w:ascii="Times New Roman" w:hAnsi="Times New Roman"/>
          <w:sz w:val="24"/>
          <w:lang w:val="en-US" w:eastAsia="zh-CN"/>
        </w:rPr>
        <w:t>2</w:t>
      </w:r>
      <w:r>
        <w:rPr>
          <w:rFonts w:hint="eastAsia" w:ascii="Times New Roman" w:hAnsi="Times New Roman"/>
          <w:sz w:val="24"/>
          <w:lang w:eastAsia="zh-CN"/>
        </w:rPr>
        <w:t>）</w:t>
      </w:r>
      <w:r>
        <w:rPr>
          <w:rFonts w:hint="eastAsia" w:ascii="Times New Roman" w:hAnsi="Times New Roman"/>
          <w:sz w:val="24"/>
        </w:rPr>
        <w:t>日志压缩工具评估</w:t>
      </w:r>
    </w:p>
    <w:p w14:paraId="63A94798">
      <w:pPr>
        <w:rPr>
          <w:rFonts w:hint="eastAsia" w:ascii="Times New Roman" w:hAnsi="Times New Roman"/>
          <w:sz w:val="24"/>
        </w:rPr>
      </w:pPr>
      <w:r>
        <w:rPr>
          <w:rFonts w:hint="eastAsia" w:ascii="Times New Roman" w:hAnsi="Times New Roman"/>
          <w:sz w:val="24"/>
        </w:rPr>
        <w:t>测试对象：对比了通用工具(gzip)和日志专用工具(Cowic,Logzip)。</w:t>
      </w:r>
    </w:p>
    <w:p w14:paraId="69FE2527">
      <w:pPr>
        <w:rPr>
          <w:rFonts w:hint="eastAsia" w:ascii="Times New Roman" w:hAnsi="Times New Roman"/>
          <w:sz w:val="24"/>
        </w:rPr>
      </w:pPr>
      <w:r>
        <w:rPr>
          <w:rFonts w:hint="eastAsia" w:ascii="Times New Roman" w:hAnsi="Times New Roman"/>
          <w:sz w:val="24"/>
        </w:rPr>
        <w:t>结论：Logzip在所有测试数据集上均实现了最高的压缩比（CR），在Windows场景下压缩率比gzip提升了15.1倍。</w:t>
      </w:r>
    </w:p>
    <w:p w14:paraId="1ABE7CD5">
      <w:pPr>
        <w:rPr>
          <w:rFonts w:hint="eastAsia" w:ascii="Times New Roman" w:hAnsi="Times New Roman"/>
          <w:sz w:val="24"/>
        </w:rPr>
      </w:pPr>
      <w:r>
        <w:drawing>
          <wp:inline distT="0" distB="0" distL="114300" distR="114300">
            <wp:extent cx="5272405" cy="1675765"/>
            <wp:effectExtent l="0" t="0" r="635" b="6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2405" cy="1675765"/>
                    </a:xfrm>
                    <a:prstGeom prst="rect">
                      <a:avLst/>
                    </a:prstGeom>
                    <a:noFill/>
                    <a:ln>
                      <a:noFill/>
                    </a:ln>
                  </pic:spPr>
                </pic:pic>
              </a:graphicData>
            </a:graphic>
          </wp:inline>
        </w:drawing>
      </w:r>
    </w:p>
    <w:p w14:paraId="7C1AD201">
      <w:pPr>
        <w:rPr>
          <w:rFonts w:hint="eastAsia" w:ascii="Times New Roman" w:hAnsi="Times New Roman"/>
          <w:sz w:val="24"/>
        </w:rPr>
      </w:pPr>
      <w:r>
        <w:rPr>
          <w:rFonts w:hint="eastAsia" w:ascii="Times New Roman" w:hAnsi="Times New Roman"/>
          <w:sz w:val="24"/>
          <w:lang w:eastAsia="zh-CN"/>
        </w:rPr>
        <w:t>（</w:t>
      </w:r>
      <w:r>
        <w:rPr>
          <w:rFonts w:hint="eastAsia" w:ascii="Times New Roman" w:hAnsi="Times New Roman"/>
          <w:sz w:val="24"/>
          <w:lang w:val="en-US" w:eastAsia="zh-CN"/>
        </w:rPr>
        <w:t>3</w:t>
      </w:r>
      <w:r>
        <w:rPr>
          <w:rFonts w:hint="eastAsia" w:ascii="Times New Roman" w:hAnsi="Times New Roman"/>
          <w:sz w:val="24"/>
          <w:lang w:eastAsia="zh-CN"/>
        </w:rPr>
        <w:t>）</w:t>
      </w:r>
      <w:r>
        <w:rPr>
          <w:rFonts w:hint="eastAsia" w:ascii="Times New Roman" w:hAnsi="Times New Roman"/>
          <w:sz w:val="24"/>
        </w:rPr>
        <w:t>异常检测方法评估</w:t>
      </w:r>
    </w:p>
    <w:p w14:paraId="3D41EB7E">
      <w:pPr>
        <w:rPr>
          <w:rFonts w:hint="eastAsia" w:ascii="Times New Roman" w:hAnsi="Times New Roman"/>
          <w:sz w:val="24"/>
        </w:rPr>
      </w:pPr>
      <w:r>
        <w:rPr>
          <w:rFonts w:hint="eastAsia" w:ascii="Times New Roman" w:hAnsi="Times New Roman"/>
          <w:sz w:val="24"/>
        </w:rPr>
        <w:t>测试对象：在HDFS数据集上测试了9种有监督与无监督方法。</w:t>
      </w:r>
    </w:p>
    <w:p w14:paraId="071107BE">
      <w:pPr>
        <w:rPr>
          <w:rFonts w:hint="eastAsia" w:ascii="Times New Roman" w:hAnsi="Times New Roman"/>
          <w:sz w:val="24"/>
        </w:rPr>
      </w:pPr>
      <w:r>
        <w:rPr>
          <w:rFonts w:hint="eastAsia" w:ascii="Times New Roman" w:hAnsi="Times New Roman"/>
          <w:sz w:val="24"/>
        </w:rPr>
        <w:t>结论：</w:t>
      </w:r>
      <w:r>
        <w:rPr>
          <w:rFonts w:hint="eastAsia" w:ascii="Times New Roman" w:hAnsi="Times New Roman"/>
          <w:sz w:val="24"/>
          <w:lang w:val="en-US" w:eastAsia="zh-CN"/>
        </w:rPr>
        <w:t>总的来看，</w:t>
      </w:r>
      <w:r>
        <w:rPr>
          <w:rFonts w:hint="eastAsia" w:ascii="Times New Roman" w:hAnsi="Times New Roman"/>
          <w:sz w:val="24"/>
        </w:rPr>
        <w:t>有监督方法</w:t>
      </w:r>
      <w:r>
        <w:rPr>
          <w:rFonts w:hint="eastAsia" w:ascii="Times New Roman" w:hAnsi="Times New Roman"/>
          <w:sz w:val="24"/>
          <w:lang w:val="en-US" w:eastAsia="zh-CN"/>
        </w:rPr>
        <w:t>比无监督方法</w:t>
      </w:r>
      <w:r>
        <w:rPr>
          <w:rFonts w:hint="eastAsia" w:ascii="Times New Roman" w:hAnsi="Times New Roman"/>
          <w:sz w:val="24"/>
        </w:rPr>
        <w:t>表现更佳，有监督</w:t>
      </w:r>
      <w:r>
        <w:rPr>
          <w:rFonts w:hint="eastAsia" w:ascii="Times New Roman" w:hAnsi="Times New Roman"/>
          <w:sz w:val="24"/>
          <w:lang w:val="en-US" w:eastAsia="zh-CN"/>
        </w:rPr>
        <w:t>方法中</w:t>
      </w:r>
      <w:r>
        <w:rPr>
          <w:rFonts w:hint="eastAsia" w:ascii="Times New Roman" w:hAnsi="Times New Roman"/>
          <w:sz w:val="24"/>
        </w:rPr>
        <w:t>决策树表现</w:t>
      </w:r>
      <w:r>
        <w:rPr>
          <w:rFonts w:hint="eastAsia" w:ascii="Times New Roman" w:hAnsi="Times New Roman"/>
          <w:sz w:val="24"/>
          <w:lang w:val="en-US" w:eastAsia="zh-CN"/>
        </w:rPr>
        <w:t>最好</w:t>
      </w:r>
      <w:r>
        <w:rPr>
          <w:rFonts w:hint="eastAsia" w:ascii="Times New Roman" w:hAnsi="Times New Roman"/>
          <w:sz w:val="24"/>
        </w:rPr>
        <w:t>，Recall和F1分数均达到0.99</w:t>
      </w:r>
      <w:r>
        <w:rPr>
          <w:rFonts w:hint="eastAsia" w:ascii="Times New Roman" w:hAnsi="Times New Roman"/>
          <w:sz w:val="24"/>
          <w:lang w:eastAsia="zh-CN"/>
        </w:rPr>
        <w:t>，</w:t>
      </w:r>
      <w:r>
        <w:rPr>
          <w:rFonts w:hint="eastAsia" w:ascii="Times New Roman" w:hAnsi="Times New Roman"/>
          <w:sz w:val="24"/>
        </w:rPr>
        <w:t>无监督方法中</w:t>
      </w:r>
      <w:r>
        <w:rPr>
          <w:rFonts w:ascii="宋体" w:hAnsi="宋体" w:eastAsia="宋体" w:cs="宋体"/>
          <w:sz w:val="24"/>
          <w:szCs w:val="24"/>
        </w:rPr>
        <w:t>不变性挖掘</w:t>
      </w:r>
      <w:r>
        <w:rPr>
          <w:rFonts w:hint="eastAsia" w:ascii="Times New Roman" w:hAnsi="Times New Roman"/>
          <w:sz w:val="24"/>
        </w:rPr>
        <w:t>效果最好。</w:t>
      </w:r>
    </w:p>
    <w:p w14:paraId="40A832F7">
      <w:pPr>
        <w:jc w:val="center"/>
        <w:rPr>
          <w:rFonts w:hint="eastAsia" w:ascii="Times New Roman" w:hAnsi="Times New Roman"/>
          <w:sz w:val="24"/>
        </w:rPr>
      </w:pPr>
      <w:r>
        <w:drawing>
          <wp:inline distT="0" distB="0" distL="114300" distR="114300">
            <wp:extent cx="3789045" cy="2529205"/>
            <wp:effectExtent l="0" t="0" r="5715" b="63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8"/>
                    <a:stretch>
                      <a:fillRect/>
                    </a:stretch>
                  </pic:blipFill>
                  <pic:spPr>
                    <a:xfrm>
                      <a:off x="0" y="0"/>
                      <a:ext cx="3789045" cy="2529205"/>
                    </a:xfrm>
                    <a:prstGeom prst="rect">
                      <a:avLst/>
                    </a:prstGeom>
                    <a:noFill/>
                    <a:ln>
                      <a:noFill/>
                    </a:ln>
                  </pic:spPr>
                </pic:pic>
              </a:graphicData>
            </a:graphic>
          </wp:inline>
        </w:drawing>
      </w:r>
    </w:p>
    <w:p w14:paraId="57C4557A">
      <w:pPr>
        <w:rPr>
          <w:rFonts w:hint="eastAsia" w:ascii="Times New Roman" w:hAnsi="Times New Roman"/>
          <w:sz w:val="24"/>
        </w:rPr>
      </w:pPr>
    </w:p>
    <w:p w14:paraId="32F0EABE">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sz w:val="28"/>
          <w:szCs w:val="28"/>
          <w:lang w:val="en-US" w:eastAsia="zh-CN"/>
        </w:rPr>
      </w:pPr>
      <w:r>
        <w:rPr>
          <w:rFonts w:hint="eastAsia" w:ascii="Times New Roman" w:hAnsi="Times New Roman"/>
          <w:sz w:val="28"/>
          <w:szCs w:val="28"/>
          <w:lang w:val="en-US" w:eastAsia="zh-CN"/>
        </w:rPr>
        <w:t>5.未来挑战与研究方向</w:t>
      </w:r>
    </w:p>
    <w:p w14:paraId="3B142A81">
      <w:pPr>
        <w:rPr>
          <w:rFonts w:hint="eastAsia" w:ascii="Times New Roman" w:hAnsi="Times New Roman"/>
          <w:sz w:val="24"/>
        </w:rPr>
      </w:pPr>
      <w:r>
        <w:rPr>
          <w:rFonts w:hint="eastAsia" w:ascii="Times New Roman" w:hAnsi="Times New Roman"/>
          <w:sz w:val="24"/>
        </w:rPr>
        <w:t>通用性与泛化：目前尚无单一算法能完美适配所有类型的日志，需要更具通用性的解析模型。</w:t>
      </w:r>
    </w:p>
    <w:p w14:paraId="12B013E6">
      <w:pPr>
        <w:rPr>
          <w:rFonts w:hint="eastAsia" w:ascii="Times New Roman" w:hAnsi="Times New Roman"/>
          <w:sz w:val="24"/>
        </w:rPr>
      </w:pPr>
      <w:r>
        <w:rPr>
          <w:rFonts w:hint="eastAsia" w:ascii="Times New Roman" w:hAnsi="Times New Roman"/>
          <w:color w:val="0000FF"/>
          <w:sz w:val="24"/>
        </w:rPr>
        <w:t>根因分析：现有的检测方法大多仅能识别异常，无法直接提供故障根因的诊断建议。</w:t>
      </w:r>
    </w:p>
    <w:p w14:paraId="1C8135CC">
      <w:pPr>
        <w:rPr>
          <w:rFonts w:hint="eastAsia" w:ascii="Times New Roman" w:hAnsi="Times New Roman"/>
          <w:sz w:val="24"/>
        </w:rPr>
      </w:pPr>
      <w:r>
        <w:rPr>
          <w:rFonts w:hint="eastAsia" w:ascii="Times New Roman" w:hAnsi="Times New Roman"/>
          <w:sz w:val="24"/>
        </w:rPr>
        <w:t>概念漂移：随着软件迭代，日志格式会动态变化，模型需要具备持续适应能力。</w:t>
      </w:r>
    </w:p>
    <w:p w14:paraId="13BF4DBD">
      <w:pPr>
        <w:rPr>
          <w:rFonts w:hint="eastAsia" w:ascii="Times New Roman" w:hAnsi="Times New Roman"/>
          <w:sz w:val="24"/>
        </w:rPr>
      </w:pPr>
      <w:r>
        <w:rPr>
          <w:rFonts w:hint="eastAsia" w:ascii="Times New Roman" w:hAnsi="Times New Roman"/>
          <w:sz w:val="24"/>
        </w:rPr>
        <w:t>资源开销：在生产环境中，算法必须足够轻量，以减少对宿主机的性能影响。</w:t>
      </w:r>
    </w:p>
    <w:p w14:paraId="752023E6">
      <w:pPr>
        <w:rPr>
          <w:rFonts w:hint="eastAsia" w:ascii="Times New Roman" w:hAnsi="Times New Roman"/>
          <w:sz w:val="24"/>
        </w:rPr>
      </w:pPr>
    </w:p>
    <w:p w14:paraId="3DCB25B6">
      <w:pPr>
        <w:rPr>
          <w:rFonts w:hint="eastAsia" w:ascii="Times New Roman" w:hAnsi="Times New Roman"/>
          <w:sz w:val="24"/>
        </w:rPr>
      </w:pPr>
    </w:p>
    <w:p w14:paraId="4D531D2A">
      <w:pPr>
        <w:rPr>
          <w:rFonts w:hint="eastAsia" w:ascii="Times New Roman" w:hAnsi="Times New Roman"/>
          <w:sz w:val="24"/>
        </w:rPr>
      </w:pPr>
    </w:p>
    <w:p w14:paraId="5B75AE7F">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24"/>
        </w:rPr>
      </w:pPr>
      <w:r>
        <w:rPr>
          <w:rFonts w:hint="eastAsia" w:ascii="Times New Roman" w:hAnsi="Times New Roman"/>
          <w:sz w:val="32"/>
          <w:szCs w:val="32"/>
          <w:lang w:val="en-US" w:eastAsia="zh-CN"/>
        </w:rPr>
        <w:t>Loghub-2.0</w:t>
      </w:r>
    </w:p>
    <w:p w14:paraId="5D6FE669">
      <w:pPr>
        <w:rPr>
          <w:rFonts w:hint="eastAsia" w:ascii="Times New Roman" w:hAnsi="Times New Roman"/>
          <w:sz w:val="24"/>
        </w:rPr>
      </w:pPr>
      <w:r>
        <w:rPr>
          <w:rFonts w:hint="eastAsia" w:ascii="Times New Roman" w:hAnsi="Times New Roman"/>
          <w:sz w:val="24"/>
        </w:rPr>
        <w:t>A Large-scale Evaluation for Log Parsing Techniques: How Far are We? ISSTA, 2024.</w:t>
      </w:r>
    </w:p>
    <w:p w14:paraId="009DBE63">
      <w:pPr>
        <w:rPr>
          <w:rFonts w:hint="eastAsia" w:ascii="Times New Roman" w:hAnsi="Times New Roman"/>
          <w:sz w:val="24"/>
        </w:rPr>
      </w:pPr>
      <w:r>
        <w:drawing>
          <wp:inline distT="0" distB="0" distL="114300" distR="114300">
            <wp:extent cx="5266055" cy="2244090"/>
            <wp:effectExtent l="0" t="0" r="6985" b="11430"/>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9"/>
                    <a:stretch>
                      <a:fillRect/>
                    </a:stretch>
                  </pic:blipFill>
                  <pic:spPr>
                    <a:xfrm>
                      <a:off x="0" y="0"/>
                      <a:ext cx="5266055" cy="2244090"/>
                    </a:xfrm>
                    <a:prstGeom prst="rect">
                      <a:avLst/>
                    </a:prstGeom>
                    <a:noFill/>
                    <a:ln>
                      <a:noFill/>
                    </a:ln>
                  </pic:spPr>
                </pic:pic>
              </a:graphicData>
            </a:graphic>
          </wp:inline>
        </w:drawing>
      </w:r>
    </w:p>
    <w:p w14:paraId="4D86CA54">
      <w:pPr>
        <w:jc w:val="center"/>
        <w:rPr>
          <w:rFonts w:hint="default" w:ascii="Times New Roman" w:hAnsi="Times New Roman" w:eastAsiaTheme="minorEastAsia"/>
          <w:sz w:val="24"/>
          <w:lang w:val="en-US" w:eastAsia="zh-CN"/>
        </w:rPr>
      </w:pPr>
      <w:r>
        <w:rPr>
          <w:rFonts w:hint="eastAsia" w:ascii="Times New Roman" w:hAnsi="Times New Roman"/>
          <w:sz w:val="24"/>
          <w:lang w:val="en-US" w:eastAsia="zh-CN"/>
        </w:rPr>
        <w:t>名词说明</w:t>
      </w:r>
    </w:p>
    <w:tbl>
      <w:tblPr>
        <w:tblStyle w:val="4"/>
        <w:tblW w:w="929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34"/>
        <w:gridCol w:w="2082"/>
        <w:gridCol w:w="6078"/>
      </w:tblGrid>
      <w:tr w14:paraId="59693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068" w:type="dxa"/>
            <w:tcBorders>
              <w:top w:val="single" w:color="000000" w:sz="12" w:space="0"/>
              <w:left w:val="nil"/>
              <w:bottom w:val="single" w:color="000000" w:sz="4" w:space="0"/>
              <w:right w:val="nil"/>
              <w:tl2br w:val="nil"/>
            </w:tcBorders>
            <w:shd w:val="clear" w:color="auto" w:fill="FFFFFF"/>
            <w:tcMar>
              <w:top w:w="100" w:type="dxa"/>
              <w:left w:w="100" w:type="dxa"/>
              <w:bottom w:w="100" w:type="dxa"/>
              <w:right w:w="100" w:type="dxa"/>
            </w:tcMar>
            <w:vAlign w:val="top"/>
          </w:tcPr>
          <w:p w14:paraId="0CD91FE0">
            <w:pPr>
              <w:pStyle w:val="3"/>
              <w:keepNext w:val="0"/>
              <w:keepLines w:val="0"/>
              <w:widowControl/>
              <w:suppressLineNumbers w:val="0"/>
              <w:bidi w:val="0"/>
              <w:spacing w:before="0" w:beforeAutospacing="0" w:after="0" w:afterAutospacing="0" w:line="17" w:lineRule="atLeast"/>
              <w:jc w:val="center"/>
              <w:rPr>
                <w:rFonts w:ascii="Times New Roman" w:hAnsi="Times New Roman" w:eastAsia="宋体" w:cs="Times New Roman"/>
                <w:b w:val="0"/>
                <w:color w:val="000000"/>
                <w:sz w:val="21"/>
                <w:szCs w:val="21"/>
              </w:rPr>
            </w:pPr>
            <w:r>
              <w:rPr>
                <w:rFonts w:ascii="Times New Roman" w:hAnsi="Times New Roman" w:eastAsia="宋体" w:cs="Times New Roman"/>
                <w:b w:val="0"/>
                <w:bCs/>
                <w:i w:val="0"/>
                <w:iCs w:val="0"/>
                <w:color w:val="000000"/>
                <w:sz w:val="21"/>
                <w:szCs w:val="21"/>
                <w:u w:val="none"/>
                <w:vertAlign w:val="baseline"/>
              </w:rPr>
              <w:t>术语</w:t>
            </w:r>
          </w:p>
        </w:tc>
        <w:tc>
          <w:tcPr>
            <w:tcW w:w="2096" w:type="dxa"/>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top"/>
          </w:tcPr>
          <w:p w14:paraId="49DBA46A">
            <w:pPr>
              <w:pStyle w:val="3"/>
              <w:keepNext w:val="0"/>
              <w:keepLines w:val="0"/>
              <w:widowControl/>
              <w:suppressLineNumbers w:val="0"/>
              <w:bidi w:val="0"/>
              <w:spacing w:before="0" w:beforeAutospacing="0" w:after="0" w:afterAutospacing="0" w:line="17" w:lineRule="atLeast"/>
              <w:jc w:val="center"/>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英文全称</w:t>
            </w:r>
          </w:p>
        </w:tc>
        <w:tc>
          <w:tcPr>
            <w:tcW w:w="6130" w:type="dxa"/>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top"/>
          </w:tcPr>
          <w:p w14:paraId="33FF644A">
            <w:pPr>
              <w:pStyle w:val="3"/>
              <w:keepNext w:val="0"/>
              <w:keepLines w:val="0"/>
              <w:widowControl/>
              <w:suppressLineNumbers w:val="0"/>
              <w:bidi w:val="0"/>
              <w:spacing w:before="0" w:beforeAutospacing="0" w:after="0" w:afterAutospacing="0" w:line="17" w:lineRule="atLeast"/>
              <w:jc w:val="center"/>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解释</w:t>
            </w:r>
          </w:p>
        </w:tc>
      </w:tr>
      <w:tr w14:paraId="0A7E0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single" w:color="000000" w:sz="4" w:space="0"/>
              <w:left w:val="nil"/>
              <w:bottom w:val="nil"/>
              <w:right w:val="nil"/>
            </w:tcBorders>
            <w:shd w:val="clear" w:color="auto" w:fill="FFFFFF"/>
            <w:tcMar>
              <w:top w:w="100" w:type="dxa"/>
              <w:left w:w="100" w:type="dxa"/>
              <w:bottom w:w="100" w:type="dxa"/>
              <w:right w:w="100" w:type="dxa"/>
            </w:tcMar>
            <w:vAlign w:val="top"/>
          </w:tcPr>
          <w:p w14:paraId="270F9D3D">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 xml:space="preserve">Loghub-2k </w:t>
            </w:r>
          </w:p>
        </w:tc>
        <w:tc>
          <w:tcPr>
            <w:tcW w:w="2096" w:type="dxa"/>
            <w:tcBorders>
              <w:top w:val="single" w:color="000000" w:sz="4" w:space="0"/>
              <w:left w:val="nil"/>
              <w:bottom w:val="nil"/>
              <w:right w:val="nil"/>
            </w:tcBorders>
            <w:shd w:val="clear" w:color="auto" w:fill="FFFFFF"/>
            <w:tcMar>
              <w:top w:w="100" w:type="dxa"/>
              <w:left w:w="100" w:type="dxa"/>
              <w:bottom w:w="100" w:type="dxa"/>
              <w:right w:w="100" w:type="dxa"/>
            </w:tcMar>
            <w:vAlign w:val="top"/>
          </w:tcPr>
          <w:p w14:paraId="02664D6D">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i w:val="0"/>
                <w:iCs w:val="0"/>
                <w:color w:val="000000"/>
                <w:sz w:val="21"/>
                <w:szCs w:val="21"/>
                <w:u w:val="none"/>
                <w:vertAlign w:val="baseline"/>
              </w:rPr>
            </w:pPr>
          </w:p>
        </w:tc>
        <w:tc>
          <w:tcPr>
            <w:tcW w:w="6130" w:type="dxa"/>
            <w:tcBorders>
              <w:top w:val="single" w:color="000000" w:sz="4" w:space="0"/>
              <w:left w:val="nil"/>
              <w:bottom w:val="nil"/>
              <w:right w:val="nil"/>
            </w:tcBorders>
            <w:shd w:val="clear" w:color="auto" w:fill="FFFFFF"/>
            <w:tcMar>
              <w:top w:w="100" w:type="dxa"/>
              <w:left w:w="100" w:type="dxa"/>
              <w:bottom w:w="100" w:type="dxa"/>
              <w:right w:w="100" w:type="dxa"/>
            </w:tcMar>
            <w:vAlign w:val="top"/>
          </w:tcPr>
          <w:p w14:paraId="012419B6">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i w:val="0"/>
                <w:iCs w:val="0"/>
                <w:color w:val="000000"/>
                <w:sz w:val="21"/>
                <w:szCs w:val="21"/>
                <w:u w:val="none"/>
                <w:vertAlign w:val="baseline"/>
              </w:rPr>
            </w:pPr>
            <w:r>
              <w:rPr>
                <w:rFonts w:hint="default" w:ascii="Times New Roman" w:hAnsi="Times New Roman" w:eastAsia="宋体" w:cs="Times New Roman"/>
                <w:b w:val="0"/>
                <w:i w:val="0"/>
                <w:iCs w:val="0"/>
                <w:color w:val="000000"/>
                <w:sz w:val="21"/>
                <w:szCs w:val="21"/>
                <w:u w:val="none"/>
                <w:vertAlign w:val="baseline"/>
              </w:rPr>
              <w:t>从Loghub的数据集中所提取的一个标准基准子集，针对每个系统随机采样出2000条日志，并由专家进行手动标注。</w:t>
            </w:r>
          </w:p>
        </w:tc>
      </w:tr>
      <w:tr w14:paraId="7A950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l2br w:val="nil"/>
            </w:tcBorders>
            <w:shd w:val="clear" w:color="auto" w:fill="FFFFFF"/>
            <w:tcMar>
              <w:top w:w="100" w:type="dxa"/>
              <w:left w:w="100" w:type="dxa"/>
              <w:bottom w:w="100" w:type="dxa"/>
              <w:right w:w="100" w:type="dxa"/>
            </w:tcMar>
            <w:vAlign w:val="top"/>
          </w:tcPr>
          <w:p w14:paraId="612529B4">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日志解析</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2438C65F">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Log Parsing</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43BAF40E">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将非结构化文本（如</w:t>
            </w:r>
            <w:r>
              <w:rPr>
                <w:rFonts w:ascii="Times New Roman" w:hAnsi="Times New Roman" w:eastAsia="宋体" w:cs="Times New Roman"/>
                <w:b w:val="0"/>
                <w:i w:val="0"/>
                <w:iCs w:val="0"/>
                <w:color w:val="000000"/>
                <w:sz w:val="21"/>
                <w:szCs w:val="21"/>
                <w:u w:val="none"/>
                <w:vertAlign w:val="baseline"/>
              </w:rPr>
              <w:t>User1loginfrom192.168.1.1</w:t>
            </w:r>
            <w:r>
              <w:rPr>
                <w:rFonts w:hint="default" w:ascii="Times New Roman" w:hAnsi="Times New Roman" w:eastAsia="宋体" w:cs="Times New Roman"/>
                <w:b w:val="0"/>
                <w:i w:val="0"/>
                <w:iCs w:val="0"/>
                <w:color w:val="000000"/>
                <w:sz w:val="21"/>
                <w:szCs w:val="21"/>
                <w:u w:val="none"/>
                <w:vertAlign w:val="baseline"/>
              </w:rPr>
              <w:t>）自动转化为结构化模板（如User&lt;*&gt;loginfrom&lt;*&gt;）的过程。</w:t>
            </w:r>
          </w:p>
        </w:tc>
      </w:tr>
      <w:tr w14:paraId="7DED4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cBorders>
            <w:shd w:val="clear" w:color="auto" w:fill="FFFFFF"/>
            <w:tcMar>
              <w:top w:w="100" w:type="dxa"/>
              <w:left w:w="100" w:type="dxa"/>
              <w:bottom w:w="100" w:type="dxa"/>
              <w:right w:w="100" w:type="dxa"/>
            </w:tcMar>
            <w:vAlign w:val="top"/>
          </w:tcPr>
          <w:p w14:paraId="28312B91">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日志模板</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6972CF66">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Log Template</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0AABC73A">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日志中固定不变的部分，代表系统发生的特定事件类型。</w:t>
            </w:r>
          </w:p>
        </w:tc>
      </w:tr>
      <w:tr w14:paraId="5176E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cBorders>
            <w:shd w:val="clear" w:color="auto" w:fill="FFFFFF"/>
            <w:tcMar>
              <w:top w:w="100" w:type="dxa"/>
              <w:left w:w="100" w:type="dxa"/>
              <w:bottom w:w="100" w:type="dxa"/>
              <w:right w:w="100" w:type="dxa"/>
            </w:tcMar>
            <w:vAlign w:val="top"/>
          </w:tcPr>
          <w:p w14:paraId="29CB27AC">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参数/变量</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6657E873">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Parameter / Variable</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5801704B">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日志中随运行状态变化的部分（如ID、IP、耗时、块号等）。</w:t>
            </w:r>
          </w:p>
        </w:tc>
      </w:tr>
      <w:tr w14:paraId="2F4E68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cBorders>
            <w:shd w:val="clear" w:color="auto" w:fill="FFFFFF"/>
            <w:tcMar>
              <w:top w:w="100" w:type="dxa"/>
              <w:left w:w="100" w:type="dxa"/>
              <w:bottom w:w="100" w:type="dxa"/>
              <w:right w:w="100" w:type="dxa"/>
            </w:tcMar>
            <w:vAlign w:val="top"/>
          </w:tcPr>
          <w:p w14:paraId="57EF49BA">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GA</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34B138B2">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Grouping Accuracy</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39FDC797">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分组准确率</w:t>
            </w:r>
            <w:r>
              <w:rPr>
                <w:rFonts w:hint="default" w:ascii="Times New Roman" w:hAnsi="Times New Roman" w:eastAsia="宋体" w:cs="Times New Roman"/>
                <w:b w:val="0"/>
                <w:i w:val="0"/>
                <w:iCs w:val="0"/>
                <w:color w:val="000000"/>
                <w:sz w:val="21"/>
                <w:szCs w:val="21"/>
                <w:u w:val="none"/>
                <w:vertAlign w:val="baseline"/>
              </w:rPr>
              <w:t>。衡量解析器将相同模板的日志归为同一组的能力。它是消息级的指标，易受高频日志影响。</w:t>
            </w:r>
          </w:p>
        </w:tc>
      </w:tr>
      <w:tr w14:paraId="1942B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cBorders>
            <w:shd w:val="clear" w:color="auto" w:fill="FFFFFF"/>
            <w:tcMar>
              <w:top w:w="100" w:type="dxa"/>
              <w:left w:w="100" w:type="dxa"/>
              <w:bottom w:w="100" w:type="dxa"/>
              <w:right w:w="100" w:type="dxa"/>
            </w:tcMar>
            <w:vAlign w:val="top"/>
          </w:tcPr>
          <w:p w14:paraId="2133147D">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PA</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5B58EC0E">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Parsing Accuracy</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6C55AD81">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解析准确率</w:t>
            </w:r>
            <w:r>
              <w:rPr>
                <w:rFonts w:hint="default" w:ascii="Times New Roman" w:hAnsi="Times New Roman" w:eastAsia="宋体" w:cs="Times New Roman"/>
                <w:b w:val="0"/>
                <w:i w:val="0"/>
                <w:iCs w:val="0"/>
                <w:color w:val="000000"/>
                <w:sz w:val="21"/>
                <w:szCs w:val="21"/>
                <w:u w:val="none"/>
                <w:vertAlign w:val="baseline"/>
              </w:rPr>
              <w:t>。衡量被解析为正确模板的日志行数占比。</w:t>
            </w:r>
          </w:p>
        </w:tc>
      </w:tr>
      <w:tr w14:paraId="0BE68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nil"/>
              <w:right w:val="nil"/>
            </w:tcBorders>
            <w:shd w:val="clear" w:color="auto" w:fill="FFFFFF"/>
            <w:tcMar>
              <w:top w:w="100" w:type="dxa"/>
              <w:left w:w="100" w:type="dxa"/>
              <w:bottom w:w="100" w:type="dxa"/>
              <w:right w:w="100" w:type="dxa"/>
            </w:tcMar>
            <w:vAlign w:val="top"/>
          </w:tcPr>
          <w:p w14:paraId="239695D7">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FGA (新提出)</w:t>
            </w:r>
          </w:p>
        </w:tc>
        <w:tc>
          <w:tcPr>
            <w:tcW w:w="2096" w:type="dxa"/>
            <w:tcBorders>
              <w:top w:val="nil"/>
              <w:left w:val="nil"/>
              <w:bottom w:val="nil"/>
              <w:right w:val="nil"/>
            </w:tcBorders>
            <w:shd w:val="clear" w:color="auto" w:fill="FFFFFF"/>
            <w:tcMar>
              <w:top w:w="100" w:type="dxa"/>
              <w:left w:w="100" w:type="dxa"/>
              <w:bottom w:w="100" w:type="dxa"/>
              <w:right w:w="100" w:type="dxa"/>
            </w:tcMar>
            <w:vAlign w:val="top"/>
          </w:tcPr>
          <w:p w14:paraId="6C6AF93F">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F1-score of Grouping Accuracy</w:t>
            </w:r>
          </w:p>
        </w:tc>
        <w:tc>
          <w:tcPr>
            <w:tcW w:w="6130" w:type="dxa"/>
            <w:tcBorders>
              <w:top w:val="nil"/>
              <w:left w:val="nil"/>
              <w:bottom w:val="nil"/>
              <w:right w:val="nil"/>
            </w:tcBorders>
            <w:shd w:val="clear" w:color="auto" w:fill="FFFFFF"/>
            <w:tcMar>
              <w:top w:w="100" w:type="dxa"/>
              <w:left w:w="100" w:type="dxa"/>
              <w:bottom w:w="100" w:type="dxa"/>
              <w:right w:w="100" w:type="dxa"/>
            </w:tcMar>
            <w:vAlign w:val="top"/>
          </w:tcPr>
          <w:p w14:paraId="49729FE5">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分组准确率的F1分数</w:t>
            </w:r>
            <w:r>
              <w:rPr>
                <w:rFonts w:hint="default" w:ascii="Times New Roman" w:hAnsi="Times New Roman" w:eastAsia="宋体" w:cs="Times New Roman"/>
                <w:b w:val="0"/>
                <w:i w:val="0"/>
                <w:iCs w:val="0"/>
                <w:color w:val="000000"/>
                <w:sz w:val="21"/>
                <w:szCs w:val="21"/>
                <w:u w:val="none"/>
                <w:vertAlign w:val="baseline"/>
              </w:rPr>
              <w:t>。作者提出的模板级指标。它平等对待每个模板，能更真实地反映解析器对低频异常日志的处理能力。</w:t>
            </w:r>
          </w:p>
        </w:tc>
      </w:tr>
      <w:tr w14:paraId="3008C3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068" w:type="dxa"/>
            <w:tcBorders>
              <w:top w:val="nil"/>
              <w:left w:val="nil"/>
              <w:bottom w:val="single" w:color="000000" w:sz="12" w:space="0"/>
              <w:right w:val="nil"/>
            </w:tcBorders>
            <w:shd w:val="clear" w:color="auto" w:fill="FFFFFF"/>
            <w:tcMar>
              <w:top w:w="100" w:type="dxa"/>
              <w:left w:w="100" w:type="dxa"/>
              <w:bottom w:w="100" w:type="dxa"/>
              <w:right w:w="100" w:type="dxa"/>
            </w:tcMar>
            <w:vAlign w:val="top"/>
          </w:tcPr>
          <w:p w14:paraId="64640125">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bCs/>
                <w:i w:val="0"/>
                <w:iCs w:val="0"/>
                <w:color w:val="000000"/>
                <w:sz w:val="21"/>
                <w:szCs w:val="21"/>
                <w:u w:val="none"/>
                <w:vertAlign w:val="baseline"/>
              </w:rPr>
              <w:t>长尾分布</w:t>
            </w:r>
          </w:p>
        </w:tc>
        <w:tc>
          <w:tcPr>
            <w:tcW w:w="2096" w:type="dxa"/>
            <w:tcBorders>
              <w:top w:val="nil"/>
              <w:left w:val="nil"/>
              <w:bottom w:val="single" w:color="000000" w:sz="12" w:space="0"/>
              <w:right w:val="nil"/>
            </w:tcBorders>
            <w:shd w:val="clear" w:color="auto" w:fill="FFFFFF"/>
            <w:tcMar>
              <w:top w:w="100" w:type="dxa"/>
              <w:left w:w="100" w:type="dxa"/>
              <w:bottom w:w="100" w:type="dxa"/>
              <w:right w:w="100" w:type="dxa"/>
            </w:tcMar>
            <w:vAlign w:val="top"/>
          </w:tcPr>
          <w:p w14:paraId="3E5AFF3B">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Long-tail Distribution</w:t>
            </w:r>
          </w:p>
        </w:tc>
        <w:tc>
          <w:tcPr>
            <w:tcW w:w="6130" w:type="dxa"/>
            <w:tcBorders>
              <w:top w:val="nil"/>
              <w:left w:val="nil"/>
              <w:bottom w:val="single" w:color="000000" w:sz="12" w:space="0"/>
              <w:right w:val="nil"/>
            </w:tcBorders>
            <w:shd w:val="clear" w:color="auto" w:fill="FFFFFF"/>
            <w:tcMar>
              <w:top w:w="100" w:type="dxa"/>
              <w:left w:w="100" w:type="dxa"/>
              <w:bottom w:w="100" w:type="dxa"/>
              <w:right w:w="100" w:type="dxa"/>
            </w:tcMar>
            <w:vAlign w:val="top"/>
          </w:tcPr>
          <w:p w14:paraId="1393669F">
            <w:pPr>
              <w:pStyle w:val="3"/>
              <w:keepNext w:val="0"/>
              <w:keepLines w:val="0"/>
              <w:widowControl/>
              <w:suppressLineNumbers w:val="0"/>
              <w:bidi w:val="0"/>
              <w:spacing w:before="0" w:beforeAutospacing="0" w:after="0" w:afterAutospacing="0" w:line="17" w:lineRule="atLeast"/>
              <w:jc w:val="both"/>
              <w:rPr>
                <w:rFonts w:ascii="Times New Roman" w:hAnsi="Times New Roman" w:eastAsia="宋体" w:cs="Times New Roman"/>
                <w:b w:val="0"/>
                <w:color w:val="000000"/>
                <w:sz w:val="21"/>
                <w:szCs w:val="21"/>
              </w:rPr>
            </w:pPr>
            <w:r>
              <w:rPr>
                <w:rFonts w:hint="default" w:ascii="Times New Roman" w:hAnsi="Times New Roman" w:eastAsia="宋体" w:cs="Times New Roman"/>
                <w:b w:val="0"/>
                <w:i w:val="0"/>
                <w:iCs w:val="0"/>
                <w:color w:val="000000"/>
                <w:sz w:val="21"/>
                <w:szCs w:val="21"/>
                <w:u w:val="none"/>
                <w:vertAlign w:val="baseline"/>
              </w:rPr>
              <w:t>指10%的高频模板产生了90%的日志量，而剩下的90%低频模板包含了关键的故障信息。</w:t>
            </w:r>
          </w:p>
        </w:tc>
      </w:tr>
    </w:tbl>
    <w:p w14:paraId="7D05C1D6">
      <w:pPr>
        <w:rPr>
          <w:rFonts w:hint="eastAsia" w:ascii="Times New Roman" w:hAnsi="Times New Roman"/>
          <w:sz w:val="24"/>
        </w:rPr>
      </w:pPr>
    </w:p>
    <w:p w14:paraId="0F419F99">
      <w:pPr>
        <w:jc w:val="center"/>
        <w:rPr>
          <w:rFonts w:hint="eastAsia" w:ascii="Times New Roman" w:hAnsi="Times New Roman"/>
          <w:sz w:val="24"/>
        </w:rPr>
      </w:pPr>
      <w:r>
        <w:rPr>
          <w:rFonts w:hint="eastAsia" w:ascii="Times New Roman" w:hAnsi="Times New Roman"/>
          <w:sz w:val="24"/>
          <w:lang w:val="en-US" w:eastAsia="zh-CN"/>
        </w:rPr>
        <w:t>Loghub、Loghub-2k、Loghub-2.0对比</w:t>
      </w:r>
    </w:p>
    <w:tbl>
      <w:tblPr>
        <w:tblStyle w:val="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693"/>
        <w:gridCol w:w="2129"/>
        <w:gridCol w:w="2807"/>
        <w:gridCol w:w="2877"/>
      </w:tblGrid>
      <w:tr w14:paraId="11570E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000000" w:sz="12" w:space="0"/>
              <w:left w:val="nil"/>
              <w:bottom w:val="single" w:color="000000" w:sz="4" w:space="0"/>
              <w:right w:val="nil"/>
              <w:tl2br w:val="nil"/>
            </w:tcBorders>
            <w:shd w:val="clear" w:color="auto" w:fill="FFFFFF"/>
            <w:tcMar>
              <w:top w:w="100" w:type="dxa"/>
              <w:left w:w="100" w:type="dxa"/>
              <w:bottom w:w="100" w:type="dxa"/>
              <w:right w:w="100" w:type="dxa"/>
            </w:tcMar>
            <w:vAlign w:val="center"/>
          </w:tcPr>
          <w:p w14:paraId="607474FA">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特性</w:t>
            </w:r>
          </w:p>
        </w:tc>
        <w:tc>
          <w:tcPr>
            <w:tcW w:w="0" w:type="auto"/>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center"/>
          </w:tcPr>
          <w:p w14:paraId="633F3126">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Loghub(全集)</w:t>
            </w:r>
          </w:p>
        </w:tc>
        <w:tc>
          <w:tcPr>
            <w:tcW w:w="0" w:type="auto"/>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center"/>
          </w:tcPr>
          <w:p w14:paraId="15574520">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Loghub-2k(解析基准)</w:t>
            </w:r>
          </w:p>
        </w:tc>
        <w:tc>
          <w:tcPr>
            <w:tcW w:w="0" w:type="auto"/>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center"/>
          </w:tcPr>
          <w:p w14:paraId="3DD90493">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Loghub-2.0(大规模基准)</w:t>
            </w:r>
          </w:p>
        </w:tc>
      </w:tr>
      <w:tr w14:paraId="69F1B5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21E159B1">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定位</w:t>
            </w:r>
          </w:p>
        </w:tc>
        <w:tc>
          <w:tcPr>
            <w:tcW w:w="0" w:type="auto"/>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1F4359EE">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原始日志数据集的综合仓库。</w:t>
            </w:r>
          </w:p>
        </w:tc>
        <w:tc>
          <w:tcPr>
            <w:tcW w:w="0" w:type="auto"/>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703120C7">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专门用于日志解析评估的小规模子集。</w:t>
            </w:r>
          </w:p>
        </w:tc>
        <w:tc>
          <w:tcPr>
            <w:tcW w:w="0" w:type="auto"/>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3438CA63">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针对大规模、长尾分布设计的工业级解析基准。</w:t>
            </w:r>
          </w:p>
        </w:tc>
      </w:tr>
      <w:tr w14:paraId="621118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l2br w:val="nil"/>
            </w:tcBorders>
            <w:shd w:val="clear" w:color="auto" w:fill="FFFFFF"/>
            <w:tcMar>
              <w:top w:w="100" w:type="dxa"/>
              <w:left w:w="100" w:type="dxa"/>
              <w:bottom w:w="100" w:type="dxa"/>
              <w:right w:w="100" w:type="dxa"/>
            </w:tcMar>
            <w:vAlign w:val="center"/>
          </w:tcPr>
          <w:p w14:paraId="2131B6D4">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数据规模</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3879790E">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19个系统，总量约77GB。</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17C37583">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每个数据集固定抽取2,000条日志。</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622FC912">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14个数据集，平均每个约360万条日志。</w:t>
            </w:r>
          </w:p>
        </w:tc>
      </w:tr>
      <w:tr w14:paraId="1BBAC7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5C539271">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主要任务</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1B8AC301">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rPr>
              <w:t>异常检测、压缩、解析等全场景。</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644BAAA3">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仅聚焦于日志解析(Parsing)的准确性评估。</w:t>
            </w:r>
          </w:p>
        </w:tc>
        <w:tc>
          <w:tcPr>
            <w:tcW w:w="0" w:type="auto"/>
            <w:tcBorders>
              <w:top w:val="nil"/>
              <w:left w:val="nil"/>
              <w:bottom w:val="nil"/>
              <w:right w:val="nil"/>
            </w:tcBorders>
            <w:shd w:val="clear" w:color="auto" w:fill="FFFFFF"/>
            <w:tcMar>
              <w:top w:w="100" w:type="dxa"/>
              <w:left w:w="100" w:type="dxa"/>
              <w:bottom w:w="100" w:type="dxa"/>
              <w:right w:w="100" w:type="dxa"/>
            </w:tcMar>
            <w:vAlign w:val="center"/>
          </w:tcPr>
          <w:p w14:paraId="2B259575">
            <w:pPr>
              <w:pStyle w:val="3"/>
              <w:keepNext w:val="0"/>
              <w:keepLines w:val="0"/>
              <w:widowControl/>
              <w:suppressLineNumbers w:val="0"/>
              <w:bidi w:val="0"/>
              <w:spacing w:before="0" w:beforeAutospacing="0" w:after="0" w:afterAutospacing="0" w:line="17" w:lineRule="atLeast"/>
              <w:jc w:val="both"/>
              <w:rPr>
                <w:rFonts w:hint="default" w:ascii="Times New Roman" w:hAnsi="Times New Roman" w:eastAsia="宋体" w:cs="Times New Roman"/>
                <w:b w:val="0"/>
                <w:bCs/>
                <w:i w:val="0"/>
                <w:iCs w:val="0"/>
                <w:color w:val="000000"/>
                <w:sz w:val="21"/>
                <w:szCs w:val="21"/>
                <w:u w:val="none"/>
                <w:vertAlign w:val="baseline"/>
              </w:rPr>
            </w:pPr>
            <w:r>
              <w:rPr>
                <w:rFonts w:hint="default" w:ascii="Times New Roman" w:hAnsi="Times New Roman" w:eastAsia="宋体" w:cs="Times New Roman"/>
                <w:b w:val="0"/>
                <w:bCs/>
                <w:i w:val="0"/>
                <w:iCs w:val="0"/>
                <w:color w:val="000000"/>
                <w:sz w:val="21"/>
                <w:szCs w:val="21"/>
                <w:u w:val="none"/>
                <w:vertAlign w:val="baseline"/>
                <w:lang w:val="en-US" w:eastAsia="zh-CN"/>
              </w:rPr>
              <w:t>聚焦于大规模流式解析的效能与长尾准确性。</w:t>
            </w:r>
          </w:p>
        </w:tc>
      </w:tr>
      <w:tr w14:paraId="30A741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1AA03C79">
            <w:pPr>
              <w:pStyle w:val="3"/>
              <w:keepNext w:val="0"/>
              <w:keepLines w:val="0"/>
              <w:widowControl/>
              <w:suppressLineNumbers w:val="0"/>
              <w:bidi w:val="0"/>
              <w:spacing w:before="0" w:beforeAutospacing="0" w:after="0" w:afterAutospacing="0" w:line="17" w:lineRule="atLeast"/>
              <w:ind w:left="0" w:leftChars="0" w:right="0" w:rightChars="0"/>
              <w:jc w:val="both"/>
              <w:rPr>
                <w:rFonts w:hint="default" w:ascii="Times New Roman" w:hAnsi="Times New Roman" w:eastAsia="宋体" w:cs="Times New Roman"/>
                <w:b w:val="0"/>
                <w:bCs/>
                <w:i w:val="0"/>
                <w:iCs w:val="0"/>
                <w:color w:val="000000"/>
                <w:kern w:val="0"/>
                <w:sz w:val="21"/>
                <w:szCs w:val="21"/>
                <w:u w:val="none"/>
                <w:vertAlign w:val="baseline"/>
                <w:lang w:val="en-US" w:eastAsia="zh-CN" w:bidi="ar"/>
              </w:rPr>
            </w:pPr>
            <w:r>
              <w:rPr>
                <w:rFonts w:hint="default" w:ascii="Times New Roman" w:hAnsi="Times New Roman" w:eastAsia="宋体" w:cs="Times New Roman"/>
                <w:b w:val="0"/>
                <w:bCs/>
                <w:i w:val="0"/>
                <w:iCs w:val="0"/>
                <w:color w:val="000000"/>
                <w:sz w:val="21"/>
                <w:szCs w:val="21"/>
                <w:u w:val="none"/>
                <w:vertAlign w:val="baseline"/>
                <w:lang w:val="en-US" w:eastAsia="zh-CN"/>
              </w:rPr>
              <w:t>评估指标</w:t>
            </w:r>
          </w:p>
        </w:tc>
        <w:tc>
          <w:tcPr>
            <w:tcW w:w="0" w:type="auto"/>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2070F67B">
            <w:pPr>
              <w:pStyle w:val="3"/>
              <w:keepNext w:val="0"/>
              <w:keepLines w:val="0"/>
              <w:widowControl/>
              <w:suppressLineNumbers w:val="0"/>
              <w:bidi w:val="0"/>
              <w:spacing w:before="0" w:beforeAutospacing="0" w:after="0" w:afterAutospacing="0" w:line="17" w:lineRule="atLeast"/>
              <w:ind w:left="0" w:leftChars="0" w:right="0" w:rightChars="0"/>
              <w:jc w:val="both"/>
              <w:rPr>
                <w:rFonts w:hint="default" w:ascii="Times New Roman" w:hAnsi="Times New Roman" w:eastAsia="宋体" w:cs="Times New Roman"/>
                <w:b w:val="0"/>
                <w:bCs/>
                <w:i w:val="0"/>
                <w:iCs w:val="0"/>
                <w:color w:val="000000"/>
                <w:kern w:val="0"/>
                <w:sz w:val="21"/>
                <w:szCs w:val="21"/>
                <w:u w:val="none"/>
                <w:vertAlign w:val="baseline"/>
                <w:lang w:val="en-US" w:eastAsia="zh-CN" w:bidi="ar"/>
              </w:rPr>
            </w:pPr>
            <w:r>
              <w:rPr>
                <w:rFonts w:hint="default" w:ascii="Times New Roman" w:hAnsi="Times New Roman" w:eastAsia="宋体" w:cs="Times New Roman"/>
                <w:b w:val="0"/>
                <w:bCs/>
                <w:i w:val="0"/>
                <w:iCs w:val="0"/>
                <w:color w:val="000000"/>
                <w:sz w:val="21"/>
                <w:szCs w:val="21"/>
                <w:u w:val="none"/>
                <w:vertAlign w:val="baseline"/>
              </w:rPr>
              <w:t>准确率、召回率、F1分数等。</w:t>
            </w:r>
          </w:p>
        </w:tc>
        <w:tc>
          <w:tcPr>
            <w:tcW w:w="0" w:type="auto"/>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1862DC41">
            <w:pPr>
              <w:pStyle w:val="3"/>
              <w:keepNext w:val="0"/>
              <w:keepLines w:val="0"/>
              <w:widowControl/>
              <w:suppressLineNumbers w:val="0"/>
              <w:bidi w:val="0"/>
              <w:spacing w:before="0" w:beforeAutospacing="0" w:after="0" w:afterAutospacing="0" w:line="17" w:lineRule="atLeast"/>
              <w:ind w:left="0" w:leftChars="0" w:right="0" w:rightChars="0"/>
              <w:jc w:val="both"/>
              <w:rPr>
                <w:rFonts w:hint="default" w:ascii="Times New Roman" w:hAnsi="Times New Roman" w:eastAsia="宋体" w:cs="Times New Roman"/>
                <w:b w:val="0"/>
                <w:bCs/>
                <w:i w:val="0"/>
                <w:iCs w:val="0"/>
                <w:color w:val="000000"/>
                <w:kern w:val="0"/>
                <w:sz w:val="21"/>
                <w:szCs w:val="21"/>
                <w:u w:val="none"/>
                <w:vertAlign w:val="baseline"/>
                <w:lang w:val="en-US" w:eastAsia="zh-CN" w:bidi="ar"/>
              </w:rPr>
            </w:pPr>
            <w:r>
              <w:rPr>
                <w:rFonts w:hint="default" w:ascii="Times New Roman" w:hAnsi="Times New Roman" w:eastAsia="宋体" w:cs="Times New Roman"/>
                <w:b w:val="0"/>
                <w:bCs/>
                <w:i w:val="0"/>
                <w:iCs w:val="0"/>
                <w:color w:val="000000"/>
                <w:sz w:val="21"/>
                <w:szCs w:val="21"/>
                <w:u w:val="none"/>
                <w:vertAlign w:val="baseline"/>
              </w:rPr>
              <w:t>消息级的PA(解析准确率)和GA(分组准确率)。</w:t>
            </w:r>
          </w:p>
        </w:tc>
        <w:tc>
          <w:tcPr>
            <w:tcW w:w="0" w:type="auto"/>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6D0B7B80">
            <w:pPr>
              <w:pStyle w:val="3"/>
              <w:keepNext w:val="0"/>
              <w:keepLines w:val="0"/>
              <w:widowControl/>
              <w:suppressLineNumbers w:val="0"/>
              <w:bidi w:val="0"/>
              <w:spacing w:before="0" w:beforeAutospacing="0" w:after="0" w:afterAutospacing="0" w:line="17" w:lineRule="atLeast"/>
              <w:ind w:left="0" w:leftChars="0" w:right="0" w:rightChars="0"/>
              <w:jc w:val="both"/>
              <w:rPr>
                <w:rFonts w:hint="default" w:ascii="Times New Roman" w:hAnsi="Times New Roman" w:eastAsia="宋体" w:cs="Times New Roman"/>
                <w:b w:val="0"/>
                <w:bCs/>
                <w:i w:val="0"/>
                <w:iCs w:val="0"/>
                <w:color w:val="000000"/>
                <w:kern w:val="0"/>
                <w:sz w:val="21"/>
                <w:szCs w:val="21"/>
                <w:u w:val="none"/>
                <w:vertAlign w:val="baseline"/>
                <w:lang w:val="en-US" w:eastAsia="zh-CN" w:bidi="ar"/>
              </w:rPr>
            </w:pPr>
            <w:r>
              <w:rPr>
                <w:rFonts w:hint="default" w:ascii="Times New Roman" w:hAnsi="Times New Roman" w:eastAsia="宋体" w:cs="Times New Roman"/>
                <w:b w:val="0"/>
                <w:bCs/>
                <w:i w:val="0"/>
                <w:iCs w:val="0"/>
                <w:color w:val="000000"/>
                <w:sz w:val="21"/>
                <w:szCs w:val="21"/>
                <w:u w:val="none"/>
                <w:vertAlign w:val="baseline"/>
                <w:lang w:val="en-US" w:eastAsia="zh-CN"/>
              </w:rPr>
              <w:t>模板级的FGA(分组准确率的F1分数)。</w:t>
            </w:r>
          </w:p>
        </w:tc>
      </w:tr>
    </w:tbl>
    <w:p w14:paraId="38D8B9A3">
      <w:pPr>
        <w:rPr>
          <w:rFonts w:hint="eastAsia" w:ascii="Times New Roman" w:hAnsi="Times New Roman"/>
          <w:sz w:val="24"/>
        </w:rPr>
      </w:pPr>
    </w:p>
    <w:p w14:paraId="3AD99290">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1.核心痛点</w:t>
      </w:r>
    </w:p>
    <w:p w14:paraId="3A03978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现有的Loghub-2k评估基准在指导工业界部署时存在的局限性：</w:t>
      </w:r>
    </w:p>
    <w:p w14:paraId="3E7974E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规模极小:之前的基准Loghub-2k每个数据集仅2,000行，而现实系统每小时产生数千万行日志，导致模型难以处理复杂的数据特征。</w:t>
      </w:r>
    </w:p>
    <w:p w14:paraId="4C8AA3C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指标虚高:常用的</w:t>
      </w:r>
      <w:r>
        <w:rPr>
          <w:rFonts w:ascii="宋体" w:hAnsi="宋体" w:eastAsia="宋体" w:cs="宋体"/>
          <w:sz w:val="24"/>
          <w:szCs w:val="24"/>
        </w:rPr>
        <w:t>消息级指标</w:t>
      </w:r>
      <w:r>
        <w:rPr>
          <w:rFonts w:hint="eastAsia" w:ascii="宋体" w:hAnsi="宋体" w:eastAsia="宋体" w:cs="宋体"/>
          <w:sz w:val="24"/>
          <w:szCs w:val="24"/>
          <w:lang w:val="en-US" w:eastAsia="zh-CN"/>
        </w:rPr>
        <w:t>（例如</w:t>
      </w:r>
      <w:r>
        <w:rPr>
          <w:rFonts w:hint="eastAsia" w:ascii="Times New Roman" w:hAnsi="Times New Roman"/>
          <w:b w:val="0"/>
          <w:bCs w:val="0"/>
          <w:sz w:val="24"/>
          <w:lang w:val="en-US" w:eastAsia="zh-CN"/>
        </w:rPr>
        <w:t>GA</w:t>
      </w:r>
      <w:r>
        <w:rPr>
          <w:rFonts w:hint="eastAsia" w:ascii="宋体" w:hAnsi="宋体" w:eastAsia="宋体" w:cs="宋体"/>
          <w:sz w:val="24"/>
          <w:szCs w:val="24"/>
          <w:lang w:val="en-US" w:eastAsia="zh-CN"/>
        </w:rPr>
        <w:t>）</w:t>
      </w:r>
      <w:r>
        <w:rPr>
          <w:rFonts w:hint="eastAsia" w:ascii="Times New Roman" w:hAnsi="Times New Roman"/>
          <w:b w:val="0"/>
          <w:bCs w:val="0"/>
          <w:sz w:val="24"/>
          <w:lang w:val="en-US" w:eastAsia="zh-CN"/>
        </w:rPr>
        <w:t>在数据分布极度不均时，由于少数模板占据绝大多数日志量，往往会给出虚高的评分。</w:t>
      </w:r>
    </w:p>
    <w:p w14:paraId="314AF1D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缺乏深度分析:现有的评估忽略了低频日志（通常对应罕见故障）和高参数量日志（反映系统复杂状态）的解析效果。</w:t>
      </w:r>
    </w:p>
    <w:p w14:paraId="246F088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2.核心贡献</w:t>
      </w:r>
    </w:p>
    <w:p w14:paraId="7BDCBDA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数据规模：包含14个数据集，共计约5000万行日志，平均每个数据集有360万行日志，数据量是2k版本的1800多倍。</w:t>
      </w:r>
    </w:p>
    <w:p w14:paraId="15BAC69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标注精度：采用严谨的标注框架，由5名资深研究员和工程师手动标注，采用一致的标注框架进行多轮校对，确保了模板和参数提取的准确性。</w:t>
      </w:r>
    </w:p>
    <w:p w14:paraId="7ACF365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分布特性：相比2k版本，2.0版本的日志模板频率呈现出更明显的长尾分布，且单个模板包含的参数数量更多。</w:t>
      </w:r>
    </w:p>
    <w:p w14:paraId="21F9A1A9">
      <w:pPr>
        <w:rPr>
          <w:rFonts w:ascii="Times New Roman" w:hAnsi="Times New Roman"/>
          <w:sz w:val="24"/>
        </w:rPr>
      </w:pPr>
      <w:r>
        <w:drawing>
          <wp:inline distT="0" distB="0" distL="114300" distR="114300">
            <wp:extent cx="5036820" cy="38862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036820" cy="3886200"/>
                    </a:xfrm>
                    <a:prstGeom prst="rect">
                      <a:avLst/>
                    </a:prstGeom>
                    <a:noFill/>
                    <a:ln>
                      <a:noFill/>
                    </a:ln>
                  </pic:spPr>
                </pic:pic>
              </a:graphicData>
            </a:graphic>
          </wp:inline>
        </w:drawing>
      </w:r>
    </w:p>
    <w:p w14:paraId="40CDE0F4">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3.实验设计与评估</w:t>
      </w:r>
    </w:p>
    <w:p w14:paraId="2D35E842">
      <w:pPr>
        <w:rPr>
          <w:rFonts w:hint="eastAsia" w:ascii="Times New Roman" w:hAnsi="Times New Roman"/>
          <w:sz w:val="24"/>
        </w:rPr>
      </w:pPr>
      <w:r>
        <w:rPr>
          <w:rFonts w:hint="eastAsia" w:ascii="Times New Roman" w:hAnsi="Times New Roman"/>
          <w:sz w:val="24"/>
        </w:rPr>
        <w:t>作者评估了15种代表性算法，将其分为两大类：</w:t>
      </w:r>
    </w:p>
    <w:p w14:paraId="1E6AB93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统计/启发式解析器:基于频率、相似度或聚类，如Drain(最常用)、Spell、IPLOM、LenMa等。</w:t>
      </w:r>
    </w:p>
    <w:p w14:paraId="0E96D44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语义解析器:利用自然语言处理或深度学习理解文本语义，如LogPPT(基于Prompt)、UniParser。</w:t>
      </w:r>
    </w:p>
    <w:p w14:paraId="0C2210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p>
    <w:p w14:paraId="62E31A53">
      <w:pPr>
        <w:rPr>
          <w:rFonts w:hint="eastAsia" w:ascii="Times New Roman" w:hAnsi="Times New Roman"/>
          <w:color w:val="0000FF"/>
          <w:sz w:val="28"/>
          <w:szCs w:val="28"/>
        </w:rPr>
      </w:pPr>
      <w:r>
        <w:rPr>
          <w:rFonts w:hint="eastAsia" w:ascii="Times New Roman" w:hAnsi="Times New Roman"/>
          <w:color w:val="0000FF"/>
          <w:sz w:val="28"/>
          <w:szCs w:val="28"/>
        </w:rPr>
        <w:t>评估指标创新：FGA</w:t>
      </w:r>
    </w:p>
    <w:p w14:paraId="3FD0EF95">
      <w:pPr>
        <w:rPr>
          <w:rFonts w:hint="eastAsia" w:ascii="Times New Roman" w:hAnsi="Times New Roman"/>
          <w:sz w:val="24"/>
        </w:rPr>
      </w:pPr>
      <w:r>
        <w:rPr>
          <w:rFonts w:hint="eastAsia" w:ascii="Times New Roman" w:hAnsi="Times New Roman"/>
          <w:sz w:val="24"/>
        </w:rPr>
        <w:t>定义:FGA(F1-score</w:t>
      </w:r>
      <w:r>
        <w:rPr>
          <w:rFonts w:hint="eastAsia" w:ascii="Times New Roman" w:hAnsi="Times New Roman"/>
          <w:sz w:val="24"/>
          <w:lang w:val="en-US" w:eastAsia="zh-CN"/>
        </w:rPr>
        <w:t xml:space="preserve"> </w:t>
      </w:r>
      <w:r>
        <w:rPr>
          <w:rFonts w:hint="eastAsia" w:ascii="Times New Roman" w:hAnsi="Times New Roman"/>
          <w:sz w:val="24"/>
        </w:rPr>
        <w:t>of</w:t>
      </w:r>
      <w:r>
        <w:rPr>
          <w:rFonts w:hint="eastAsia" w:ascii="Times New Roman" w:hAnsi="Times New Roman"/>
          <w:sz w:val="24"/>
          <w:lang w:val="en-US" w:eastAsia="zh-CN"/>
        </w:rPr>
        <w:t xml:space="preserve"> </w:t>
      </w:r>
      <w:r>
        <w:rPr>
          <w:rFonts w:hint="eastAsia" w:ascii="Times New Roman" w:hAnsi="Times New Roman"/>
          <w:sz w:val="24"/>
        </w:rPr>
        <w:t>Group</w:t>
      </w:r>
      <w:r>
        <w:rPr>
          <w:rFonts w:hint="eastAsia" w:ascii="Times New Roman" w:hAnsi="Times New Roman"/>
          <w:sz w:val="24"/>
          <w:lang w:val="en-US" w:eastAsia="zh-CN"/>
        </w:rPr>
        <w:t xml:space="preserve"> </w:t>
      </w:r>
      <w:r>
        <w:rPr>
          <w:rFonts w:hint="eastAsia" w:ascii="Times New Roman" w:hAnsi="Times New Roman"/>
          <w:sz w:val="24"/>
        </w:rPr>
        <w:t>Accuracy)是一种模板级的评估指标。</w:t>
      </w:r>
    </w:p>
    <w:p w14:paraId="30D64FF9">
      <w:pPr>
        <w:rPr>
          <w:rFonts w:hint="eastAsia" w:ascii="Times New Roman" w:hAnsi="Times New Roman"/>
          <w:sz w:val="24"/>
        </w:rPr>
      </w:pPr>
      <w:r>
        <w:rPr>
          <w:rFonts w:hint="eastAsia" w:ascii="Times New Roman" w:hAnsi="Times New Roman"/>
          <w:sz w:val="24"/>
        </w:rPr>
        <w:t>价值:它公平地对待每一个模板，无论其对应1条还是100万条日志，能够真实反映解析器处理各类异常（低频）日志的能力。</w:t>
      </w:r>
    </w:p>
    <w:p w14:paraId="4D68A7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设</w:t>
      </w:r>
      <m:oMath>
        <m:r>
          <m:rPr>
            <m:sty m:val="p"/>
            <m:scr m:val="script"/>
          </m:rPr>
          <w:rPr>
            <w:rFonts w:hint="default" w:ascii="Times New Roman" w:hAnsi="Times New Roman" w:eastAsia="MS Mincho"/>
            <w:sz w:val="24"/>
            <w:lang w:val="en-US" w:eastAsia="zh-CN"/>
          </w:rPr>
          <m:t>S</m:t>
        </m:r>
      </m:oMath>
      <w:r>
        <w:rPr>
          <w:rFonts w:hint="eastAsia" w:ascii="Times New Roman" w:hAnsi="Times New Roman"/>
          <w:b w:val="0"/>
          <w:bCs w:val="0"/>
          <w:sz w:val="24"/>
          <w:lang w:val="en-US" w:eastAsia="zh-CN"/>
        </w:rPr>
        <w:t>为真实模板组（Ground Truth Groups）的集合，</w:t>
      </w:r>
      <m:oMath>
        <m:acc>
          <m:accPr>
            <m:ctrlPr>
              <w:rPr>
                <w:rFonts w:hint="default" w:ascii="Cambria Math" w:hAnsi="Cambria Math"/>
                <w:b w:val="0"/>
                <w:bCs w:val="0"/>
                <w:sz w:val="24"/>
                <w:lang w:val="en-US" w:eastAsia="zh-CN"/>
              </w:rPr>
            </m:ctrlPr>
          </m:accPr>
          <m:e>
            <m:r>
              <m:rPr>
                <m:sty m:val="p"/>
                <m:scr m:val="script"/>
              </m:rPr>
              <w:rPr>
                <w:rFonts w:hint="default" w:ascii="Times New Roman" w:hAnsi="Times New Roman" w:eastAsia="MS Mincho"/>
                <w:sz w:val="24"/>
                <w:lang w:val="en-US" w:eastAsia="zh-CN"/>
              </w:rPr>
              <m:t>S</m:t>
            </m:r>
            <m:ctrlPr>
              <w:rPr>
                <w:rFonts w:hint="eastAsia" w:ascii="Cambria Math" w:hAnsi="Cambria Math"/>
                <w:b w:val="0"/>
                <w:bCs w:val="0"/>
                <w:sz w:val="24"/>
                <w:lang w:val="en-US" w:eastAsia="zh-CN"/>
              </w:rPr>
            </m:ctrlPr>
          </m:e>
        </m:acc>
      </m:oMath>
      <w:r>
        <w:rPr>
          <w:rFonts w:hint="eastAsia" w:ascii="Times New Roman" w:hAnsi="Times New Roman"/>
          <w:b w:val="0"/>
          <w:bCs w:val="0"/>
          <w:sz w:val="24"/>
          <w:lang w:val="en-US" w:eastAsia="zh-CN"/>
        </w:rPr>
        <w:t>为解析器生成的预测模板组（Predicted Groups）的集合。</w:t>
      </w:r>
    </w:p>
    <w:p w14:paraId="5AD0AC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一个预测组</w:t>
      </w:r>
      <m:oMath>
        <m:acc>
          <m:accPr>
            <m:ctrlPr>
              <w:rPr>
                <w:rFonts w:hint="default" w:ascii="Cambria Math" w:hAnsi="Cambria Math"/>
                <w:b w:val="0"/>
                <w:bCs w:val="0"/>
                <w:sz w:val="24"/>
                <w:lang w:val="en-US" w:eastAsia="zh-CN"/>
              </w:rPr>
            </m:ctrlPr>
          </m:accPr>
          <m:e>
            <m:r>
              <m:rPr>
                <m:sty m:val="p"/>
              </m:rPr>
              <w:rPr>
                <w:rFonts w:hint="default" w:ascii="Times New Roman" w:hAnsi="Times New Roman"/>
                <w:sz w:val="24"/>
                <w:lang w:val="en-US" w:eastAsia="zh-CN"/>
              </w:rPr>
              <m:t>g</m:t>
            </m:r>
            <m:ctrlPr>
              <w:rPr>
                <w:rFonts w:hint="eastAsia" w:ascii="Cambria Math" w:hAnsi="Cambria Math"/>
                <w:b w:val="0"/>
                <w:bCs w:val="0"/>
                <w:sz w:val="24"/>
                <w:lang w:val="en-US" w:eastAsia="zh-CN"/>
              </w:rPr>
            </m:ctrlPr>
          </m:e>
        </m:acc>
        <m:r>
          <m:rPr>
            <m:sty m:val="p"/>
          </m:rPr>
          <w:rPr>
            <w:rFonts w:hint="default" w:ascii="Times New Roman" w:hAnsi="Times New Roman"/>
            <w:sz w:val="24"/>
            <w:lang w:val="en-US" w:eastAsia="zh-CN"/>
          </w:rPr>
          <m:t>∈</m:t>
        </m:r>
        <m:acc>
          <m:accPr>
            <m:ctrlPr>
              <w:rPr>
                <w:rFonts w:hint="default" w:ascii="Cambria Math" w:hAnsi="Cambria Math"/>
                <w:b w:val="0"/>
                <w:bCs w:val="0"/>
                <w:sz w:val="24"/>
                <w:lang w:val="en-US" w:eastAsia="zh-CN"/>
              </w:rPr>
            </m:ctrlPr>
          </m:accPr>
          <m:e>
            <m:r>
              <m:rPr>
                <m:sty m:val="p"/>
                <m:scr m:val="script"/>
              </m:rPr>
              <w:rPr>
                <w:rFonts w:hint="default" w:ascii="Times New Roman" w:hAnsi="Times New Roman" w:eastAsia="MS Mincho"/>
                <w:sz w:val="24"/>
                <w:lang w:val="en-US" w:eastAsia="zh-CN"/>
              </w:rPr>
              <m:t>S</m:t>
            </m:r>
            <m:ctrlPr>
              <w:rPr>
                <w:rFonts w:hint="eastAsia" w:ascii="Cambria Math" w:hAnsi="Cambria Math"/>
                <w:b w:val="0"/>
                <w:bCs w:val="0"/>
                <w:sz w:val="24"/>
                <w:lang w:val="en-US" w:eastAsia="zh-CN"/>
              </w:rPr>
            </m:ctrlPr>
          </m:e>
        </m:acc>
      </m:oMath>
      <w:r>
        <w:rPr>
          <w:rFonts w:hint="eastAsia" w:ascii="Times New Roman" w:hAnsi="Times New Roman"/>
          <w:b w:val="0"/>
          <w:bCs w:val="0"/>
          <w:sz w:val="24"/>
          <w:lang w:val="en-US" w:eastAsia="zh-CN"/>
        </w:rPr>
        <w:t>被认为是</w:t>
      </w:r>
      <w:r>
        <w:rPr>
          <w:rFonts w:hint="default" w:ascii="Times New Roman" w:hAnsi="Times New Roman"/>
          <w:b w:val="0"/>
          <w:bCs w:val="0"/>
          <w:sz w:val="24"/>
          <w:lang w:val="en-US" w:eastAsia="zh-CN"/>
        </w:rPr>
        <w:t>正确匹配</w:t>
      </w:r>
      <w:r>
        <w:rPr>
          <w:rFonts w:hint="eastAsia" w:ascii="Times New Roman" w:hAnsi="Times New Roman"/>
          <w:b w:val="0"/>
          <w:bCs w:val="0"/>
          <w:sz w:val="24"/>
          <w:lang w:val="en-US" w:eastAsia="zh-CN"/>
        </w:rPr>
        <w:t>的，当且仅当它包含的日志消息集合与某一个真实的模板组</w:t>
      </w:r>
      <m:oMath>
        <m:r>
          <m:rPr>
            <m:sty m:val="p"/>
          </m:rPr>
          <w:rPr>
            <w:rFonts w:hint="default" w:ascii="Times New Roman" w:hAnsi="Times New Roman"/>
            <w:sz w:val="24"/>
            <w:lang w:val="en-US" w:eastAsia="zh-CN"/>
          </w:rPr>
          <m:t>g∈</m:t>
        </m:r>
        <m:r>
          <m:rPr>
            <m:sty m:val="p"/>
            <m:scr m:val="script"/>
          </m:rPr>
          <w:rPr>
            <w:rFonts w:hint="default" w:ascii="Times New Roman" w:hAnsi="Times New Roman" w:eastAsia="MS Mincho"/>
            <w:sz w:val="24"/>
            <w:lang w:val="en-US" w:eastAsia="zh-CN"/>
          </w:rPr>
          <m:t>S</m:t>
        </m:r>
      </m:oMath>
      <w:r>
        <w:rPr>
          <w:rFonts w:hint="default" w:ascii="Times New Roman" w:hAnsi="Times New Roman"/>
          <w:b w:val="0"/>
          <w:bCs w:val="0"/>
          <w:sz w:val="24"/>
          <w:lang w:val="en-US" w:eastAsia="zh-CN"/>
        </w:rPr>
        <w:t>完全一致</w:t>
      </w:r>
      <w:r>
        <w:rPr>
          <w:rFonts w:hint="eastAsia" w:ascii="Times New Roman" w:hAnsi="Times New Roman"/>
          <w:b w:val="0"/>
          <w:bCs w:val="0"/>
          <w:sz w:val="24"/>
          <w:lang w:val="en-US" w:eastAsia="zh-CN"/>
        </w:rPr>
        <w:t>。</w:t>
      </w:r>
    </w:p>
    <w:p w14:paraId="17BFDC92">
      <w:pPr>
        <w:keepNext w:val="0"/>
        <w:keepLines w:val="0"/>
        <w:widowControl/>
        <w:suppressLineNumbers w:val="0"/>
        <w:jc w:val="left"/>
        <w:rPr>
          <w:rFonts w:hint="eastAsia" w:ascii="Cambria Math" w:hAnsi="Cambria Math"/>
          <w:sz w:val="24"/>
          <w:lang w:val="en-US" w:eastAsia="zh-CN"/>
        </w:rPr>
      </w:pPr>
      <m:oMathPara>
        <m:oMath>
          <m:r>
            <m:rPr>
              <m:sty m:val="p"/>
            </m:rPr>
            <w:rPr>
              <w:rFonts w:hint="default" w:ascii="Cambria Math" w:hAnsi="Cambria Math"/>
              <w:sz w:val="24"/>
            </w:rPr>
            <m:t>Correct Groups=</m:t>
          </m:r>
          <m:r>
            <m:rPr>
              <m:sty m:val="p"/>
              <m:scr m:val="script"/>
            </m:rPr>
            <w:rPr>
              <w:rFonts w:hint="default" w:ascii="Cambria Math" w:hAnsi="Cambria Math" w:eastAsia="MS Mincho"/>
              <w:sz w:val="24"/>
            </w:rPr>
            <m:t>S</m:t>
          </m:r>
          <m:r>
            <m:rPr>
              <m:sty m:val="p"/>
            </m:rPr>
            <w:rPr>
              <w:rFonts w:hint="default" w:ascii="Cambria Math" w:hAnsi="Cambria Math"/>
              <w:sz w:val="24"/>
            </w:rPr>
            <m:t>∩</m:t>
          </m:r>
          <m:acc>
            <m:accPr>
              <m:ctrlPr>
                <w:rPr>
                  <w:rFonts w:hint="default" w:ascii="Cambria Math" w:hAnsi="Cambria Math"/>
                  <w:sz w:val="24"/>
                </w:rPr>
              </m:ctrlPr>
            </m:accPr>
            <m:e>
              <m:r>
                <m:rPr>
                  <m:sty m:val="p"/>
                  <m:scr m:val="script"/>
                </m:rPr>
                <w:rPr>
                  <w:rFonts w:hint="default" w:ascii="Cambria Math" w:hAnsi="Cambria Math" w:eastAsia="MS Mincho"/>
                  <w:sz w:val="24"/>
                </w:rPr>
                <m:t>S</m:t>
              </m:r>
              <m:ctrlPr>
                <w:rPr>
                  <w:rFonts w:hint="default" w:ascii="Cambria Math" w:hAnsi="Cambria Math"/>
                  <w:sz w:val="24"/>
                </w:rPr>
              </m:ctrlPr>
            </m:e>
          </m:acc>
        </m:oMath>
      </m:oMathPara>
    </w:p>
    <w:p w14:paraId="3E9685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oMath/>
        </w:rPr>
      </w:pPr>
      <m:oMathPara>
        <m:oMath>
          <m:r>
            <m:rPr>
              <m:sty m:val="p"/>
            </m:rPr>
            <w:rPr>
              <w:rFonts w:hint="default" w:ascii="Times New Roman" w:hAnsi="Times New Roman"/>
              <w:sz w:val="24"/>
              <w:lang w:val="en-US" w:eastAsia="zh-CN"/>
            </w:rPr>
            <m:t>不同于传统GA统计行数，FGA在模板级计算精确率和召回率：</m:t>
          </m:r>
        </m:oMath>
      </m:oMathPara>
    </w:p>
    <w:p w14:paraId="5A3F532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m:oMath>
        <m:r>
          <m:rPr>
            <m:sty m:val="p"/>
          </m:rPr>
          <w:rPr>
            <w:rFonts w:hint="default" w:ascii="Times New Roman" w:hAnsi="Times New Roman"/>
            <w:sz w:val="24"/>
            <w:lang w:val="en-US" w:eastAsia="zh-CN"/>
          </w:rPr>
          <m:t>组精确率(</m:t>
        </m:r>
        <m:r>
          <m:rPr/>
          <w:rPr>
            <w:rFonts w:hint="default" w:ascii="Cambria Math" w:hAnsi="Cambria Math"/>
            <w:sz w:val="24"/>
            <w:lang w:val="en-US" w:eastAsia="zh-CN"/>
          </w:rPr>
          <m:t>PGA</m:t>
        </m:r>
        <m:r>
          <m:rPr>
            <m:sty m:val="p"/>
          </m:rPr>
          <w:rPr>
            <w:rFonts w:hint="default" w:ascii="Times New Roman" w:hAnsi="Times New Roman"/>
            <w:sz w:val="24"/>
            <w:lang w:val="en-US" w:eastAsia="zh-CN"/>
          </w:rPr>
          <m:t>)</m:t>
        </m:r>
      </m:oMath>
      <w:r>
        <w:rPr>
          <w:rFonts w:hint="default" w:ascii="Times New Roman" w:hAnsi="Times New Roman"/>
          <w:sz w:val="24"/>
          <w:lang w:val="en-US" w:eastAsia="zh-CN"/>
        </w:rPr>
        <w:t>：衡量解析器生成的组中有多少是真实的。</w:t>
      </w:r>
    </w:p>
    <w:p w14:paraId="3B44A12A">
      <w:pPr>
        <w:keepNext w:val="0"/>
        <w:keepLines w:val="0"/>
        <w:widowControl/>
        <w:suppressLineNumbers w:val="0"/>
        <w:jc w:val="left"/>
        <w:rPr>
          <w:rFonts w:hint="default"/>
          <w:i/>
          <w:lang w:val="en-US" w:eastAsia="zh-CN"/>
          <w:oMath/>
        </w:rPr>
      </w:pPr>
      <m:oMathPara>
        <m:oMath>
          <m:r>
            <m:rPr/>
            <w:rPr>
              <w:rFonts w:hint="eastAsia" w:ascii="Times New Roman" w:hAnsi="Times New Roman"/>
              <w:sz w:val="24"/>
              <w:lang w:val="en-US" w:eastAsia="zh-CN"/>
            </w:rPr>
            <m:t>PGA</m:t>
          </m:r>
          <m:r>
            <m:rPr/>
            <w:rPr>
              <w:rFonts w:hint="default" w:ascii="Times New Roman" w:hAnsi="Times New Roman"/>
              <w:sz w:val="24"/>
            </w:rPr>
            <m:t>=</m:t>
          </m:r>
          <m:f>
            <m:fPr>
              <m:ctrlPr>
                <w:rPr>
                  <w:rFonts w:hint="default" w:ascii="Cambria Math" w:hAnsi="Cambria Math"/>
                  <w:i/>
                  <w:sz w:val="24"/>
                </w:rPr>
              </m:ctrlPr>
            </m:fPr>
            <m:num>
              <m:r>
                <m:rPr/>
                <w:rPr>
                  <w:rFonts w:hint="default" w:ascii="Times New Roman" w:hAnsi="Times New Roman"/>
                  <w:sz w:val="24"/>
                </w:rPr>
                <m:t>|</m:t>
              </m:r>
              <m:r>
                <m:rPr>
                  <m:scr m:val="script"/>
                </m:rPr>
                <w:rPr>
                  <w:rFonts w:hint="default" w:ascii="Times New Roman" w:hAnsi="Times New Roman" w:eastAsia="MS Mincho"/>
                  <w:sz w:val="24"/>
                </w:rPr>
                <m:t>S</m:t>
              </m:r>
              <m:r>
                <m:rPr/>
                <w:rPr>
                  <w:rFonts w:hint="default" w:ascii="Times New Roman" w:hAnsi="Times New Roman"/>
                  <w:sz w:val="24"/>
                </w:rPr>
                <m:t>∩</m:t>
              </m:r>
              <m:acc>
                <m:accPr>
                  <m:ctrlPr>
                    <w:rPr>
                      <w:rFonts w:hint="default" w:ascii="Cambria Math" w:hAnsi="Cambria Math"/>
                      <w:sz w:val="24"/>
                    </w:rPr>
                  </m:ctrlPr>
                </m:accPr>
                <m:e>
                  <m:r>
                    <m:rPr>
                      <m:scr m:val="script"/>
                    </m:rPr>
                    <w:rPr>
                      <w:rFonts w:hint="default" w:ascii="Times New Roman" w:hAnsi="Times New Roman" w:eastAsia="MS Mincho"/>
                      <w:sz w:val="24"/>
                    </w:rPr>
                    <m:t>S</m:t>
                  </m:r>
                  <m:ctrlPr>
                    <w:rPr>
                      <w:rFonts w:ascii="Cambria Math" w:hAnsi="Cambria Math"/>
                      <w:sz w:val="24"/>
                    </w:rPr>
                  </m:ctrlPr>
                </m:e>
              </m:acc>
              <m:r>
                <m:rPr/>
                <w:rPr>
                  <w:rFonts w:hint="default" w:ascii="Times New Roman" w:hAnsi="Times New Roman"/>
                  <w:sz w:val="24"/>
                </w:rPr>
                <m:t>|</m:t>
              </m:r>
              <m:ctrlPr>
                <w:rPr>
                  <w:rFonts w:hint="default" w:ascii="Cambria Math" w:hAnsi="Cambria Math"/>
                  <w:sz w:val="24"/>
                </w:rPr>
              </m:ctrlPr>
            </m:num>
            <m:den>
              <m:r>
                <m:rPr/>
                <w:rPr>
                  <w:rFonts w:hint="default" w:ascii="Times New Roman" w:hAnsi="Times New Roman"/>
                  <w:sz w:val="24"/>
                </w:rPr>
                <m:t>|</m:t>
              </m:r>
              <m:acc>
                <m:accPr>
                  <m:ctrlPr>
                    <w:rPr>
                      <w:rFonts w:hint="default" w:ascii="Cambria Math" w:hAnsi="Cambria Math"/>
                      <w:sz w:val="24"/>
                    </w:rPr>
                  </m:ctrlPr>
                </m:accPr>
                <m:e>
                  <m:r>
                    <m:rPr>
                      <m:scr m:val="script"/>
                    </m:rPr>
                    <w:rPr>
                      <w:rFonts w:hint="default" w:ascii="Times New Roman" w:hAnsi="Times New Roman" w:eastAsia="MS Mincho"/>
                      <w:sz w:val="24"/>
                    </w:rPr>
                    <m:t>S</m:t>
                  </m:r>
                  <m:ctrlPr>
                    <w:rPr>
                      <w:rFonts w:ascii="Cambria Math" w:hAnsi="Cambria Math"/>
                      <w:sz w:val="24"/>
                    </w:rPr>
                  </m:ctrlPr>
                </m:e>
              </m:acc>
              <m:r>
                <m:rPr/>
                <w:rPr>
                  <w:rFonts w:hint="default" w:ascii="Times New Roman" w:hAnsi="Times New Roman"/>
                  <w:sz w:val="24"/>
                </w:rPr>
                <m:t>|</m:t>
              </m:r>
              <m:ctrlPr>
                <w:rPr>
                  <w:rFonts w:hint="default" w:ascii="Cambria Math" w:hAnsi="Cambria Math"/>
                  <w:sz w:val="24"/>
                </w:rPr>
              </m:ctrlPr>
            </m:den>
          </m:f>
        </m:oMath>
      </m:oMathPara>
    </w:p>
    <w:p w14:paraId="25A5D98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oMath/>
        </w:rPr>
      </w:pPr>
      <m:oMath>
        <m:r>
          <m:rPr>
            <m:sty m:val="p"/>
          </m:rPr>
          <w:rPr>
            <w:rFonts w:hint="default" w:ascii="Times New Roman" w:hAnsi="Times New Roman"/>
            <w:sz w:val="24"/>
            <w:lang w:val="en-US" w:eastAsia="zh-CN"/>
          </w:rPr>
          <m:t>组召回率(</m:t>
        </m:r>
        <m:r>
          <m:rPr/>
          <w:rPr>
            <w:rFonts w:hint="eastAsia" w:ascii="Times New Roman" w:hAnsi="Times New Roman" w:eastAsiaTheme="minorEastAsia" w:cstheme="minorBidi"/>
            <w:kern w:val="2"/>
            <w:sz w:val="24"/>
            <w:szCs w:val="24"/>
            <w:lang w:val="en-US" w:eastAsia="zh-CN" w:bidi="ar-SA"/>
          </w:rPr>
          <m:t>RGA</m:t>
        </m:r>
        <m:r>
          <m:rPr>
            <m:sty m:val="p"/>
          </m:rPr>
          <w:rPr>
            <w:rFonts w:hint="default" w:ascii="Times New Roman" w:hAnsi="Times New Roman"/>
            <w:sz w:val="24"/>
            <w:lang w:val="en-US" w:eastAsia="zh-CN"/>
          </w:rPr>
          <m:t>)</m:t>
        </m:r>
      </m:oMath>
      <w:r>
        <w:rPr>
          <w:rFonts w:hint="default" w:ascii="Times New Roman" w:hAnsi="Times New Roman"/>
          <w:sz w:val="24"/>
          <w:lang w:val="en-US" w:eastAsia="zh-CN"/>
        </w:rPr>
        <w:t>：衡量真实的模板中有多少被解析器完整地识别了出来。</w:t>
      </w:r>
    </w:p>
    <w:p w14:paraId="05C6CA76">
      <w:pPr>
        <w:keepNext w:val="0"/>
        <w:keepLines w:val="0"/>
        <w:widowControl/>
        <w:suppressLineNumbers w:val="0"/>
        <w:jc w:val="left"/>
        <w:rPr>
          <w:rFonts w:hint="default" w:ascii="Times New Roman" w:hAnsi="Times New Roman" w:eastAsiaTheme="minorEastAsia" w:cstheme="minorBidi"/>
          <w:kern w:val="2"/>
          <w:sz w:val="24"/>
          <w:szCs w:val="24"/>
          <w:lang w:val="en-US" w:eastAsia="zh-CN" w:bidi="ar-SA"/>
          <w:oMath/>
        </w:rPr>
      </w:pPr>
      <m:oMathPara>
        <m:oMath>
          <m:r>
            <m:rPr/>
            <w:rPr>
              <w:rFonts w:hint="eastAsia" w:ascii="Times New Roman" w:hAnsi="Times New Roman" w:eastAsiaTheme="minorEastAsia" w:cstheme="minorBidi"/>
              <w:kern w:val="2"/>
              <w:sz w:val="24"/>
              <w:szCs w:val="24"/>
              <w:lang w:val="en-US" w:eastAsia="zh-CN" w:bidi="ar-SA"/>
            </w:rPr>
            <m:t>RGA</m:t>
          </m:r>
          <m:r>
            <m:rPr/>
            <w:rPr>
              <w:rFonts w:hint="default" w:ascii="Times New Roman" w:hAnsi="Times New Roman"/>
              <w:sz w:val="24"/>
              <w:szCs w:val="24"/>
            </w:rPr>
            <m:t>=</m:t>
          </m:r>
          <m:f>
            <m:fPr>
              <m:ctrlPr>
                <w:rPr>
                  <w:rFonts w:hint="default" w:ascii="Cambria Math" w:hAnsi="Cambria Math"/>
                  <w:i/>
                  <w:sz w:val="24"/>
                  <w:szCs w:val="24"/>
                </w:rPr>
              </m:ctrlPr>
            </m:fPr>
            <m:num>
              <m:r>
                <m:rPr/>
                <w:rPr>
                  <w:rFonts w:hint="default" w:ascii="Times New Roman" w:hAnsi="Times New Roman"/>
                  <w:sz w:val="24"/>
                  <w:szCs w:val="24"/>
                </w:rPr>
                <m:t>|</m:t>
              </m:r>
              <m:r>
                <m:rPr>
                  <m:scr m:val="script"/>
                </m:rPr>
                <w:rPr>
                  <w:rFonts w:hint="default" w:ascii="Times New Roman" w:hAnsi="Times New Roman" w:eastAsia="MS Mincho"/>
                  <w:sz w:val="24"/>
                  <w:szCs w:val="24"/>
                </w:rPr>
                <m:t>S</m:t>
              </m:r>
              <m:r>
                <m:rPr/>
                <w:rPr>
                  <w:rFonts w:hint="default" w:ascii="Times New Roman" w:hAnsi="Times New Roman"/>
                  <w:sz w:val="24"/>
                  <w:szCs w:val="24"/>
                </w:rPr>
                <m:t>∩</m:t>
              </m:r>
              <m:acc>
                <m:accPr>
                  <m:ctrlPr>
                    <w:rPr>
                      <w:rFonts w:hint="default" w:ascii="Cambria Math" w:hAnsi="Cambria Math"/>
                      <w:sz w:val="24"/>
                      <w:szCs w:val="24"/>
                    </w:rPr>
                  </m:ctrlPr>
                </m:accPr>
                <m:e>
                  <m:r>
                    <m:rPr>
                      <m:scr m:val="script"/>
                    </m:rPr>
                    <w:rPr>
                      <w:rFonts w:hint="default" w:ascii="Times New Roman" w:hAnsi="Times New Roman" w:eastAsia="MS Mincho"/>
                      <w:sz w:val="24"/>
                      <w:szCs w:val="24"/>
                    </w:rPr>
                    <m:t>S</m:t>
                  </m:r>
                  <m:ctrlPr>
                    <w:rPr>
                      <w:rFonts w:ascii="Cambria Math" w:hAnsi="Cambria Math"/>
                      <w:sz w:val="24"/>
                      <w:szCs w:val="24"/>
                    </w:rPr>
                  </m:ctrlPr>
                </m:e>
              </m:acc>
              <m:r>
                <m:rPr/>
                <w:rPr>
                  <w:rFonts w:hint="default" w:ascii="Times New Roman" w:hAnsi="Times New Roman"/>
                  <w:sz w:val="24"/>
                  <w:szCs w:val="24"/>
                </w:rPr>
                <m:t>|</m:t>
              </m:r>
              <m:ctrlPr>
                <w:rPr>
                  <w:rFonts w:hint="default" w:ascii="Cambria Math" w:hAnsi="Cambria Math"/>
                  <w:sz w:val="24"/>
                  <w:szCs w:val="24"/>
                </w:rPr>
              </m:ctrlPr>
            </m:num>
            <m:den>
              <m:r>
                <m:rPr/>
                <w:rPr>
                  <w:rFonts w:hint="default" w:ascii="Times New Roman" w:hAnsi="Times New Roman"/>
                  <w:sz w:val="24"/>
                  <w:szCs w:val="24"/>
                </w:rPr>
                <m:t>|</m:t>
              </m:r>
              <m:r>
                <m:rPr>
                  <m:scr m:val="script"/>
                </m:rPr>
                <w:rPr>
                  <w:rFonts w:hint="default" w:ascii="Times New Roman" w:hAnsi="Times New Roman" w:eastAsia="MS Mincho"/>
                  <w:sz w:val="24"/>
                  <w:szCs w:val="24"/>
                </w:rPr>
                <m:t>S</m:t>
              </m:r>
              <m:r>
                <m:rPr/>
                <w:rPr>
                  <w:rFonts w:hint="default" w:ascii="Times New Roman" w:hAnsi="Times New Roman"/>
                  <w:sz w:val="24"/>
                  <w:szCs w:val="24"/>
                </w:rPr>
                <m:t>|</m:t>
              </m:r>
              <m:ctrlPr>
                <w:rPr>
                  <w:rFonts w:hint="default" w:ascii="Cambria Math" w:hAnsi="Cambria Math"/>
                  <w:sz w:val="24"/>
                  <w:szCs w:val="24"/>
                </w:rPr>
              </m:ctrlPr>
            </m:den>
          </m:f>
        </m:oMath>
      </m:oMathPara>
    </w:p>
    <w:p w14:paraId="62A952A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FGA是PGA的调和平均（组准确度的精密度）和RGA（组准确性的调用）</w:t>
      </w:r>
    </w:p>
    <w:p w14:paraId="0F9EBB1D">
      <w:pPr>
        <w:keepNext w:val="0"/>
        <w:keepLines w:val="0"/>
        <w:widowControl/>
        <w:suppressLineNumbers w:val="0"/>
        <w:jc w:val="left"/>
        <w:rPr>
          <w:rFonts w:hint="default"/>
          <w:i w:val="0"/>
        </w:rPr>
      </w:pPr>
    </w:p>
    <w:p w14:paraId="25E661D1">
      <w:pPr>
        <w:keepNext w:val="0"/>
        <w:keepLines w:val="0"/>
        <w:widowControl/>
        <w:suppressLineNumbers w:val="0"/>
        <w:jc w:val="left"/>
        <w:rPr>
          <w:rFonts w:hint="default" w:ascii="Times New Roman" w:hAnsi="Times New Roman" w:eastAsiaTheme="minorEastAsia" w:cstheme="minorBidi"/>
          <w:kern w:val="2"/>
          <w:sz w:val="24"/>
          <w:szCs w:val="24"/>
          <w:lang w:val="en-US" w:eastAsia="zh-CN" w:bidi="ar-SA"/>
          <w:oMath/>
        </w:rPr>
      </w:pPr>
      <m:oMathPara>
        <m:oMath>
          <m:r>
            <m:rPr/>
            <w:rPr>
              <w:rFonts w:hint="default" w:ascii="Cambria Math"/>
            </w:rPr>
            <m:t>FGA=</m:t>
          </m:r>
          <m:f>
            <m:fPr>
              <m:ctrlPr>
                <w:rPr>
                  <w:rFonts w:hint="default" w:ascii="Cambria Math" w:hAnsi="Cambria Math"/>
                  <w:i/>
                </w:rPr>
              </m:ctrlPr>
            </m:fPr>
            <m:num>
              <m:r>
                <m:rPr/>
                <w:rPr>
                  <w:rFonts w:hint="default" w:ascii="Cambria Math"/>
                </w:rPr>
                <m:t>2⋅</m:t>
              </m:r>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R</m:t>
                  </m:r>
                  <m:ctrlPr>
                    <w:rPr>
                      <w:rFonts w:hint="default" w:ascii="Cambria Math"/>
                    </w:rPr>
                  </m:ctrlPr>
                </m:e>
                <m:sub>
                  <m:r>
                    <m:rPr/>
                    <w:rPr>
                      <w:rFonts w:hint="default" w:ascii="Cambria Math"/>
                    </w:rPr>
                    <m:t>g</m:t>
                  </m:r>
                  <m:ctrlPr>
                    <w:rPr>
                      <w:rFonts w:hint="default" w:ascii="Cambria Math"/>
                    </w:rPr>
                  </m:ctrlPr>
                </m:sub>
              </m:sSub>
              <m:ctrlPr>
                <w:rPr>
                  <w:rFonts w:hint="default" w:ascii="Cambria Math"/>
                </w:rPr>
              </m:ctrlPr>
            </m:num>
            <m:den>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R</m:t>
                  </m:r>
                  <m:ctrlPr>
                    <w:rPr>
                      <w:rFonts w:hint="default" w:ascii="Cambria Math"/>
                    </w:rPr>
                  </m:ctrlPr>
                </m:e>
                <m:sub>
                  <m:r>
                    <m:rPr/>
                    <w:rPr>
                      <w:rFonts w:hint="default" w:ascii="Cambria Math"/>
                    </w:rPr>
                    <m:t>g</m:t>
                  </m:r>
                  <m:ctrlPr>
                    <w:rPr>
                      <w:rFonts w:hint="default" w:ascii="Cambria Math"/>
                    </w:rPr>
                  </m:ctrlPr>
                </m:sub>
              </m:sSub>
              <m:ctrlPr>
                <w:rPr>
                  <w:rFonts w:hint="default" w:ascii="Cambria Math"/>
                </w:rPr>
              </m:ctrlPr>
            </m:den>
          </m:f>
        </m:oMath>
      </m:oMathPara>
    </w:p>
    <w:tbl>
      <w:tblPr>
        <w:tblStyle w:val="4"/>
        <w:tblW w:w="907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10"/>
        <w:gridCol w:w="3520"/>
        <w:gridCol w:w="4147"/>
      </w:tblGrid>
      <w:tr w14:paraId="2D2E96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10" w:type="dxa"/>
            <w:tcBorders>
              <w:top w:val="single" w:color="000000" w:sz="12" w:space="0"/>
              <w:left w:val="nil"/>
              <w:bottom w:val="single" w:color="000000" w:sz="4" w:space="0"/>
              <w:right w:val="nil"/>
              <w:tl2br w:val="nil"/>
            </w:tcBorders>
            <w:shd w:val="clear" w:color="auto" w:fill="FFFFFF"/>
            <w:tcMar>
              <w:top w:w="100" w:type="dxa"/>
              <w:left w:w="100" w:type="dxa"/>
              <w:bottom w:w="100" w:type="dxa"/>
              <w:right w:w="100" w:type="dxa"/>
            </w:tcMar>
            <w:vAlign w:val="center"/>
          </w:tcPr>
          <w:p w14:paraId="0DAE7619">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维度</w:t>
            </w:r>
          </w:p>
        </w:tc>
        <w:tc>
          <w:tcPr>
            <w:tcW w:w="3520" w:type="dxa"/>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center"/>
          </w:tcPr>
          <w:p w14:paraId="726790A4">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GA (Grouping Accuracy)</w:t>
            </w:r>
          </w:p>
        </w:tc>
        <w:tc>
          <w:tcPr>
            <w:tcW w:w="4147" w:type="dxa"/>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center"/>
          </w:tcPr>
          <w:p w14:paraId="3CDD6BB2">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FGA (F1-score of GA)</w:t>
            </w:r>
          </w:p>
        </w:tc>
      </w:tr>
      <w:tr w14:paraId="07637E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10" w:type="dxa"/>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6EB07441">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计算对象</w:t>
            </w:r>
          </w:p>
        </w:tc>
        <w:tc>
          <w:tcPr>
            <w:tcW w:w="3520" w:type="dxa"/>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29333A4A">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每一行日志（Message-level）</w:t>
            </w:r>
          </w:p>
        </w:tc>
        <w:tc>
          <w:tcPr>
            <w:tcW w:w="4147" w:type="dxa"/>
            <w:tcBorders>
              <w:top w:val="single" w:color="000000" w:sz="4" w:space="0"/>
              <w:left w:val="nil"/>
              <w:bottom w:val="nil"/>
              <w:right w:val="nil"/>
            </w:tcBorders>
            <w:shd w:val="clear" w:color="auto" w:fill="FFFFFF"/>
            <w:tcMar>
              <w:top w:w="100" w:type="dxa"/>
              <w:left w:w="100" w:type="dxa"/>
              <w:bottom w:w="100" w:type="dxa"/>
              <w:right w:w="100" w:type="dxa"/>
            </w:tcMar>
            <w:vAlign w:val="center"/>
          </w:tcPr>
          <w:p w14:paraId="77B579F0">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每一个模板类别（Template-level）</w:t>
            </w:r>
          </w:p>
        </w:tc>
      </w:tr>
      <w:tr w14:paraId="7B298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10" w:type="dxa"/>
            <w:tcBorders>
              <w:top w:val="nil"/>
              <w:left w:val="nil"/>
              <w:bottom w:val="nil"/>
              <w:right w:val="nil"/>
            </w:tcBorders>
            <w:shd w:val="clear" w:color="auto" w:fill="FFFFFF"/>
            <w:tcMar>
              <w:top w:w="100" w:type="dxa"/>
              <w:left w:w="100" w:type="dxa"/>
              <w:bottom w:w="100" w:type="dxa"/>
              <w:right w:w="100" w:type="dxa"/>
            </w:tcMar>
            <w:vAlign w:val="center"/>
          </w:tcPr>
          <w:p w14:paraId="1E546004">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数据偏向</w:t>
            </w:r>
          </w:p>
        </w:tc>
        <w:tc>
          <w:tcPr>
            <w:tcW w:w="3520" w:type="dxa"/>
            <w:tcBorders>
              <w:top w:val="nil"/>
              <w:left w:val="nil"/>
              <w:bottom w:val="nil"/>
              <w:right w:val="nil"/>
            </w:tcBorders>
            <w:shd w:val="clear" w:color="auto" w:fill="FFFFFF"/>
            <w:tcMar>
              <w:top w:w="100" w:type="dxa"/>
              <w:left w:w="100" w:type="dxa"/>
              <w:bottom w:w="100" w:type="dxa"/>
              <w:right w:w="100" w:type="dxa"/>
            </w:tcMar>
            <w:vAlign w:val="center"/>
          </w:tcPr>
          <w:p w14:paraId="7E33279E">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极度偏向高频日志（常规操作）</w:t>
            </w:r>
          </w:p>
        </w:tc>
        <w:tc>
          <w:tcPr>
            <w:tcW w:w="4147" w:type="dxa"/>
            <w:tcBorders>
              <w:top w:val="nil"/>
              <w:left w:val="nil"/>
              <w:bottom w:val="nil"/>
              <w:right w:val="nil"/>
            </w:tcBorders>
            <w:shd w:val="clear" w:color="auto" w:fill="FFFFFF"/>
            <w:tcMar>
              <w:top w:w="100" w:type="dxa"/>
              <w:left w:w="100" w:type="dxa"/>
              <w:bottom w:w="100" w:type="dxa"/>
              <w:right w:w="100" w:type="dxa"/>
            </w:tcMar>
            <w:vAlign w:val="center"/>
          </w:tcPr>
          <w:p w14:paraId="1D150962">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平等对待，尤其保护低频日志（长尾异常）</w:t>
            </w:r>
          </w:p>
        </w:tc>
      </w:tr>
      <w:tr w14:paraId="4D5DA8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10" w:type="dxa"/>
            <w:tcBorders>
              <w:top w:val="nil"/>
              <w:left w:val="nil"/>
              <w:bottom w:val="nil"/>
              <w:right w:val="nil"/>
            </w:tcBorders>
            <w:shd w:val="clear" w:color="auto" w:fill="FFFFFF"/>
            <w:tcMar>
              <w:top w:w="100" w:type="dxa"/>
              <w:left w:w="100" w:type="dxa"/>
              <w:bottom w:w="100" w:type="dxa"/>
              <w:right w:w="100" w:type="dxa"/>
            </w:tcMar>
            <w:vAlign w:val="center"/>
          </w:tcPr>
          <w:p w14:paraId="2311C221">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反映的问题</w:t>
            </w:r>
          </w:p>
        </w:tc>
        <w:tc>
          <w:tcPr>
            <w:tcW w:w="3520" w:type="dxa"/>
            <w:tcBorders>
              <w:top w:val="nil"/>
              <w:left w:val="nil"/>
              <w:bottom w:val="nil"/>
              <w:right w:val="nil"/>
            </w:tcBorders>
            <w:shd w:val="clear" w:color="auto" w:fill="FFFFFF"/>
            <w:tcMar>
              <w:top w:w="100" w:type="dxa"/>
              <w:left w:w="100" w:type="dxa"/>
              <w:bottom w:w="100" w:type="dxa"/>
              <w:right w:w="100" w:type="dxa"/>
            </w:tcMar>
            <w:vAlign w:val="center"/>
          </w:tcPr>
          <w:p w14:paraId="4C4EA78B">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解析器的吞吐量是否及格</w:t>
            </w:r>
          </w:p>
        </w:tc>
        <w:tc>
          <w:tcPr>
            <w:tcW w:w="4147" w:type="dxa"/>
            <w:tcBorders>
              <w:top w:val="nil"/>
              <w:left w:val="nil"/>
              <w:bottom w:val="nil"/>
              <w:right w:val="nil"/>
            </w:tcBorders>
            <w:shd w:val="clear" w:color="auto" w:fill="FFFFFF"/>
            <w:tcMar>
              <w:top w:w="100" w:type="dxa"/>
              <w:left w:w="100" w:type="dxa"/>
              <w:bottom w:w="100" w:type="dxa"/>
              <w:right w:w="100" w:type="dxa"/>
            </w:tcMar>
            <w:vAlign w:val="center"/>
          </w:tcPr>
          <w:p w14:paraId="66FF629A">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解析器的知识面和故障识别潜力</w:t>
            </w:r>
          </w:p>
        </w:tc>
      </w:tr>
      <w:tr w14:paraId="334B4A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410" w:type="dxa"/>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29B550C0">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现实意义</w:t>
            </w:r>
          </w:p>
        </w:tc>
        <w:tc>
          <w:tcPr>
            <w:tcW w:w="3520" w:type="dxa"/>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14049BEF">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容易产生虚高的学术评分，误导部署</w:t>
            </w:r>
          </w:p>
        </w:tc>
        <w:tc>
          <w:tcPr>
            <w:tcW w:w="4147" w:type="dxa"/>
            <w:tcBorders>
              <w:top w:val="nil"/>
              <w:left w:val="nil"/>
              <w:bottom w:val="single" w:color="000000" w:sz="12" w:space="0"/>
              <w:right w:val="nil"/>
            </w:tcBorders>
            <w:shd w:val="clear" w:color="auto" w:fill="FFFFFF"/>
            <w:tcMar>
              <w:top w:w="100" w:type="dxa"/>
              <w:left w:w="100" w:type="dxa"/>
              <w:bottom w:w="100" w:type="dxa"/>
              <w:right w:w="100" w:type="dxa"/>
            </w:tcMar>
            <w:vAlign w:val="center"/>
          </w:tcPr>
          <w:p w14:paraId="43B2398B">
            <w:pPr>
              <w:keepNext w:val="0"/>
              <w:keepLines w:val="0"/>
              <w:widowControl/>
              <w:suppressLineNumbers w:val="0"/>
              <w:bidi w:val="0"/>
              <w:snapToGrid w:val="0"/>
              <w:spacing w:before="0" w:beforeAutospacing="0" w:after="0" w:afterAutospacing="0" w:line="14" w:lineRule="atLeast"/>
              <w:ind w:left="0" w:leftChars="0" w:right="0" w:rightChars="0"/>
              <w:jc w:val="left"/>
              <w:rPr>
                <w:rFonts w:hint="default" w:ascii="Times New Roman" w:hAnsi="Times New Roman" w:eastAsia="宋体" w:cs="Arial"/>
                <w:b w:val="0"/>
                <w:i w:val="0"/>
                <w:iCs w:val="0"/>
                <w:color w:val="000000"/>
                <w:kern w:val="0"/>
                <w:sz w:val="21"/>
                <w:szCs w:val="22"/>
                <w:u w:val="none"/>
                <w:vertAlign w:val="baseline"/>
                <w:lang w:val="en-US" w:eastAsia="zh-CN" w:bidi="ar"/>
              </w:rPr>
            </w:pPr>
            <w:r>
              <w:rPr>
                <w:rFonts w:hint="default" w:ascii="Times New Roman" w:hAnsi="Times New Roman" w:eastAsia="宋体" w:cs="Arial"/>
                <w:b w:val="0"/>
                <w:i w:val="0"/>
                <w:iCs w:val="0"/>
                <w:color w:val="000000"/>
                <w:kern w:val="0"/>
                <w:sz w:val="21"/>
                <w:szCs w:val="22"/>
                <w:u w:val="none"/>
                <w:vertAlign w:val="baseline"/>
                <w:lang w:val="en-US" w:eastAsia="zh-CN" w:bidi="ar"/>
              </w:rPr>
              <w:t>更真实的工业画像，揭示算法真实水平</w:t>
            </w:r>
          </w:p>
        </w:tc>
      </w:tr>
    </w:tbl>
    <w:p w14:paraId="4EC375C6">
      <w:pPr>
        <w:rPr>
          <w:rFonts w:ascii="Times New Roman" w:hAnsi="Times New Roman"/>
          <w:sz w:val="24"/>
        </w:rPr>
      </w:pPr>
    </w:p>
    <w:p w14:paraId="281CC0A9">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4.核心发现</w:t>
      </w:r>
    </w:p>
    <w:tbl>
      <w:tblPr>
        <w:tblStyle w:val="4"/>
        <w:tblW w:w="93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18"/>
        <w:gridCol w:w="7842"/>
      </w:tblGrid>
      <w:tr w14:paraId="02CBFC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518" w:type="dxa"/>
            <w:tcBorders>
              <w:top w:val="single" w:color="000000" w:sz="12" w:space="0"/>
              <w:left w:val="nil"/>
              <w:bottom w:val="single" w:color="000000" w:sz="4" w:space="0"/>
              <w:right w:val="nil"/>
              <w:tl2br w:val="nil"/>
            </w:tcBorders>
            <w:shd w:val="clear" w:color="auto" w:fill="FFFFFF"/>
            <w:tcMar>
              <w:top w:w="100" w:type="dxa"/>
              <w:left w:w="100" w:type="dxa"/>
              <w:bottom w:w="100" w:type="dxa"/>
              <w:right w:w="100" w:type="dxa"/>
            </w:tcMar>
            <w:vAlign w:val="top"/>
          </w:tcPr>
          <w:p w14:paraId="55AA9B46">
            <w:pPr>
              <w:pStyle w:val="3"/>
              <w:keepNext w:val="0"/>
              <w:keepLines w:val="0"/>
              <w:widowControl/>
              <w:suppressLineNumbers w:val="0"/>
              <w:bidi w:val="0"/>
              <w:spacing w:before="0" w:beforeAutospacing="0" w:after="0" w:afterAutospacing="0" w:line="17" w:lineRule="atLeast"/>
              <w:jc w:val="center"/>
              <w:rPr>
                <w:rFonts w:ascii="Times New Roman" w:hAnsi="Times New Roman" w:eastAsia="宋体"/>
                <w:b w:val="0"/>
                <w:color w:val="000000"/>
                <w:sz w:val="21"/>
              </w:rPr>
            </w:pPr>
            <w:r>
              <w:rPr>
                <w:rFonts w:ascii="Times New Roman" w:hAnsi="Times New Roman" w:eastAsia="宋体" w:cs="Arial"/>
                <w:b w:val="0"/>
                <w:bCs/>
                <w:i w:val="0"/>
                <w:iCs w:val="0"/>
                <w:color w:val="000000"/>
                <w:sz w:val="21"/>
                <w:szCs w:val="22"/>
                <w:u w:val="none"/>
                <w:vertAlign w:val="baseline"/>
              </w:rPr>
              <w:t>发现维度</w:t>
            </w:r>
          </w:p>
        </w:tc>
        <w:tc>
          <w:tcPr>
            <w:tcW w:w="7842" w:type="dxa"/>
            <w:tcBorders>
              <w:top w:val="single" w:color="000000" w:sz="12" w:space="0"/>
              <w:left w:val="nil"/>
              <w:bottom w:val="single" w:color="000000" w:sz="4" w:space="0"/>
              <w:right w:val="nil"/>
            </w:tcBorders>
            <w:shd w:val="clear" w:color="auto" w:fill="FFFFFF"/>
            <w:tcMar>
              <w:top w:w="100" w:type="dxa"/>
              <w:left w:w="100" w:type="dxa"/>
              <w:bottom w:w="100" w:type="dxa"/>
              <w:right w:w="100" w:type="dxa"/>
            </w:tcMar>
            <w:vAlign w:val="top"/>
          </w:tcPr>
          <w:p w14:paraId="79E92302">
            <w:pPr>
              <w:pStyle w:val="3"/>
              <w:keepNext w:val="0"/>
              <w:keepLines w:val="0"/>
              <w:widowControl/>
              <w:suppressLineNumbers w:val="0"/>
              <w:bidi w:val="0"/>
              <w:spacing w:before="0" w:beforeAutospacing="0" w:after="0" w:afterAutospacing="0" w:line="17" w:lineRule="atLeast"/>
              <w:jc w:val="center"/>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详细描述</w:t>
            </w:r>
          </w:p>
        </w:tc>
      </w:tr>
      <w:tr w14:paraId="6070F6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single" w:color="000000" w:sz="4" w:space="0"/>
              <w:left w:val="nil"/>
              <w:bottom w:val="nil"/>
              <w:right w:val="nil"/>
            </w:tcBorders>
            <w:shd w:val="clear" w:color="auto" w:fill="FFFFFF"/>
            <w:tcMar>
              <w:top w:w="100" w:type="dxa"/>
              <w:left w:w="100" w:type="dxa"/>
              <w:bottom w:w="100" w:type="dxa"/>
              <w:right w:w="100" w:type="dxa"/>
            </w:tcMar>
            <w:vAlign w:val="top"/>
          </w:tcPr>
          <w:p w14:paraId="22CD9310">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性能缩水</w:t>
            </w:r>
          </w:p>
        </w:tc>
        <w:tc>
          <w:tcPr>
            <w:tcW w:w="7842" w:type="dxa"/>
            <w:tcBorders>
              <w:top w:val="single" w:color="000000" w:sz="4" w:space="0"/>
              <w:left w:val="nil"/>
              <w:bottom w:val="nil"/>
              <w:right w:val="nil"/>
            </w:tcBorders>
            <w:shd w:val="clear" w:color="auto" w:fill="FFFFFF"/>
            <w:tcMar>
              <w:top w:w="100" w:type="dxa"/>
              <w:left w:w="100" w:type="dxa"/>
              <w:bottom w:w="100" w:type="dxa"/>
              <w:right w:w="100" w:type="dxa"/>
            </w:tcMar>
            <w:vAlign w:val="top"/>
          </w:tcPr>
          <w:p w14:paraId="6AF0BF57">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i w:val="0"/>
                <w:iCs w:val="0"/>
                <w:color w:val="000000"/>
                <w:sz w:val="21"/>
                <w:szCs w:val="22"/>
                <w:u w:val="none"/>
                <w:vertAlign w:val="baseline"/>
              </w:rPr>
              <w:t>所有解析器在Loghub-2.0上的表现均远逊于在2k版本上的表现。</w:t>
            </w:r>
          </w:p>
        </w:tc>
      </w:tr>
      <w:tr w14:paraId="4F00C8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nil"/>
              <w:left w:val="nil"/>
              <w:bottom w:val="nil"/>
              <w:right w:val="nil"/>
            </w:tcBorders>
            <w:shd w:val="clear" w:color="auto" w:fill="FFFFFF"/>
            <w:tcMar>
              <w:top w:w="100" w:type="dxa"/>
              <w:left w:w="100" w:type="dxa"/>
              <w:bottom w:w="100" w:type="dxa"/>
              <w:right w:w="100" w:type="dxa"/>
            </w:tcMar>
            <w:vAlign w:val="top"/>
          </w:tcPr>
          <w:p w14:paraId="777CA6E8">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效率瓶颈</w:t>
            </w:r>
          </w:p>
        </w:tc>
        <w:tc>
          <w:tcPr>
            <w:tcW w:w="7842" w:type="dxa"/>
            <w:tcBorders>
              <w:top w:val="nil"/>
              <w:left w:val="nil"/>
              <w:bottom w:val="nil"/>
              <w:right w:val="nil"/>
            </w:tcBorders>
            <w:shd w:val="clear" w:color="auto" w:fill="FFFFFF"/>
            <w:tcMar>
              <w:top w:w="100" w:type="dxa"/>
              <w:left w:w="100" w:type="dxa"/>
              <w:bottom w:w="100" w:type="dxa"/>
              <w:right w:w="100" w:type="dxa"/>
            </w:tcMar>
            <w:vAlign w:val="top"/>
          </w:tcPr>
          <w:p w14:paraId="7B69B427">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9/15</w:t>
            </w:r>
            <w:r>
              <w:rPr>
                <w:rFonts w:hint="default" w:ascii="Times New Roman" w:hAnsi="Times New Roman" w:eastAsia="宋体" w:cs="Arial"/>
                <w:b w:val="0"/>
                <w:i w:val="0"/>
                <w:iCs w:val="0"/>
                <w:color w:val="000000"/>
                <w:sz w:val="21"/>
                <w:szCs w:val="22"/>
                <w:u w:val="none"/>
                <w:vertAlign w:val="baseline"/>
              </w:rPr>
              <w:t>的解析器无法在12小时内处理完单个大规模数据集，吞吐量难以满足实时监控需求。</w:t>
            </w:r>
          </w:p>
        </w:tc>
      </w:tr>
      <w:tr w14:paraId="4F333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518" w:type="dxa"/>
            <w:tcBorders>
              <w:top w:val="nil"/>
              <w:left w:val="nil"/>
              <w:bottom w:val="nil"/>
              <w:right w:val="nil"/>
            </w:tcBorders>
            <w:shd w:val="clear" w:color="auto" w:fill="FFFFFF"/>
            <w:tcMar>
              <w:top w:w="100" w:type="dxa"/>
              <w:left w:w="100" w:type="dxa"/>
              <w:bottom w:w="100" w:type="dxa"/>
              <w:right w:w="100" w:type="dxa"/>
            </w:tcMar>
            <w:vAlign w:val="top"/>
          </w:tcPr>
          <w:p w14:paraId="26EF5B11">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语义vs统计</w:t>
            </w:r>
          </w:p>
        </w:tc>
        <w:tc>
          <w:tcPr>
            <w:tcW w:w="7842" w:type="dxa"/>
            <w:tcBorders>
              <w:top w:val="nil"/>
              <w:left w:val="nil"/>
              <w:bottom w:val="nil"/>
              <w:right w:val="nil"/>
            </w:tcBorders>
            <w:shd w:val="clear" w:color="auto" w:fill="FFFFFF"/>
            <w:tcMar>
              <w:top w:w="100" w:type="dxa"/>
              <w:left w:w="100" w:type="dxa"/>
              <w:bottom w:w="100" w:type="dxa"/>
              <w:right w:w="100" w:type="dxa"/>
            </w:tcMar>
            <w:vAlign w:val="top"/>
          </w:tcPr>
          <w:p w14:paraId="3EB06096">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i w:val="0"/>
                <w:iCs w:val="0"/>
                <w:color w:val="000000"/>
                <w:sz w:val="21"/>
                <w:szCs w:val="22"/>
                <w:u w:val="none"/>
                <w:vertAlign w:val="baseline"/>
              </w:rPr>
              <w:t>语义解析器（如LogPPT）在识别新模板（PA）上较强，而统计解析器（如Drain）在分组稳定性上更优。</w:t>
            </w:r>
          </w:p>
        </w:tc>
      </w:tr>
      <w:tr w14:paraId="3FDDE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18" w:type="dxa"/>
            <w:tcBorders>
              <w:top w:val="nil"/>
              <w:left w:val="nil"/>
              <w:bottom w:val="single" w:color="000000" w:sz="12" w:space="0"/>
              <w:right w:val="nil"/>
            </w:tcBorders>
            <w:shd w:val="clear" w:color="auto" w:fill="FFFFFF"/>
            <w:tcMar>
              <w:top w:w="100" w:type="dxa"/>
              <w:left w:w="100" w:type="dxa"/>
              <w:bottom w:w="100" w:type="dxa"/>
              <w:right w:w="100" w:type="dxa"/>
            </w:tcMar>
            <w:vAlign w:val="top"/>
          </w:tcPr>
          <w:p w14:paraId="397557E1">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bCs/>
                <w:i w:val="0"/>
                <w:iCs w:val="0"/>
                <w:color w:val="000000"/>
                <w:sz w:val="21"/>
                <w:szCs w:val="22"/>
                <w:u w:val="none"/>
                <w:vertAlign w:val="baseline"/>
              </w:rPr>
              <w:t>处理能力缺陷</w:t>
            </w:r>
          </w:p>
        </w:tc>
        <w:tc>
          <w:tcPr>
            <w:tcW w:w="7842" w:type="dxa"/>
            <w:tcBorders>
              <w:top w:val="nil"/>
              <w:left w:val="nil"/>
              <w:bottom w:val="single" w:color="000000" w:sz="12" w:space="0"/>
              <w:right w:val="nil"/>
            </w:tcBorders>
            <w:shd w:val="clear" w:color="auto" w:fill="FFFFFF"/>
            <w:tcMar>
              <w:top w:w="100" w:type="dxa"/>
              <w:left w:w="100" w:type="dxa"/>
              <w:bottom w:w="100" w:type="dxa"/>
              <w:right w:w="100" w:type="dxa"/>
            </w:tcMar>
            <w:vAlign w:val="top"/>
          </w:tcPr>
          <w:p w14:paraId="737CB0F3">
            <w:pPr>
              <w:pStyle w:val="3"/>
              <w:keepNext w:val="0"/>
              <w:keepLines w:val="0"/>
              <w:widowControl/>
              <w:suppressLineNumbers w:val="0"/>
              <w:bidi w:val="0"/>
              <w:spacing w:before="0" w:beforeAutospacing="0" w:after="0" w:afterAutospacing="0" w:line="17" w:lineRule="atLeast"/>
              <w:rPr>
                <w:rFonts w:ascii="Times New Roman" w:hAnsi="Times New Roman" w:eastAsia="宋体"/>
                <w:b w:val="0"/>
                <w:color w:val="000000"/>
                <w:sz w:val="21"/>
              </w:rPr>
            </w:pPr>
            <w:r>
              <w:rPr>
                <w:rFonts w:hint="default" w:ascii="Times New Roman" w:hAnsi="Times New Roman" w:eastAsia="宋体" w:cs="Arial"/>
                <w:b w:val="0"/>
                <w:i w:val="0"/>
                <w:iCs w:val="0"/>
                <w:color w:val="000000"/>
                <w:sz w:val="21"/>
                <w:szCs w:val="22"/>
                <w:u w:val="none"/>
                <w:vertAlign w:val="baseline"/>
              </w:rPr>
              <w:t>现有的算法在处理“低频模板”和“高参数量模板”时效果极差，而这些正是最有运维价值的部分。</w:t>
            </w:r>
          </w:p>
        </w:tc>
      </w:tr>
    </w:tbl>
    <w:p w14:paraId="575FBDB5">
      <w:pPr>
        <w:rPr>
          <w:rFonts w:ascii="Times New Roman" w:hAnsi="Times New Roman"/>
          <w:sz w:val="24"/>
        </w:rPr>
      </w:pPr>
    </w:p>
    <w:p w14:paraId="456D484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5.结论与未来建议</w:t>
      </w:r>
    </w:p>
    <w:p w14:paraId="01B0D1D5">
      <w:pPr>
        <w:rPr>
          <w:rFonts w:hint="eastAsia" w:ascii="Times New Roman" w:hAnsi="Times New Roman"/>
          <w:sz w:val="24"/>
        </w:rPr>
      </w:pPr>
      <w:r>
        <w:rPr>
          <w:rFonts w:hint="eastAsia" w:ascii="Times New Roman" w:hAnsi="Times New Roman"/>
          <w:sz w:val="24"/>
        </w:rPr>
        <w:t>关注效率: 工业界在选择解析器时，必须优先考察其在大规模数据下的耗时平稳性。</w:t>
      </w:r>
    </w:p>
    <w:p w14:paraId="74F37236">
      <w:pPr>
        <w:rPr>
          <w:rFonts w:hint="eastAsia" w:ascii="Times New Roman" w:hAnsi="Times New Roman"/>
          <w:sz w:val="24"/>
        </w:rPr>
      </w:pPr>
      <w:r>
        <w:rPr>
          <w:rFonts w:hint="eastAsia" w:ascii="Times New Roman" w:hAnsi="Times New Roman"/>
          <w:sz w:val="24"/>
        </w:rPr>
        <w:t>拥抱混合模式: 建议未来的研究结合统计的“高效性”与语义的“精确性”。</w:t>
      </w:r>
    </w:p>
    <w:p w14:paraId="788C6AB3">
      <w:pPr>
        <w:rPr>
          <w:rFonts w:hint="eastAsia" w:ascii="Times New Roman" w:hAnsi="Times New Roman"/>
          <w:sz w:val="24"/>
        </w:rPr>
      </w:pPr>
      <w:r>
        <w:rPr>
          <w:rFonts w:hint="eastAsia" w:ascii="Times New Roman" w:hAnsi="Times New Roman"/>
          <w:sz w:val="24"/>
        </w:rPr>
        <w:t>针对长尾优化: 算法不应只盯着高频日志，应加强对低频、高复杂参数模板的识别能力。</w:t>
      </w:r>
    </w:p>
    <w:p w14:paraId="498B3E94">
      <w:pPr>
        <w:rPr>
          <w:rFonts w:ascii="Times New Roman" w:hAnsi="Times New Roman"/>
          <w:sz w:val="24"/>
        </w:rPr>
      </w:pPr>
    </w:p>
    <w:p w14:paraId="181D4543">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4"/>
          <w:lang w:val="en-US"/>
        </w:rPr>
      </w:pPr>
      <w:r>
        <w:rPr>
          <w:rFonts w:hint="eastAsia" w:ascii="Times New Roman" w:hAnsi="Times New Roman"/>
          <w:sz w:val="32"/>
          <w:szCs w:val="32"/>
          <w:lang w:val="en-US" w:eastAsia="zh-CN"/>
        </w:rPr>
        <w:t>数据集展示</w:t>
      </w:r>
    </w:p>
    <w:p w14:paraId="4BD79A86">
      <w:pPr>
        <w:rPr>
          <w:rFonts w:hint="default" w:ascii="Times New Roman" w:hAnsi="Times New Roman"/>
          <w:sz w:val="24"/>
          <w:lang w:val="en-US" w:eastAsia="zh-CN"/>
        </w:rPr>
      </w:pPr>
      <w:r>
        <w:rPr>
          <w:rFonts w:hint="eastAsia" w:ascii="Times New Roman" w:hAnsi="Times New Roman"/>
          <w:sz w:val="24"/>
          <w:lang w:val="en-US" w:eastAsia="zh-CN"/>
        </w:rPr>
        <w:t>为什么需要Templates</w:t>
      </w:r>
      <w:r>
        <w:rPr>
          <w:rFonts w:hint="eastAsia" w:ascii="Times New Roman" w:hAnsi="Times New Roman"/>
          <w:sz w:val="24"/>
          <w:lang w:val="en-US" w:eastAsia="zh-CN"/>
        </w:rPr>
        <w:br w:type="textWrapping"/>
      </w:r>
      <w:r>
        <w:rPr>
          <w:rFonts w:hint="eastAsia" w:ascii="Times New Roman" w:hAnsi="Times New Roman"/>
          <w:sz w:val="24"/>
          <w:lang w:val="en-US" w:eastAsia="zh-CN"/>
        </w:rPr>
        <w:t>（1）便于机器理解</w:t>
      </w:r>
    </w:p>
    <w:p w14:paraId="55598B0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原始日志是非结构化的自由文本，每次运行时包含不同的动态参数（如 IP、时间、状态码）。模板提取的过程本质上是一种降维与结构化抽象，它将海量且高度离散的文本序列映射为有限维度的系统行为模式集合。这一转化消除了文本表述的随机性，为后续基于机器学习或数据挖掘的自动化系统行为建模奠定了结构化数据基础。</w:t>
      </w:r>
    </w:p>
    <w:p w14:paraId="3C3DBCE1">
      <w:pPr>
        <w:rPr>
          <w:rFonts w:hint="eastAsia" w:ascii="Times New Roman" w:hAnsi="Times New Roman"/>
          <w:sz w:val="24"/>
          <w:lang w:val="en-US" w:eastAsia="zh-CN"/>
        </w:rPr>
      </w:pPr>
      <w:r>
        <w:rPr>
          <w:rFonts w:hint="eastAsia" w:ascii="Times New Roman" w:hAnsi="Times New Roman"/>
          <w:sz w:val="24"/>
          <w:lang w:val="en-US" w:eastAsia="zh-CN"/>
        </w:rPr>
        <w:t>（2）高效压缩与快速检索</w:t>
      </w:r>
    </w:p>
    <w:p w14:paraId="049E4B6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因为相同模板的日志具有极高的重复结构，提取模板后进行存储，可以实现数十倍的无损压缩。同时，基于固定的EventId去搜索和排查故障，速度远快于全文检索。</w:t>
      </w:r>
    </w:p>
    <w:p w14:paraId="13D9A802">
      <w:pPr>
        <w:rPr>
          <w:rFonts w:hint="eastAsia" w:ascii="Times New Roman" w:hAnsi="Times New Roman"/>
          <w:sz w:val="24"/>
          <w:lang w:val="en-US" w:eastAsia="zh-CN"/>
        </w:rPr>
      </w:pPr>
      <w:r>
        <w:rPr>
          <w:rFonts w:hint="eastAsia" w:ascii="Times New Roman" w:hAnsi="Times New Roman"/>
          <w:sz w:val="24"/>
          <w:lang w:val="en-US" w:eastAsia="zh-CN"/>
        </w:rPr>
        <w:t>（3）发现长尾异常</w:t>
      </w:r>
    </w:p>
    <w:p w14:paraId="1ABD6A7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在数千万行日志中，占据绝大多数日志序列的高频模板通常映射常规的系统状态，而引发严重故障的异常事件往往对应于极低频的模板类别。建立完备的模板集合，能够有效剥离高频背景噪声的干扰，使异常检测模型能够精准聚焦于稀疏的异常特征空间，从而实现对罕见、隐蔽性系统故障的高效识别与定位。</w:t>
      </w:r>
    </w:p>
    <w:p w14:paraId="6065EAAD">
      <w:pPr>
        <w:rPr>
          <w:rFonts w:ascii="Times New Roman" w:hAnsi="Times New Roman"/>
          <w:sz w:val="24"/>
        </w:rPr>
      </w:pPr>
    </w:p>
    <w:p w14:paraId="3BC541E3">
      <w:pPr>
        <w:keepNext w:val="0"/>
        <w:keepLines w:val="0"/>
        <w:pageBreakBefore w:val="0"/>
        <w:widowControl w:val="0"/>
        <w:kinsoku/>
        <w:wordWrap/>
        <w:overflowPunct/>
        <w:topLinePunct w:val="0"/>
        <w:autoSpaceDE/>
        <w:autoSpaceDN/>
        <w:bidi w:val="0"/>
        <w:adjustRightInd/>
        <w:snapToGrid/>
        <w:textAlignment w:val="auto"/>
        <w:outlineLvl w:val="9"/>
        <w:rPr>
          <w:rFonts w:hint="default" w:ascii="Times New Roman" w:hAnsi="Times New Roman"/>
          <w:sz w:val="28"/>
          <w:szCs w:val="28"/>
          <w:lang w:val="en-US" w:eastAsia="zh-CN"/>
        </w:rPr>
      </w:pPr>
      <w:r>
        <w:rPr>
          <w:rFonts w:hint="eastAsia" w:ascii="Times New Roman" w:hAnsi="Times New Roman"/>
          <w:sz w:val="28"/>
          <w:szCs w:val="28"/>
          <w:lang w:val="en-US" w:eastAsia="zh-CN"/>
        </w:rPr>
        <w:t>Spark</w:t>
      </w:r>
    </w:p>
    <w:p w14:paraId="4A72760B">
      <w:pPr>
        <w:rPr>
          <w:rFonts w:hint="eastAsia" w:ascii="Times New Roman" w:hAnsi="Times New Roman"/>
          <w:sz w:val="24"/>
        </w:rPr>
      </w:pPr>
      <w:r>
        <w:rPr>
          <w:rFonts w:hint="eastAsia" w:ascii="Times New Roman" w:hAnsi="Times New Roman"/>
          <w:sz w:val="24"/>
        </w:rPr>
        <w:t>来源：由32台机器组成的典型分布式计算集群聚合而成。</w:t>
      </w:r>
    </w:p>
    <w:p w14:paraId="272991F1">
      <w:pPr>
        <w:rPr>
          <w:rFonts w:hint="eastAsia" w:ascii="Times New Roman" w:hAnsi="Times New Roman"/>
          <w:sz w:val="24"/>
        </w:rPr>
      </w:pPr>
      <w:r>
        <w:rPr>
          <w:rFonts w:hint="eastAsia" w:ascii="Times New Roman" w:hAnsi="Times New Roman"/>
          <w:sz w:val="24"/>
        </w:rPr>
        <w:t>规模：同样达到1,600万行级别的标注数据。</w:t>
      </w:r>
    </w:p>
    <w:p w14:paraId="4BADD53F">
      <w:pPr>
        <w:rPr>
          <w:rFonts w:hint="eastAsia" w:ascii="Times New Roman" w:hAnsi="Times New Roman"/>
          <w:sz w:val="24"/>
        </w:rPr>
      </w:pPr>
      <w:r>
        <w:rPr>
          <w:rFonts w:hint="eastAsia" w:ascii="Times New Roman" w:hAnsi="Times New Roman"/>
          <w:sz w:val="24"/>
        </w:rPr>
        <w:t>特征：具有极高的动态参数密度，单条日志模板可能包含多达24个变量，这种高度复杂的句法结构使其成为评估日志解析算法在复杂参数识别与语义提取效能方面的重要基准。</w:t>
      </w:r>
    </w:p>
    <w:p w14:paraId="0062DFC7">
      <w:pPr>
        <w:rPr>
          <w:rFonts w:ascii="Times New Roman" w:hAnsi="Times New Roman"/>
          <w:sz w:val="24"/>
        </w:rPr>
      </w:pPr>
      <w:r>
        <w:rPr>
          <w:rFonts w:hint="eastAsia" w:ascii="Times New Roman" w:hAnsi="Times New Roman"/>
          <w:sz w:val="24"/>
        </w:rPr>
        <w:t>代表了现代分布式工业大数据，其日志参数极其丰富且多变。这种内容上的高度异构性，可以训练模型精准提取铁路跨域数据中的关键业务参数（如列车编号、时间戳偏移、传感器精度等）</w:t>
      </w:r>
      <w:r>
        <w:rPr>
          <w:rFonts w:hint="eastAsia" w:ascii="Times New Roman" w:hAnsi="Times New Roman"/>
          <w:sz w:val="24"/>
          <w:lang w:eastAsia="zh-CN"/>
        </w:rPr>
        <w:t>，</w:t>
      </w:r>
      <w:r>
        <w:rPr>
          <w:rFonts w:hint="eastAsia" w:ascii="Times New Roman" w:hAnsi="Times New Roman"/>
          <w:sz w:val="24"/>
          <w:lang w:val="en-US" w:eastAsia="zh-CN"/>
        </w:rPr>
        <w:t>可以用于测试模型的语义对齐能力</w:t>
      </w:r>
      <w:r>
        <w:rPr>
          <w:rFonts w:hint="eastAsia" w:ascii="Times New Roman" w:hAnsi="Times New Roman"/>
          <w:sz w:val="24"/>
        </w:rPr>
        <w:t>。</w:t>
      </w:r>
    </w:p>
    <w:p w14:paraId="68705A73">
      <w:pPr>
        <w:jc w:val="center"/>
        <w:rPr>
          <w:rFonts w:hint="eastAsia" w:ascii="Times New Roman" w:hAnsi="Times New Roman" w:eastAsiaTheme="minorEastAsia"/>
          <w:sz w:val="24"/>
          <w:lang w:val="en-US" w:eastAsia="zh-CN"/>
        </w:rPr>
      </w:pPr>
      <w:r>
        <w:rPr>
          <w:rFonts w:hint="eastAsia" w:ascii="Times New Roman" w:hAnsi="Times New Roman"/>
          <w:sz w:val="24"/>
        </w:rPr>
        <w:t>Spark_full.log数据</w:t>
      </w:r>
      <w:r>
        <w:rPr>
          <w:rFonts w:hint="eastAsia" w:ascii="Times New Roman" w:hAnsi="Times New Roman"/>
          <w:sz w:val="24"/>
          <w:lang w:val="en-US" w:eastAsia="zh-CN"/>
        </w:rPr>
        <w:t>示例</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232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B60BDB0">
            <w:pPr>
              <w:rPr>
                <w:rFonts w:ascii="Times New Roman" w:hAnsi="Times New Roman"/>
                <w:sz w:val="24"/>
                <w:highlight w:val="none"/>
                <w:vertAlign w:val="baseline"/>
              </w:rPr>
            </w:pPr>
            <w:r>
              <w:rPr>
                <w:rFonts w:hint="eastAsia"/>
                <w:highlight w:val="none"/>
              </w:rPr>
              <w:t>17/06/10 15:29:51 INFO storage.BlockManager: Found block rdd_2_9 locally</w:t>
            </w:r>
          </w:p>
        </w:tc>
      </w:tr>
      <w:tr w14:paraId="6B2E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687BE3">
            <w:pPr>
              <w:rPr>
                <w:rFonts w:ascii="Times New Roman" w:hAnsi="Times New Roman"/>
                <w:sz w:val="24"/>
                <w:highlight w:val="none"/>
                <w:vertAlign w:val="baseline"/>
              </w:rPr>
            </w:pPr>
            <w:r>
              <w:rPr>
                <w:rFonts w:hint="eastAsia"/>
                <w:highlight w:val="none"/>
              </w:rPr>
              <w:t>17/03/23 14:31:40 ERROR TransportRequestHandler: Error sending result RpcResponse{requestId=8054183328166237564, body=NioManagedBuffer{buf=java.nio.HeapByteBuffer[pos=0 lim=274 cap=274]}} to mesos-slave-05/10.10.34.15:34469; closing connection</w:t>
            </w:r>
          </w:p>
        </w:tc>
      </w:tr>
      <w:tr w14:paraId="0C75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AD72A5">
            <w:pPr>
              <w:rPr>
                <w:rFonts w:ascii="Times New Roman" w:hAnsi="Times New Roman"/>
                <w:sz w:val="24"/>
                <w:highlight w:val="none"/>
                <w:vertAlign w:val="baseline"/>
              </w:rPr>
            </w:pPr>
            <w:r>
              <w:rPr>
                <w:rFonts w:hint="eastAsia"/>
                <w:highlight w:val="none"/>
              </w:rPr>
              <w:t>17/03/28 15:19:09 INFO SparkContext: Starting job: runJob at PythonRDD.scala:393</w:t>
            </w:r>
          </w:p>
        </w:tc>
      </w:tr>
    </w:tbl>
    <w:p w14:paraId="3207A6BC">
      <w:pPr>
        <w:rPr>
          <w:rFonts w:ascii="Times New Roman" w:hAnsi="Times New Roman"/>
          <w:sz w:val="24"/>
          <w:highlight w:val="none"/>
        </w:rPr>
      </w:pPr>
    </w:p>
    <w:p w14:paraId="60ECD47E">
      <w:pPr>
        <w:jc w:val="center"/>
        <w:rPr>
          <w:rFonts w:hint="eastAsia" w:ascii="Times New Roman" w:hAnsi="Times New Roman" w:eastAsiaTheme="minorEastAsia"/>
          <w:sz w:val="24"/>
          <w:highlight w:val="none"/>
          <w:lang w:val="en-US" w:eastAsia="zh-CN"/>
        </w:rPr>
      </w:pPr>
      <w:r>
        <w:rPr>
          <w:rFonts w:hint="eastAsia" w:ascii="Times New Roman" w:hAnsi="Times New Roman"/>
          <w:sz w:val="24"/>
          <w:highlight w:val="none"/>
        </w:rPr>
        <w:t>Spark_full.log_templates数据</w:t>
      </w:r>
      <w:r>
        <w:rPr>
          <w:rFonts w:hint="eastAsia" w:ascii="Times New Roman" w:hAnsi="Times New Roman"/>
          <w:sz w:val="24"/>
          <w:highlight w:val="none"/>
          <w:lang w:val="en-US" w:eastAsia="zh-CN"/>
        </w:rPr>
        <w:t>示例</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DB6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3353AFE">
            <w:pPr>
              <w:rPr>
                <w:rFonts w:ascii="Times New Roman" w:hAnsi="Times New Roman"/>
                <w:sz w:val="24"/>
                <w:highlight w:val="none"/>
                <w:vertAlign w:val="baseline"/>
              </w:rPr>
            </w:pPr>
            <w:r>
              <w:rPr>
                <w:rFonts w:hint="eastAsia"/>
                <w:highlight w:val="none"/>
              </w:rPr>
              <w:t>E219,Found block &lt;*&gt; locally,1895245</w:t>
            </w:r>
          </w:p>
        </w:tc>
      </w:tr>
      <w:tr w14:paraId="5553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5D4761">
            <w:pPr>
              <w:rPr>
                <w:rFonts w:ascii="Times New Roman" w:hAnsi="Times New Roman"/>
                <w:sz w:val="24"/>
                <w:highlight w:val="none"/>
                <w:vertAlign w:val="baseline"/>
              </w:rPr>
            </w:pPr>
            <w:r>
              <w:rPr>
                <w:rFonts w:hint="eastAsia"/>
                <w:highlight w:val="none"/>
              </w:rPr>
              <w:t>E39,Error sending result RpcResponse{requestId=&lt;*&gt;, body=&lt;*&gt;} to &lt;*&gt;; closing connection,43</w:t>
            </w:r>
          </w:p>
        </w:tc>
      </w:tr>
      <w:tr w14:paraId="4F5AA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930944">
            <w:pPr>
              <w:rPr>
                <w:rFonts w:ascii="Times New Roman" w:hAnsi="Times New Roman"/>
                <w:sz w:val="24"/>
                <w:highlight w:val="none"/>
                <w:vertAlign w:val="baseline"/>
              </w:rPr>
            </w:pPr>
            <w:r>
              <w:rPr>
                <w:rFonts w:hint="eastAsia"/>
                <w:highlight w:val="none"/>
              </w:rPr>
              <w:t>E198,Starting job: runJob at &lt;*&gt;,14</w:t>
            </w:r>
          </w:p>
        </w:tc>
      </w:tr>
    </w:tbl>
    <w:p w14:paraId="6DAAACD3">
      <w:pPr>
        <w:rPr>
          <w:rFonts w:ascii="Times New Roman" w:hAnsi="Times New Roman"/>
          <w:sz w:val="24"/>
        </w:rPr>
      </w:pPr>
    </w:p>
    <w:p w14:paraId="11878CB2">
      <w:pPr>
        <w:jc w:val="center"/>
        <w:rPr>
          <w:rFonts w:hint="eastAsia" w:ascii="Times New Roman" w:hAnsi="Times New Roman" w:eastAsiaTheme="minorEastAsia"/>
          <w:sz w:val="24"/>
          <w:lang w:val="en-US" w:eastAsia="zh-CN"/>
        </w:rPr>
      </w:pPr>
      <w:r>
        <w:rPr>
          <w:rFonts w:hint="eastAsia" w:ascii="Times New Roman" w:hAnsi="Times New Roman"/>
          <w:sz w:val="24"/>
        </w:rPr>
        <w:t>Spark_full.log_structured数据</w:t>
      </w:r>
      <w:r>
        <w:rPr>
          <w:rFonts w:hint="eastAsia" w:ascii="Times New Roman" w:hAnsi="Times New Roman"/>
          <w:sz w:val="24"/>
          <w:lang w:val="en-US" w:eastAsia="zh-CN"/>
        </w:rPr>
        <w:t>示例</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8CD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B858CC">
            <w:pPr>
              <w:rPr>
                <w:rFonts w:ascii="Times New Roman" w:hAnsi="Times New Roman"/>
                <w:sz w:val="24"/>
                <w:vertAlign w:val="baseline"/>
              </w:rPr>
            </w:pPr>
            <w:r>
              <w:rPr>
                <w:rFonts w:hint="eastAsia"/>
              </w:rPr>
              <w:t>114453,Found block rdd_2_9 locally,E219,Found block &lt;*&gt; locally</w:t>
            </w:r>
          </w:p>
        </w:tc>
      </w:tr>
      <w:tr w14:paraId="0C22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70A23">
            <w:pPr>
              <w:rPr>
                <w:rFonts w:ascii="Times New Roman" w:hAnsi="Times New Roman"/>
                <w:sz w:val="24"/>
                <w:vertAlign w:val="baseline"/>
              </w:rPr>
            </w:pPr>
            <w:r>
              <w:rPr>
                <w:rFonts w:hint="eastAsia"/>
              </w:rPr>
              <w:t>49691,Error sending result RpcResponse{requestId=8054183328166237564, body=NioManagedBuffer{buf=java.nio.HeapByteBuffer[pos=0 lim=274 cap=274]}} to mesos-slave-05/10.10.34.15:34469; closing connection,E39,Error sending result RpcResponse{requestId=&lt;*&gt;, body=&lt;*&gt;} to &lt;*&gt;; closing connection</w:t>
            </w:r>
          </w:p>
        </w:tc>
      </w:tr>
      <w:tr w14:paraId="7BCF8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F7713">
            <w:pPr>
              <w:rPr>
                <w:rFonts w:ascii="Times New Roman" w:hAnsi="Times New Roman"/>
                <w:sz w:val="24"/>
                <w:vertAlign w:val="baseline"/>
              </w:rPr>
            </w:pPr>
            <w:r>
              <w:rPr>
                <w:rFonts w:hint="eastAsia"/>
              </w:rPr>
              <w:t>81538,Starting job: runJob at PythonRDD.scala:393,E198,Starting job: runJob at &lt;*&gt;</w:t>
            </w:r>
          </w:p>
        </w:tc>
      </w:tr>
    </w:tbl>
    <w:p w14:paraId="605AB911">
      <w:pPr>
        <w:rPr>
          <w:rFonts w:ascii="Times New Roman" w:hAnsi="Times New Roman"/>
          <w:sz w:val="24"/>
        </w:rPr>
      </w:pPr>
    </w:p>
    <w:p w14:paraId="2B7F8307">
      <w:pPr>
        <w:rPr>
          <w:rFonts w:ascii="Times New Roman" w:hAnsi="Times New Roman"/>
          <w:sz w:val="24"/>
        </w:rPr>
      </w:pPr>
    </w:p>
    <w:p w14:paraId="70F20AB1">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b/>
          <w:bCs/>
          <w:sz w:val="32"/>
          <w:szCs w:val="32"/>
          <w:lang w:val="en-US" w:eastAsia="zh-CN"/>
        </w:rPr>
      </w:pPr>
      <w:r>
        <w:rPr>
          <w:rFonts w:hint="eastAsia" w:ascii="Times New Roman" w:hAnsi="Times New Roman"/>
          <w:b/>
          <w:bCs/>
          <w:sz w:val="32"/>
          <w:szCs w:val="32"/>
          <w:lang w:val="en-US" w:eastAsia="zh-CN"/>
        </w:rPr>
        <w:t>大模型解析</w:t>
      </w:r>
    </w:p>
    <w:p w14:paraId="5C8DF95B">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24"/>
        </w:rPr>
      </w:pPr>
      <w:r>
        <w:rPr>
          <w:rFonts w:hint="eastAsia" w:ascii="Times New Roman" w:hAnsi="Times New Roman"/>
          <w:sz w:val="32"/>
          <w:szCs w:val="32"/>
          <w:lang w:val="en-US" w:eastAsia="zh-CN"/>
        </w:rPr>
        <w:t>LILAC: Log Parsing using LLMs with Adaptive Parsing Cache</w:t>
      </w:r>
    </w:p>
    <w:p w14:paraId="740ECE8A">
      <w:pPr>
        <w:rPr>
          <w:rFonts w:ascii="Times New Roman" w:hAnsi="Times New Roman"/>
          <w:sz w:val="24"/>
        </w:rPr>
      </w:pPr>
      <w:r>
        <w:rPr>
          <w:rFonts w:hint="eastAsia" w:ascii="Times New Roman" w:hAnsi="Times New Roman"/>
          <w:sz w:val="24"/>
        </w:rPr>
        <w:t>LILAC: Log Parsing using LLMs with Adaptive Parsing Cache. FSE, 2024.</w:t>
      </w:r>
    </w:p>
    <w:p w14:paraId="5A4F2D6E">
      <w:pPr>
        <w:rPr>
          <w:rFonts w:ascii="Times New Roman" w:hAnsi="Times New Roman"/>
          <w:sz w:val="24"/>
        </w:rPr>
      </w:pPr>
      <w:r>
        <w:drawing>
          <wp:inline distT="0" distB="0" distL="114300" distR="114300">
            <wp:extent cx="5274310" cy="2012315"/>
            <wp:effectExtent l="0" t="0" r="13970" b="14605"/>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pic:cNvPicPr>
                  </pic:nvPicPr>
                  <pic:blipFill>
                    <a:blip r:embed="rId11"/>
                    <a:stretch>
                      <a:fillRect/>
                    </a:stretch>
                  </pic:blipFill>
                  <pic:spPr>
                    <a:xfrm>
                      <a:off x="0" y="0"/>
                      <a:ext cx="5274310" cy="2012315"/>
                    </a:xfrm>
                    <a:prstGeom prst="rect">
                      <a:avLst/>
                    </a:prstGeom>
                    <a:noFill/>
                    <a:ln>
                      <a:noFill/>
                    </a:ln>
                  </pic:spPr>
                </pic:pic>
              </a:graphicData>
            </a:graphic>
          </wp:inline>
        </w:drawing>
      </w:r>
    </w:p>
    <w:p w14:paraId="29B29965">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sz w:val="28"/>
          <w:szCs w:val="28"/>
          <w:lang w:val="en-US" w:eastAsia="zh-CN"/>
        </w:rPr>
      </w:pPr>
      <w:r>
        <w:rPr>
          <w:rFonts w:hint="eastAsia" w:ascii="Times New Roman" w:hAnsi="Times New Roman"/>
          <w:sz w:val="28"/>
          <w:szCs w:val="28"/>
          <w:lang w:val="en-US" w:eastAsia="zh-CN"/>
        </w:rPr>
        <w:t>1.研究背景与核心痛点</w:t>
      </w:r>
    </w:p>
    <w:p w14:paraId="23D659BB">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Times New Roman" w:hAnsi="Times New Roman"/>
          <w:sz w:val="24"/>
          <w:lang w:val="en-US" w:eastAsia="zh-CN"/>
        </w:rPr>
      </w:pPr>
      <w:r>
        <w:rPr>
          <w:rFonts w:hint="eastAsia" w:ascii="Times New Roman" w:hAnsi="Times New Roman"/>
          <w:b/>
          <w:bCs/>
          <w:sz w:val="24"/>
          <w:lang w:val="en-US" w:eastAsia="zh-CN"/>
        </w:rPr>
        <w:t>背景</w:t>
      </w:r>
      <w:r>
        <w:rPr>
          <w:rFonts w:hint="eastAsia" w:ascii="Times New Roman" w:hAnsi="Times New Roman"/>
          <w:sz w:val="24"/>
          <w:lang w:val="en-US" w:eastAsia="zh-CN"/>
        </w:rPr>
        <w:t>：现有的语法驱动或语义驱动</w:t>
      </w:r>
      <w:r>
        <w:rPr>
          <w:rFonts w:hint="eastAsia" w:ascii="Times New Roman" w:hAnsi="Times New Roman"/>
          <w:sz w:val="24"/>
          <w:u w:val="single"/>
          <w:lang w:val="en-US" w:eastAsia="zh-CN"/>
        </w:rPr>
        <w:t>日志解析</w:t>
      </w:r>
      <w:r>
        <w:rPr>
          <w:rFonts w:hint="eastAsia" w:ascii="Times New Roman" w:hAnsi="Times New Roman"/>
          <w:sz w:val="24"/>
          <w:lang w:val="en-US" w:eastAsia="zh-CN"/>
        </w:rPr>
        <w:t>方法在处理复杂的日志数据时，往往因为依赖人工规则或受限于有限的训练数据而表现欠佳。近年来，虽然 LLMs 展示了其在代码和日志方面丰富的预训练知识。</w:t>
      </w:r>
    </w:p>
    <w:p w14:paraId="079426E2">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eastAsia" w:ascii="Times New Roman" w:hAnsi="Times New Roman"/>
          <w:sz w:val="24"/>
          <w:lang w:val="en-US" w:eastAsia="zh-CN"/>
        </w:rPr>
      </w:pPr>
      <w:r>
        <w:rPr>
          <w:rFonts w:hint="eastAsia" w:ascii="Times New Roman" w:hAnsi="Times New Roman"/>
          <w:b/>
          <w:bCs/>
          <w:sz w:val="24"/>
          <w:lang w:val="en-US" w:eastAsia="zh-CN"/>
        </w:rPr>
        <w:t>痛点</w:t>
      </w:r>
      <w:r>
        <w:rPr>
          <w:rFonts w:hint="eastAsia" w:ascii="Times New Roman" w:hAnsi="Times New Roman"/>
          <w:sz w:val="24"/>
          <w:lang w:val="en-US" w:eastAsia="zh-CN"/>
        </w:rPr>
        <w:t>：</w:t>
      </w:r>
    </w:p>
    <w:p w14:paraId="2886095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缺乏专业能力：LLMs并非专门为日志解析任务微调过，直接查询可能导致性能不佳。</w:t>
      </w:r>
    </w:p>
    <w:p w14:paraId="5C67F8A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输出结果不一致： LLMs 可能会生成不稳定的答案，例如对于具有相同模板的日志消息产生不同的解析模板，从而降低分组的准确性。</w:t>
      </w:r>
    </w:p>
    <w:p w14:paraId="102613A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r>
        <w:rPr>
          <w:rFonts w:hint="eastAsia" w:ascii="Times New Roman" w:hAnsi="Times New Roman"/>
          <w:sz w:val="24"/>
          <w:lang w:val="en-US" w:eastAsia="zh-CN"/>
        </w:rPr>
        <w:t xml:space="preserve">巨大的开销： 现代软件系统每小时能产生数十 GB 的日志，由于 LLMs 的推理需要庞大的计算资源，直接逐行处理日志的开销极大且不切实际。 </w:t>
      </w:r>
    </w:p>
    <w:p w14:paraId="24B5DDA3">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sz w:val="28"/>
          <w:szCs w:val="28"/>
          <w:lang w:val="en-US" w:eastAsia="zh-CN"/>
        </w:rPr>
      </w:pPr>
      <w:r>
        <w:rPr>
          <w:rFonts w:hint="eastAsia" w:ascii="Times New Roman" w:hAnsi="Times New Roman"/>
          <w:sz w:val="28"/>
          <w:szCs w:val="28"/>
          <w:lang w:val="en-US" w:eastAsia="zh-CN"/>
        </w:rPr>
        <w:t>2.LILAC框架</w:t>
      </w:r>
    </w:p>
    <w:p w14:paraId="2A6BB06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b/>
          <w:bCs/>
          <w:sz w:val="24"/>
          <w:lang w:val="en-US" w:eastAsia="zh-CN"/>
        </w:rPr>
      </w:pPr>
      <w:r>
        <w:drawing>
          <wp:inline distT="0" distB="0" distL="114300" distR="114300">
            <wp:extent cx="5264785" cy="1416685"/>
            <wp:effectExtent l="0" t="0" r="8255" b="635"/>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12"/>
                    <a:stretch>
                      <a:fillRect/>
                    </a:stretch>
                  </pic:blipFill>
                  <pic:spPr>
                    <a:xfrm>
                      <a:off x="0" y="0"/>
                      <a:ext cx="5264785" cy="1416685"/>
                    </a:xfrm>
                    <a:prstGeom prst="rect">
                      <a:avLst/>
                    </a:prstGeom>
                    <a:noFill/>
                    <a:ln>
                      <a:noFill/>
                    </a:ln>
                  </pic:spPr>
                </pic:pic>
              </a:graphicData>
            </a:graphic>
          </wp:inline>
        </w:drawing>
      </w:r>
    </w:p>
    <w:p w14:paraId="4B96157C">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default" w:ascii="Times New Roman" w:hAnsi="Times New Roman"/>
          <w:sz w:val="24"/>
          <w:lang w:val="en-US" w:eastAsia="zh-CN"/>
        </w:rPr>
      </w:pPr>
      <w:r>
        <w:rPr>
          <w:rFonts w:hint="default" w:ascii="Times New Roman" w:hAnsi="Times New Roman"/>
          <w:b/>
          <w:bCs/>
          <w:sz w:val="24"/>
          <w:lang w:val="en-US" w:eastAsia="zh-CN"/>
        </w:rPr>
        <w:t>ICL增强解析器</w:t>
      </w:r>
      <w:r>
        <w:rPr>
          <w:rFonts w:hint="default" w:ascii="Times New Roman" w:hAnsi="Times New Roman"/>
          <w:sz w:val="24"/>
          <w:lang w:val="en-US" w:eastAsia="zh-CN"/>
        </w:rPr>
        <w:t>(In-Context Learning</w:t>
      </w:r>
      <w:r>
        <w:rPr>
          <w:rFonts w:hint="eastAsia" w:ascii="Times New Roman" w:hAnsi="Times New Roman"/>
          <w:sz w:val="24"/>
          <w:lang w:val="en-US" w:eastAsia="zh-CN"/>
        </w:rPr>
        <w:t xml:space="preserve"> </w:t>
      </w:r>
      <w:r>
        <w:rPr>
          <w:rFonts w:hint="default" w:ascii="Times New Roman" w:hAnsi="Times New Roman"/>
          <w:sz w:val="24"/>
          <w:lang w:val="en-US" w:eastAsia="zh-CN"/>
        </w:rPr>
        <w:t>enhance</w:t>
      </w:r>
      <w:r>
        <w:rPr>
          <w:rFonts w:hint="eastAsia" w:ascii="Times New Roman" w:hAnsi="Times New Roman"/>
          <w:sz w:val="24"/>
          <w:lang w:val="en-US" w:eastAsia="zh-CN"/>
        </w:rPr>
        <w:t xml:space="preserve"> </w:t>
      </w:r>
      <w:r>
        <w:rPr>
          <w:rFonts w:hint="default" w:ascii="Times New Roman" w:hAnsi="Times New Roman"/>
          <w:sz w:val="24"/>
          <w:lang w:val="en-US" w:eastAsia="zh-CN"/>
        </w:rPr>
        <w:t>dparser)：该组件利用</w:t>
      </w:r>
      <w:r>
        <w:rPr>
          <w:rFonts w:hint="eastAsia" w:ascii="Times New Roman" w:hAnsi="Times New Roman"/>
          <w:sz w:val="24"/>
          <w:lang w:val="en-US" w:eastAsia="zh-CN"/>
        </w:rPr>
        <w:t>LLM的</w:t>
      </w:r>
      <w:r>
        <w:rPr>
          <w:rFonts w:hint="default" w:ascii="Times New Roman" w:hAnsi="Times New Roman"/>
          <w:sz w:val="24"/>
          <w:u w:val="single"/>
          <w:lang w:val="en-US" w:eastAsia="zh-CN"/>
        </w:rPr>
        <w:t>上下文学习</w:t>
      </w:r>
      <w:r>
        <w:rPr>
          <w:rFonts w:hint="eastAsia" w:ascii="Times New Roman" w:hAnsi="Times New Roman"/>
          <w:sz w:val="24"/>
          <w:lang w:val="en-US" w:eastAsia="zh-CN"/>
        </w:rPr>
        <w:t>能力</w:t>
      </w:r>
      <w:r>
        <w:rPr>
          <w:rFonts w:hint="default" w:ascii="Times New Roman" w:hAnsi="Times New Roman"/>
          <w:sz w:val="24"/>
          <w:lang w:val="en-US" w:eastAsia="zh-CN"/>
        </w:rPr>
        <w:t>，使LLM能够适应不同的日志数据，而无需进行耗时的模型微调。</w:t>
      </w:r>
    </w:p>
    <w:p w14:paraId="0A46BDE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sz w:val="24"/>
          <w:lang w:val="en-US" w:eastAsia="zh-CN"/>
        </w:rPr>
      </w:pPr>
      <w:r>
        <w:drawing>
          <wp:inline distT="0" distB="0" distL="114300" distR="114300">
            <wp:extent cx="5273675" cy="1440815"/>
            <wp:effectExtent l="0" t="0" r="14605" b="6985"/>
            <wp:docPr id="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pic:cNvPicPr>
                      <a:picLocks noChangeAspect="1"/>
                    </pic:cNvPicPr>
                  </pic:nvPicPr>
                  <pic:blipFill>
                    <a:blip r:embed="rId13"/>
                    <a:stretch>
                      <a:fillRect/>
                    </a:stretch>
                  </pic:blipFill>
                  <pic:spPr>
                    <a:xfrm>
                      <a:off x="0" y="0"/>
                      <a:ext cx="5273675" cy="1440815"/>
                    </a:xfrm>
                    <a:prstGeom prst="rect">
                      <a:avLst/>
                    </a:prstGeom>
                    <a:noFill/>
                    <a:ln>
                      <a:noFill/>
                    </a:ln>
                  </pic:spPr>
                </pic:pic>
              </a:graphicData>
            </a:graphic>
          </wp:inline>
        </w:drawing>
      </w:r>
    </w:p>
    <w:p w14:paraId="0C40521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i/>
          <w:iCs/>
          <w:sz w:val="24"/>
          <w:lang w:val="en-US" w:eastAsia="zh-CN"/>
        </w:rPr>
        <w:t>分层候选采样</w:t>
      </w:r>
      <w:r>
        <w:rPr>
          <w:rFonts w:hint="default" w:ascii="Times New Roman" w:hAnsi="Times New Roman"/>
          <w:sz w:val="24"/>
          <w:lang w:val="en-US" w:eastAsia="zh-CN"/>
        </w:rPr>
        <w:t>(Hierarchical</w:t>
      </w:r>
      <w:r>
        <w:rPr>
          <w:rFonts w:hint="eastAsia" w:ascii="Times New Roman" w:hAnsi="Times New Roman"/>
          <w:sz w:val="24"/>
          <w:lang w:val="en-US" w:eastAsia="zh-CN"/>
        </w:rPr>
        <w:t xml:space="preserve"> </w:t>
      </w:r>
      <w:r>
        <w:rPr>
          <w:rFonts w:hint="default" w:ascii="Times New Roman" w:hAnsi="Times New Roman"/>
          <w:sz w:val="24"/>
          <w:lang w:val="en-US" w:eastAsia="zh-CN"/>
        </w:rPr>
        <w:t>candidate</w:t>
      </w:r>
      <w:r>
        <w:rPr>
          <w:rFonts w:hint="eastAsia" w:ascii="Times New Roman" w:hAnsi="Times New Roman"/>
          <w:sz w:val="24"/>
          <w:lang w:val="en-US" w:eastAsia="zh-CN"/>
        </w:rPr>
        <w:t xml:space="preserve"> </w:t>
      </w:r>
      <w:r>
        <w:rPr>
          <w:rFonts w:hint="default" w:ascii="Times New Roman" w:hAnsi="Times New Roman"/>
          <w:sz w:val="24"/>
          <w:lang w:val="en-US" w:eastAsia="zh-CN"/>
        </w:rPr>
        <w:t>sampling)：考虑到大规模日志中模板频率的极度不平衡，通过聚类从历史日志中提取出少量但具有高度多样性和代表性的候选日志集。</w:t>
      </w:r>
    </w:p>
    <w:p w14:paraId="2D51E017">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sz w:val="21"/>
          <w:szCs w:val="21"/>
          <w:lang w:val="en-US" w:eastAsia="zh-CN"/>
        </w:rPr>
      </w:pPr>
      <w:r>
        <w:rPr>
          <w:rFonts w:hint="eastAsia" w:ascii="Times New Roman" w:hAnsi="Times New Roman"/>
          <w:sz w:val="21"/>
          <w:szCs w:val="21"/>
          <w:lang w:val="en-US" w:eastAsia="zh-CN"/>
        </w:rPr>
        <w:t>两个聚类规则，基于高频词（粗粒度）和基于特殊格式（细粒度）</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25AC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86EB08">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sz w:val="21"/>
                <w:szCs w:val="21"/>
                <w:lang w:val="en-US" w:eastAsia="zh-CN"/>
              </w:rPr>
            </w:pPr>
            <w:r>
              <w:rPr>
                <w:rFonts w:hint="default" w:ascii="Times New Roman" w:hAnsi="Times New Roman"/>
                <w:sz w:val="21"/>
                <w:szCs w:val="21"/>
                <w:lang w:val="en-US" w:eastAsia="zh-CN"/>
              </w:rPr>
              <w:t>对于日志 "Received block: blk_358 of size 6710 from /127.0.0.1"，它的特殊格式被提取为 {':', '_', '.', '/'} 。</w:t>
            </w:r>
          </w:p>
          <w:p w14:paraId="12A2C747">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sz w:val="21"/>
                <w:szCs w:val="21"/>
                <w:vertAlign w:val="baseline"/>
                <w:lang w:val="en-US" w:eastAsia="zh-CN"/>
              </w:rPr>
            </w:pPr>
            <w:r>
              <w:rPr>
                <w:rFonts w:hint="default" w:ascii="Times New Roman" w:hAnsi="Times New Roman"/>
                <w:sz w:val="21"/>
                <w:szCs w:val="21"/>
                <w:lang w:val="en-US" w:eastAsia="zh-CN"/>
              </w:rPr>
              <w:t>而同一模板下的另一条日志 "Received block: blk_729 of size 8199 from /127.0.0.2" 也会提取出完全相同的特殊格式集合。</w:t>
            </w:r>
          </w:p>
        </w:tc>
      </w:tr>
    </w:tbl>
    <w:p w14:paraId="3425E0B0">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sz w:val="21"/>
          <w:szCs w:val="21"/>
          <w:lang w:val="en-US" w:eastAsia="zh-CN"/>
        </w:rPr>
      </w:pPr>
      <w:r>
        <w:rPr>
          <w:rFonts w:hint="default" w:ascii="Times New Roman" w:hAnsi="Times New Roman"/>
          <w:sz w:val="21"/>
          <w:szCs w:val="21"/>
          <w:lang w:val="en-US" w:eastAsia="zh-CN"/>
        </w:rPr>
        <w:t>分层配额分配（Hierarchical Quota Distribution）</w:t>
      </w:r>
      <w:r>
        <w:rPr>
          <w:rFonts w:hint="eastAsia" w:ascii="Times New Roman" w:hAnsi="Times New Roman"/>
          <w:sz w:val="21"/>
          <w:szCs w:val="21"/>
          <w:lang w:val="en-US" w:eastAsia="zh-CN"/>
        </w:rPr>
        <w:t>：先平均分给粗粒度簇，粗粒度簇内部的细粒度簇按照日志的频率进行排序，然后优先分给频率高的细粒度簇，细粒度簇内再随机抽取。</w:t>
      </w:r>
    </w:p>
    <w:p w14:paraId="55C9A69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i/>
          <w:iCs/>
          <w:sz w:val="24"/>
          <w:lang w:val="en-US" w:eastAsia="zh-CN"/>
        </w:rPr>
        <w:t>示例选择</w:t>
      </w:r>
      <w:r>
        <w:rPr>
          <w:rFonts w:hint="default" w:ascii="Times New Roman" w:hAnsi="Times New Roman"/>
          <w:sz w:val="24"/>
          <w:lang w:val="en-US" w:eastAsia="zh-CN"/>
        </w:rPr>
        <w:t>(Demonstration</w:t>
      </w:r>
      <w:r>
        <w:rPr>
          <w:rFonts w:hint="eastAsia" w:ascii="Times New Roman" w:hAnsi="Times New Roman"/>
          <w:sz w:val="24"/>
          <w:lang w:val="en-US" w:eastAsia="zh-CN"/>
        </w:rPr>
        <w:t xml:space="preserve"> </w:t>
      </w:r>
      <w:r>
        <w:rPr>
          <w:rFonts w:hint="default" w:ascii="Times New Roman" w:hAnsi="Times New Roman"/>
          <w:sz w:val="24"/>
          <w:lang w:val="en-US" w:eastAsia="zh-CN"/>
        </w:rPr>
        <w:t>selection)：在在线解析时，采用基于kNN的算法，从候选集中选择与当前查询日志最相似的示例，构建高质量的提示词（prompt）以指导LLM进行精确解析。</w:t>
      </w:r>
    </w:p>
    <w:p w14:paraId="57154CB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sz w:val="24"/>
          <w:lang w:val="en-US" w:eastAsia="zh-CN"/>
        </w:rPr>
      </w:pPr>
      <w:r>
        <w:drawing>
          <wp:inline distT="0" distB="0" distL="114300" distR="114300">
            <wp:extent cx="5270500" cy="1508125"/>
            <wp:effectExtent l="0" t="0" r="2540" b="635"/>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14"/>
                    <a:stretch>
                      <a:fillRect/>
                    </a:stretch>
                  </pic:blipFill>
                  <pic:spPr>
                    <a:xfrm>
                      <a:off x="0" y="0"/>
                      <a:ext cx="5270500" cy="1508125"/>
                    </a:xfrm>
                    <a:prstGeom prst="rect">
                      <a:avLst/>
                    </a:prstGeom>
                    <a:noFill/>
                    <a:ln>
                      <a:noFill/>
                    </a:ln>
                  </pic:spPr>
                </pic:pic>
              </a:graphicData>
            </a:graphic>
          </wp:inline>
        </w:drawing>
      </w:r>
    </w:p>
    <w:p w14:paraId="5E417A3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p>
    <w:p w14:paraId="56E95195">
      <w:pPr>
        <w:keepNext w:val="0"/>
        <w:keepLines w:val="0"/>
        <w:pageBreakBefore w:val="0"/>
        <w:widowControl w:val="0"/>
        <w:kinsoku/>
        <w:wordWrap/>
        <w:overflowPunct/>
        <w:topLinePunct w:val="0"/>
        <w:autoSpaceDE/>
        <w:autoSpaceDN/>
        <w:bidi w:val="0"/>
        <w:adjustRightInd/>
        <w:snapToGrid/>
        <w:ind w:firstLine="482" w:firstLineChars="200"/>
        <w:textAlignment w:val="auto"/>
        <w:rPr>
          <w:rFonts w:hint="default" w:ascii="Times New Roman" w:hAnsi="Times New Roman"/>
          <w:sz w:val="24"/>
          <w:lang w:val="en-US" w:eastAsia="zh-CN"/>
        </w:rPr>
      </w:pPr>
      <w:r>
        <w:rPr>
          <w:rFonts w:hint="default" w:ascii="Times New Roman" w:hAnsi="Times New Roman"/>
          <w:b/>
          <w:bCs/>
          <w:sz w:val="24"/>
          <w:lang w:val="en-US" w:eastAsia="zh-CN"/>
        </w:rPr>
        <w:t>自适应解析缓存</w:t>
      </w:r>
      <w:r>
        <w:rPr>
          <w:rFonts w:hint="default" w:ascii="Times New Roman" w:hAnsi="Times New Roman"/>
          <w:sz w:val="24"/>
          <w:lang w:val="en-US" w:eastAsia="zh-CN"/>
        </w:rPr>
        <w:t>(Adaptive</w:t>
      </w:r>
      <w:r>
        <w:rPr>
          <w:rFonts w:hint="eastAsia" w:ascii="Times New Roman" w:hAnsi="Times New Roman"/>
          <w:sz w:val="24"/>
          <w:lang w:val="en-US" w:eastAsia="zh-CN"/>
        </w:rPr>
        <w:t xml:space="preserve"> </w:t>
      </w:r>
      <w:r>
        <w:rPr>
          <w:rFonts w:hint="default" w:ascii="Times New Roman" w:hAnsi="Times New Roman"/>
          <w:sz w:val="24"/>
          <w:lang w:val="en-US" w:eastAsia="zh-CN"/>
        </w:rPr>
        <w:t>parsing</w:t>
      </w:r>
      <w:r>
        <w:rPr>
          <w:rFonts w:hint="eastAsia" w:ascii="Times New Roman" w:hAnsi="Times New Roman"/>
          <w:sz w:val="24"/>
          <w:lang w:val="en-US" w:eastAsia="zh-CN"/>
        </w:rPr>
        <w:t xml:space="preserve"> </w:t>
      </w:r>
      <w:r>
        <w:rPr>
          <w:rFonts w:hint="default" w:ascii="Times New Roman" w:hAnsi="Times New Roman"/>
          <w:sz w:val="24"/>
          <w:lang w:val="en-US" w:eastAsia="zh-CN"/>
        </w:rPr>
        <w:t>cache)：该组件采用树状数据结构来存储LLM生成的日志模板，旨在解决LLMs的不一致性和低效问题。</w:t>
      </w:r>
    </w:p>
    <w:p w14:paraId="30BC1F6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sz w:val="24"/>
          <w:lang w:val="en-US" w:eastAsia="zh-CN"/>
        </w:rPr>
      </w:pPr>
      <w:r>
        <w:drawing>
          <wp:inline distT="0" distB="0" distL="114300" distR="114300">
            <wp:extent cx="5273040" cy="2070100"/>
            <wp:effectExtent l="0" t="0" r="0" b="2540"/>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15"/>
                    <a:stretch>
                      <a:fillRect/>
                    </a:stretch>
                  </pic:blipFill>
                  <pic:spPr>
                    <a:xfrm>
                      <a:off x="0" y="0"/>
                      <a:ext cx="5273040" cy="2070100"/>
                    </a:xfrm>
                    <a:prstGeom prst="rect">
                      <a:avLst/>
                    </a:prstGeom>
                    <a:noFill/>
                    <a:ln>
                      <a:noFill/>
                    </a:ln>
                  </pic:spPr>
                </pic:pic>
              </a:graphicData>
            </a:graphic>
          </wp:inline>
        </w:drawing>
      </w:r>
    </w:p>
    <w:p w14:paraId="0D7D2ED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p>
    <w:p w14:paraId="71AA3E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缓存匹配(Cache</w:t>
      </w:r>
      <w:r>
        <w:rPr>
          <w:rFonts w:hint="eastAsia" w:ascii="Times New Roman" w:hAnsi="Times New Roman"/>
          <w:sz w:val="24"/>
          <w:lang w:val="en-US" w:eastAsia="zh-CN"/>
        </w:rPr>
        <w:t xml:space="preserve"> </w:t>
      </w:r>
      <w:r>
        <w:rPr>
          <w:rFonts w:hint="default" w:ascii="Times New Roman" w:hAnsi="Times New Roman"/>
          <w:sz w:val="24"/>
          <w:lang w:val="en-US" w:eastAsia="zh-CN"/>
        </w:rPr>
        <w:t>matching)：优先在缓存中查找匹配的模板，如果命中则直接使用缓存结果，从而避免了向LLM发起重复查询，极大提升了处理速度。</w:t>
      </w:r>
    </w:p>
    <w:p w14:paraId="3404BC5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缓存更新(Cache</w:t>
      </w:r>
      <w:r>
        <w:rPr>
          <w:rFonts w:hint="eastAsia" w:ascii="Times New Roman" w:hAnsi="Times New Roman"/>
          <w:sz w:val="24"/>
          <w:lang w:val="en-US" w:eastAsia="zh-CN"/>
        </w:rPr>
        <w:t xml:space="preserve"> </w:t>
      </w:r>
      <w:r>
        <w:rPr>
          <w:rFonts w:hint="default" w:ascii="Times New Roman" w:hAnsi="Times New Roman"/>
          <w:sz w:val="24"/>
          <w:lang w:val="en-US" w:eastAsia="zh-CN"/>
        </w:rPr>
        <w:t>updating)：当未能匹配且调用LLM生成了新模板时，LILAC会计算新模板与缓存中相关模板的相似度。若高度相似，则认为可能出现了LLM输出不一致的问题，进而自适应地融合和修复缓存中的相关模板；若相似度低，则作为新模板插入缓存。</w:t>
      </w:r>
    </w:p>
    <w:p w14:paraId="6C437D8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sz w:val="21"/>
          <w:szCs w:val="21"/>
          <w:lang w:val="en-US" w:eastAsia="zh-CN"/>
        </w:rPr>
      </w:pPr>
      <w:r>
        <w:rPr>
          <w:rFonts w:hint="eastAsia" w:ascii="Times New Roman" w:hAnsi="Times New Roman"/>
          <w:sz w:val="21"/>
          <w:szCs w:val="21"/>
          <w:lang w:val="en-US" w:eastAsia="zh-CN"/>
        </w:rPr>
        <w:t>Case1成功匹配</w:t>
      </w:r>
    </w:p>
    <w:p w14:paraId="6418C45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sz w:val="21"/>
          <w:szCs w:val="21"/>
          <w:lang w:val="en-US" w:eastAsia="zh-CN"/>
        </w:rPr>
      </w:pPr>
      <w:r>
        <w:rPr>
          <w:rFonts w:hint="eastAsia" w:ascii="Times New Roman" w:hAnsi="Times New Roman"/>
          <w:sz w:val="21"/>
          <w:szCs w:val="21"/>
          <w:lang w:val="en-US" w:eastAsia="zh-CN"/>
        </w:rPr>
        <w:t>Case2新模板</w:t>
      </w:r>
    </w:p>
    <w:p w14:paraId="537CD33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sz w:val="21"/>
          <w:szCs w:val="21"/>
          <w:lang w:val="en-US" w:eastAsia="zh-CN"/>
        </w:rPr>
      </w:pPr>
      <w:r>
        <w:rPr>
          <w:rFonts w:hint="eastAsia" w:ascii="Times New Roman" w:hAnsi="Times New Roman"/>
          <w:sz w:val="21"/>
          <w:szCs w:val="21"/>
          <w:lang w:val="en-US" w:eastAsia="zh-CN"/>
        </w:rPr>
        <w:t>Case3修正，由于LLM 两次输出不一致导致了微小语意偏差，解决输出结果不一致</w:t>
      </w:r>
    </w:p>
    <w:p w14:paraId="47FB295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sz w:val="24"/>
          <w:lang w:val="en-US" w:eastAsia="zh-CN"/>
        </w:rPr>
      </w:pPr>
    </w:p>
    <w:p w14:paraId="0234A3F7">
      <w:pPr>
        <w:rPr>
          <w:rFonts w:ascii="Times New Roman" w:hAnsi="Times New Roman"/>
          <w:sz w:val="24"/>
        </w:rPr>
      </w:pPr>
    </w:p>
    <w:p w14:paraId="79379CD9">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24"/>
        </w:rPr>
      </w:pPr>
      <w:r>
        <w:rPr>
          <w:rFonts w:hint="eastAsia" w:ascii="Times New Roman" w:hAnsi="Times New Roman"/>
          <w:sz w:val="32"/>
          <w:szCs w:val="32"/>
          <w:lang w:val="en-US" w:eastAsia="zh-CN"/>
        </w:rPr>
        <w:t>ULog: Unsupervised Log Parsing with Large Language Models through Log Contrastive Units</w:t>
      </w:r>
    </w:p>
    <w:p w14:paraId="4A9BCA1F">
      <w:pPr>
        <w:rPr>
          <w:rFonts w:ascii="Times New Roman" w:hAnsi="Times New Roman"/>
          <w:sz w:val="24"/>
        </w:rPr>
      </w:pPr>
      <w:r>
        <w:rPr>
          <w:rFonts w:hint="eastAsia" w:ascii="Times New Roman" w:hAnsi="Times New Roman"/>
          <w:sz w:val="24"/>
        </w:rPr>
        <w:t>No More Labelled Examples? An Unsupervised Log Parser with LLMs. FSE, 2025.</w:t>
      </w:r>
    </w:p>
    <w:p w14:paraId="46CBE77D">
      <w:pPr>
        <w:rPr>
          <w:rFonts w:ascii="Times New Roman" w:hAnsi="Times New Roman"/>
          <w:sz w:val="24"/>
        </w:rPr>
      </w:pPr>
      <w:r>
        <w:drawing>
          <wp:inline distT="0" distB="0" distL="114300" distR="114300">
            <wp:extent cx="5267960" cy="1796415"/>
            <wp:effectExtent l="0" t="0" r="5080" b="1905"/>
            <wp:docPr id="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pic:cNvPicPr>
                      <a:picLocks noChangeAspect="1"/>
                    </pic:cNvPicPr>
                  </pic:nvPicPr>
                  <pic:blipFill>
                    <a:blip r:embed="rId16"/>
                    <a:stretch>
                      <a:fillRect/>
                    </a:stretch>
                  </pic:blipFill>
                  <pic:spPr>
                    <a:xfrm>
                      <a:off x="0" y="0"/>
                      <a:ext cx="5267960" cy="1796415"/>
                    </a:xfrm>
                    <a:prstGeom prst="rect">
                      <a:avLst/>
                    </a:prstGeom>
                    <a:noFill/>
                    <a:ln>
                      <a:noFill/>
                    </a:ln>
                  </pic:spPr>
                </pic:pic>
              </a:graphicData>
            </a:graphic>
          </wp:inline>
        </w:drawing>
      </w:r>
    </w:p>
    <w:p w14:paraId="49B21DDC">
      <w:pPr>
        <w:rPr>
          <w:rFonts w:ascii="Times New Roman" w:hAnsi="Times New Roman"/>
          <w:sz w:val="24"/>
        </w:rPr>
      </w:pPr>
    </w:p>
    <w:p w14:paraId="4C6F2FB3">
      <w:pPr>
        <w:rPr>
          <w:rFonts w:ascii="Times New Roman" w:hAnsi="Times New Roman"/>
          <w:sz w:val="24"/>
        </w:rPr>
      </w:pPr>
    </w:p>
    <w:p w14:paraId="20C9D053">
      <w:pPr>
        <w:rPr>
          <w:rFonts w:ascii="Times New Roman" w:hAnsi="Times New Roman"/>
          <w:sz w:val="24"/>
        </w:rPr>
      </w:pPr>
    </w:p>
    <w:p w14:paraId="5F9FD5C7">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b/>
          <w:bCs/>
          <w:sz w:val="32"/>
          <w:szCs w:val="32"/>
          <w:lang w:val="en-US" w:eastAsia="zh-CN"/>
        </w:rPr>
      </w:pPr>
      <w:r>
        <w:rPr>
          <w:rFonts w:hint="eastAsia" w:ascii="Times New Roman" w:hAnsi="Times New Roman"/>
          <w:b/>
          <w:bCs/>
          <w:sz w:val="32"/>
          <w:szCs w:val="32"/>
          <w:lang w:val="en-US" w:eastAsia="zh-CN"/>
        </w:rPr>
        <w:t>日志生成与插桩</w:t>
      </w:r>
    </w:p>
    <w:p w14:paraId="5330713B">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24"/>
        </w:rPr>
      </w:pPr>
      <w:r>
        <w:rPr>
          <w:rFonts w:hint="eastAsia" w:ascii="Times New Roman" w:hAnsi="Times New Roman"/>
          <w:sz w:val="32"/>
          <w:szCs w:val="32"/>
          <w:lang w:val="en-US" w:eastAsia="zh-CN"/>
        </w:rPr>
        <w:t xml:space="preserve">AutoLog: A Log Sequence Synthesis Framework for Anomaly Detection </w:t>
      </w:r>
    </w:p>
    <w:p w14:paraId="37BFCE64">
      <w:pPr>
        <w:rPr>
          <w:rFonts w:ascii="Times New Roman" w:hAnsi="Times New Roman"/>
          <w:sz w:val="24"/>
        </w:rPr>
      </w:pPr>
      <w:r>
        <w:rPr>
          <w:rFonts w:hint="eastAsia" w:ascii="Times New Roman" w:hAnsi="Times New Roman"/>
          <w:sz w:val="24"/>
        </w:rPr>
        <w:t xml:space="preserve">AutoLog: A Log Sequence Synthesis Framework for Anomaly Detection </w:t>
      </w:r>
      <w:r>
        <w:rPr>
          <w:rFonts w:hint="eastAsia" w:ascii="Times New Roman" w:hAnsi="Times New Roman"/>
          <w:sz w:val="24"/>
          <w:lang w:val="en-US" w:eastAsia="zh-CN"/>
        </w:rPr>
        <w:t>.</w:t>
      </w:r>
      <w:r>
        <w:rPr>
          <w:rFonts w:hint="eastAsia" w:ascii="Times New Roman" w:hAnsi="Times New Roman"/>
          <w:sz w:val="24"/>
        </w:rPr>
        <w:t>ASE</w:t>
      </w:r>
      <w:r>
        <w:rPr>
          <w:rFonts w:hint="eastAsia" w:ascii="Times New Roman" w:hAnsi="Times New Roman"/>
          <w:sz w:val="24"/>
          <w:lang w:val="en-US" w:eastAsia="zh-CN"/>
        </w:rPr>
        <w:t>,</w:t>
      </w:r>
      <w:r>
        <w:rPr>
          <w:rFonts w:hint="eastAsia" w:ascii="Times New Roman" w:hAnsi="Times New Roman"/>
          <w:sz w:val="24"/>
        </w:rPr>
        <w:t xml:space="preserve"> 2023</w:t>
      </w:r>
    </w:p>
    <w:p w14:paraId="01E91803">
      <w:pPr>
        <w:rPr>
          <w:rFonts w:ascii="Times New Roman" w:hAnsi="Times New Roman"/>
          <w:sz w:val="24"/>
        </w:rPr>
      </w:pPr>
      <w:r>
        <w:drawing>
          <wp:inline distT="0" distB="0" distL="114300" distR="114300">
            <wp:extent cx="5271135" cy="1798320"/>
            <wp:effectExtent l="0" t="0" r="1905" b="0"/>
            <wp:docPr id="1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1"/>
                    <pic:cNvPicPr>
                      <a:picLocks noChangeAspect="1"/>
                    </pic:cNvPicPr>
                  </pic:nvPicPr>
                  <pic:blipFill>
                    <a:blip r:embed="rId17"/>
                    <a:stretch>
                      <a:fillRect/>
                    </a:stretch>
                  </pic:blipFill>
                  <pic:spPr>
                    <a:xfrm>
                      <a:off x="0" y="0"/>
                      <a:ext cx="5271135" cy="1798320"/>
                    </a:xfrm>
                    <a:prstGeom prst="rect">
                      <a:avLst/>
                    </a:prstGeom>
                    <a:noFill/>
                    <a:ln>
                      <a:noFill/>
                    </a:ln>
                  </pic:spPr>
                </pic:pic>
              </a:graphicData>
            </a:graphic>
          </wp:inline>
        </w:drawing>
      </w:r>
    </w:p>
    <w:p w14:paraId="4739FB8E">
      <w:pPr>
        <w:rPr>
          <w:rFonts w:ascii="Times New Roman" w:hAnsi="Times New Roman"/>
          <w:sz w:val="24"/>
        </w:rPr>
      </w:pPr>
      <w:r>
        <w:rPr>
          <w:rFonts w:hint="eastAsia" w:ascii="Times New Roman" w:hAnsi="Times New Roman"/>
          <w:sz w:val="24"/>
        </w:rPr>
        <w:t>AutoLog</w:t>
      </w:r>
      <w:r>
        <w:rPr>
          <w:rFonts w:hint="eastAsia" w:ascii="Times New Roman" w:hAnsi="Times New Roman"/>
          <w:sz w:val="24"/>
          <w:lang w:eastAsia="zh-CN"/>
        </w:rPr>
        <w:t>_</w:t>
      </w:r>
      <w:r>
        <w:rPr>
          <w:rFonts w:hint="eastAsia" w:ascii="Times New Roman" w:hAnsi="Times New Roman"/>
          <w:sz w:val="24"/>
        </w:rPr>
        <w:t>A</w:t>
      </w:r>
      <w:r>
        <w:rPr>
          <w:rFonts w:hint="eastAsia" w:ascii="Times New Roman" w:hAnsi="Times New Roman"/>
          <w:sz w:val="24"/>
          <w:lang w:eastAsia="zh-CN"/>
        </w:rPr>
        <w:t>_</w:t>
      </w:r>
      <w:r>
        <w:rPr>
          <w:rFonts w:hint="eastAsia" w:ascii="Times New Roman" w:hAnsi="Times New Roman"/>
          <w:sz w:val="24"/>
        </w:rPr>
        <w:t>Log</w:t>
      </w:r>
      <w:r>
        <w:rPr>
          <w:rFonts w:hint="eastAsia" w:ascii="Times New Roman" w:hAnsi="Times New Roman"/>
          <w:sz w:val="24"/>
          <w:lang w:eastAsia="zh-CN"/>
        </w:rPr>
        <w:t>_</w:t>
      </w:r>
      <w:r>
        <w:rPr>
          <w:rFonts w:hint="eastAsia" w:ascii="Times New Roman" w:hAnsi="Times New Roman"/>
          <w:sz w:val="24"/>
        </w:rPr>
        <w:t>Sequence</w:t>
      </w:r>
      <w:r>
        <w:rPr>
          <w:rFonts w:hint="eastAsia" w:ascii="Times New Roman" w:hAnsi="Times New Roman"/>
          <w:sz w:val="24"/>
          <w:lang w:eastAsia="zh-CN"/>
        </w:rPr>
        <w:t>_</w:t>
      </w:r>
      <w:r>
        <w:rPr>
          <w:rFonts w:hint="eastAsia" w:ascii="Times New Roman" w:hAnsi="Times New Roman"/>
          <w:sz w:val="24"/>
        </w:rPr>
        <w:t>Synthesis</w:t>
      </w:r>
      <w:r>
        <w:rPr>
          <w:rFonts w:hint="eastAsia" w:ascii="Times New Roman" w:hAnsi="Times New Roman"/>
          <w:sz w:val="24"/>
          <w:lang w:eastAsia="zh-CN"/>
        </w:rPr>
        <w:t>_</w:t>
      </w:r>
      <w:r>
        <w:rPr>
          <w:rFonts w:hint="eastAsia" w:ascii="Times New Roman" w:hAnsi="Times New Roman"/>
          <w:sz w:val="24"/>
        </w:rPr>
        <w:t>Framework</w:t>
      </w:r>
      <w:r>
        <w:rPr>
          <w:rFonts w:hint="eastAsia" w:ascii="Times New Roman" w:hAnsi="Times New Roman"/>
          <w:sz w:val="24"/>
          <w:lang w:eastAsia="zh-CN"/>
        </w:rPr>
        <w:t>_</w:t>
      </w:r>
      <w:r>
        <w:rPr>
          <w:rFonts w:hint="eastAsia" w:ascii="Times New Roman" w:hAnsi="Times New Roman"/>
          <w:sz w:val="24"/>
        </w:rPr>
        <w:t>for</w:t>
      </w:r>
      <w:r>
        <w:rPr>
          <w:rFonts w:hint="eastAsia" w:ascii="Times New Roman" w:hAnsi="Times New Roman"/>
          <w:sz w:val="24"/>
          <w:lang w:eastAsia="zh-CN"/>
        </w:rPr>
        <w:t>_</w:t>
      </w:r>
      <w:r>
        <w:rPr>
          <w:rFonts w:hint="eastAsia" w:ascii="Times New Roman" w:hAnsi="Times New Roman"/>
          <w:sz w:val="24"/>
        </w:rPr>
        <w:t>Anomaly</w:t>
      </w:r>
      <w:r>
        <w:rPr>
          <w:rFonts w:hint="eastAsia" w:ascii="Times New Roman" w:hAnsi="Times New Roman"/>
          <w:sz w:val="24"/>
          <w:lang w:eastAsia="zh-CN"/>
        </w:rPr>
        <w:t>_</w:t>
      </w:r>
      <w:r>
        <w:rPr>
          <w:rFonts w:hint="eastAsia" w:ascii="Times New Roman" w:hAnsi="Times New Roman"/>
          <w:sz w:val="24"/>
        </w:rPr>
        <w:t>Detection</w:t>
      </w:r>
    </w:p>
    <w:p w14:paraId="35A6A45A">
      <w:pPr>
        <w:rPr>
          <w:rFonts w:ascii="Times New Roman" w:hAnsi="Times New Roman"/>
          <w:sz w:val="24"/>
        </w:rPr>
      </w:pPr>
    </w:p>
    <w:p w14:paraId="093AEEA3">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Go Static: Contextualized Logging Statement Generation</w:t>
      </w:r>
    </w:p>
    <w:p w14:paraId="67C2983F">
      <w:pPr>
        <w:rPr>
          <w:rFonts w:ascii="Times New Roman" w:hAnsi="Times New Roman"/>
          <w:sz w:val="24"/>
        </w:rPr>
      </w:pPr>
      <w:r>
        <w:rPr>
          <w:rFonts w:hint="eastAsia" w:ascii="Times New Roman" w:hAnsi="Times New Roman"/>
          <w:sz w:val="24"/>
        </w:rPr>
        <w:t xml:space="preserve">Go Static: Contextualized Logging Statement Generation </w:t>
      </w:r>
      <w:r>
        <w:rPr>
          <w:rFonts w:hint="eastAsia" w:ascii="Times New Roman" w:hAnsi="Times New Roman"/>
          <w:sz w:val="24"/>
          <w:lang w:val="en-US" w:eastAsia="zh-CN"/>
        </w:rPr>
        <w:t>.</w:t>
      </w:r>
      <w:r>
        <w:rPr>
          <w:rFonts w:hint="eastAsia" w:ascii="Times New Roman" w:hAnsi="Times New Roman"/>
          <w:sz w:val="24"/>
        </w:rPr>
        <w:t>FSE</w:t>
      </w:r>
      <w:r>
        <w:rPr>
          <w:rFonts w:hint="eastAsia" w:ascii="Times New Roman" w:hAnsi="Times New Roman"/>
          <w:sz w:val="24"/>
          <w:lang w:val="en-US" w:eastAsia="zh-CN"/>
        </w:rPr>
        <w:t>,</w:t>
      </w:r>
      <w:r>
        <w:rPr>
          <w:rFonts w:hint="eastAsia" w:ascii="Times New Roman" w:hAnsi="Times New Roman"/>
          <w:sz w:val="24"/>
        </w:rPr>
        <w:t xml:space="preserve"> 2024</w:t>
      </w:r>
    </w:p>
    <w:p w14:paraId="51A4FB83">
      <w:pPr>
        <w:rPr>
          <w:rFonts w:ascii="Times New Roman" w:hAnsi="Times New Roman"/>
          <w:sz w:val="24"/>
        </w:rPr>
      </w:pPr>
    </w:p>
    <w:p w14:paraId="519FD023">
      <w:pPr>
        <w:rPr>
          <w:rFonts w:ascii="Times New Roman" w:hAnsi="Times New Roman"/>
          <w:sz w:val="24"/>
        </w:rPr>
      </w:pPr>
    </w:p>
    <w:p w14:paraId="7F923812">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b/>
          <w:bCs/>
          <w:color w:val="0000FF"/>
          <w:sz w:val="32"/>
          <w:szCs w:val="32"/>
          <w:lang w:val="en-US" w:eastAsia="zh-CN"/>
        </w:rPr>
      </w:pPr>
      <w:r>
        <w:rPr>
          <w:rFonts w:hint="eastAsia" w:ascii="Times New Roman" w:hAnsi="Times New Roman"/>
          <w:b/>
          <w:bCs/>
          <w:color w:val="0000FF"/>
          <w:sz w:val="32"/>
          <w:szCs w:val="32"/>
          <w:lang w:val="en-US" w:eastAsia="zh-CN"/>
        </w:rPr>
        <w:t>LLM 训练架构的日志分析</w:t>
      </w:r>
    </w:p>
    <w:p w14:paraId="482F517D">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L4: Diagnosing Large-scale LLM Training Failures via Automated Log Analysis</w:t>
      </w:r>
    </w:p>
    <w:p w14:paraId="0EB4F91E">
      <w:pPr>
        <w:rPr>
          <w:rFonts w:ascii="Times New Roman" w:hAnsi="Times New Roman"/>
          <w:sz w:val="24"/>
        </w:rPr>
      </w:pPr>
      <w:r>
        <w:rPr>
          <w:rFonts w:hint="eastAsia" w:ascii="Times New Roman" w:hAnsi="Times New Roman"/>
          <w:sz w:val="24"/>
        </w:rPr>
        <w:t xml:space="preserve">L4: Diagnosing Large-scale LLM Training Failures via Automated Log Analysis </w:t>
      </w:r>
      <w:r>
        <w:rPr>
          <w:rFonts w:hint="eastAsia" w:ascii="Times New Roman" w:hAnsi="Times New Roman"/>
          <w:sz w:val="24"/>
          <w:lang w:val="en-US" w:eastAsia="zh-CN"/>
        </w:rPr>
        <w:t>.</w:t>
      </w:r>
      <w:r>
        <w:rPr>
          <w:rFonts w:hint="eastAsia" w:ascii="Times New Roman" w:hAnsi="Times New Roman"/>
          <w:sz w:val="24"/>
        </w:rPr>
        <w:t>ICSE</w:t>
      </w:r>
      <w:r>
        <w:rPr>
          <w:rFonts w:hint="eastAsia" w:ascii="Times New Roman" w:hAnsi="Times New Roman"/>
          <w:sz w:val="24"/>
          <w:lang w:val="en-US" w:eastAsia="zh-CN"/>
        </w:rPr>
        <w:t>,</w:t>
      </w:r>
      <w:r>
        <w:rPr>
          <w:rFonts w:hint="eastAsia" w:ascii="Times New Roman" w:hAnsi="Times New Roman"/>
          <w:sz w:val="24"/>
        </w:rPr>
        <w:t xml:space="preserve"> 2025</w:t>
      </w:r>
    </w:p>
    <w:p w14:paraId="0B46EBB1">
      <w:pPr>
        <w:rPr>
          <w:rFonts w:ascii="Times New Roman" w:hAnsi="Times New Roman"/>
          <w:sz w:val="24"/>
        </w:rPr>
      </w:pPr>
      <w:r>
        <w:drawing>
          <wp:inline distT="0" distB="0" distL="114300" distR="114300">
            <wp:extent cx="5273675" cy="2068195"/>
            <wp:effectExtent l="0" t="0" r="14605" b="4445"/>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stretch>
                      <a:fillRect/>
                    </a:stretch>
                  </pic:blipFill>
                  <pic:spPr>
                    <a:xfrm>
                      <a:off x="0" y="0"/>
                      <a:ext cx="5273675" cy="2068195"/>
                    </a:xfrm>
                    <a:prstGeom prst="rect">
                      <a:avLst/>
                    </a:prstGeom>
                    <a:noFill/>
                    <a:ln>
                      <a:noFill/>
                    </a:ln>
                  </pic:spPr>
                </pic:pic>
              </a:graphicData>
            </a:graphic>
          </wp:inline>
        </w:drawing>
      </w:r>
    </w:p>
    <w:p w14:paraId="7D56C2ED">
      <w:pPr>
        <w:rPr>
          <w:rFonts w:ascii="Times New Roman" w:hAnsi="Times New Roman"/>
          <w:sz w:val="24"/>
        </w:rPr>
      </w:pPr>
    </w:p>
    <w:p w14:paraId="6B3C27EF">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b/>
          <w:bCs/>
          <w:color w:val="0000FF"/>
          <w:sz w:val="32"/>
          <w:szCs w:val="32"/>
          <w:lang w:val="en-US" w:eastAsia="zh-CN"/>
        </w:rPr>
      </w:pPr>
      <w:r>
        <w:rPr>
          <w:rFonts w:hint="eastAsia" w:ascii="Times New Roman" w:hAnsi="Times New Roman"/>
          <w:b/>
          <w:bCs/>
          <w:color w:val="0000FF"/>
          <w:sz w:val="32"/>
          <w:szCs w:val="32"/>
          <w:lang w:val="en-US" w:eastAsia="zh-CN"/>
        </w:rPr>
        <w:t>根因分析</w:t>
      </w:r>
    </w:p>
    <w:p w14:paraId="77D2E95F">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AetherLog: Log-based Root Cause Analysis by Integrating Large Language Models with Knowledge Graphs</w:t>
      </w:r>
    </w:p>
    <w:p w14:paraId="1615C3DB">
      <w:pPr>
        <w:rPr>
          <w:rFonts w:hint="eastAsia" w:ascii="Times New Roman" w:hAnsi="Times New Roman"/>
          <w:sz w:val="24"/>
        </w:rPr>
      </w:pPr>
      <w:r>
        <w:rPr>
          <w:rFonts w:hint="eastAsia" w:ascii="Times New Roman" w:hAnsi="Times New Roman"/>
          <w:sz w:val="24"/>
        </w:rPr>
        <w:t xml:space="preserve">T. Cui et al., "AetherLog: Log-based Root Cause Analysis by Integrating Large Language Models with Knowledge Graphs," 2025 IEEE 36th International Symposium on Software Reliability Engineering (ISSRE), São Paulo, Brazil, 2025, pp. 49-60. </w:t>
      </w:r>
    </w:p>
    <w:p w14:paraId="377AFCC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本文提出了一种名为AetherLog的新型根因分析（RCA）框架，通过协同集成大语言模型（LLM）与知识图谱（KG）来解决大规模软件系统的故障定位问题。</w:t>
      </w:r>
    </w:p>
    <w:p w14:paraId="7B57AB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在离线阶段，该框架利用LLM提取实体与关系，并通过聚类构建无冗余的KG。</w:t>
      </w:r>
    </w:p>
    <w:p w14:paraId="7FC0E3D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在在线推理阶段，系统利用LLM生成日志摘要，召回相关的KG实体作为上下文补充，从而引导LLM进行更准确的根因推理。</w:t>
      </w:r>
    </w:p>
    <w:p w14:paraId="71F59C1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核心创新点：提出了“语义实体聚合机制”以消除KG节点同义词冗余，以及“上下文感知的实体召回机制”来提升在线大模型推理的准确率与覆盖率</w:t>
      </w:r>
    </w:p>
    <w:p w14:paraId="546F9FA2">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b/>
          <w:bCs/>
          <w:sz w:val="28"/>
          <w:szCs w:val="28"/>
          <w:lang w:val="en-US" w:eastAsia="zh-CN"/>
        </w:rPr>
      </w:pPr>
      <w:r>
        <w:rPr>
          <w:rFonts w:hint="eastAsia" w:ascii="Times New Roman" w:hAnsi="Times New Roman"/>
          <w:b/>
          <w:bCs/>
          <w:sz w:val="28"/>
          <w:szCs w:val="28"/>
          <w:lang w:val="en-US" w:eastAsia="zh-CN"/>
        </w:rPr>
        <w:t>痛点</w:t>
      </w:r>
    </w:p>
    <w:p w14:paraId="43B651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基于小模型（SLM）或纯规则构建KG的方法：对未知故障泛化能力差，规则覆盖率低，且面对系统演进时需要极高的手动维护成本。</w:t>
      </w:r>
    </w:p>
    <w:p w14:paraId="0637A2A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纯基于LLM的方法：虽然具备强大的语义理解力，但由于缺乏系统底层运行机制的领域先验知识，极易产生“幻觉”。同时，受限于有限的时间视野，大模型往往只关注距离崩溃最近的日志（如“软死锁”），而忽略了时间线上更早的真正触发器（如“超时”）。</w:t>
      </w:r>
    </w:p>
    <w:p w14:paraId="190EA58B">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b/>
          <w:bCs/>
          <w:sz w:val="28"/>
          <w:szCs w:val="28"/>
          <w:lang w:val="en-US" w:eastAsia="zh-CN"/>
        </w:rPr>
      </w:pPr>
      <w:r>
        <w:rPr>
          <w:rFonts w:hint="eastAsia" w:ascii="Times New Roman" w:hAnsi="Times New Roman"/>
          <w:b/>
          <w:bCs/>
          <w:sz w:val="28"/>
          <w:szCs w:val="28"/>
          <w:lang w:val="en-US" w:eastAsia="zh-CN"/>
        </w:rPr>
        <w:t>核心架构</w:t>
      </w:r>
    </w:p>
    <w:p w14:paraId="572A37A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提出离线语义实体聚合机制：通过结合LLM提取、特定领域词嵌入（BigLog）以及基于密度的DBSCAN聚类算法，消除实体冗余，构建紧凑且语义对齐的知识图谱。</w:t>
      </w:r>
    </w:p>
    <w:p w14:paraId="32B82A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引入在线上下文感知实体召回机制：利用LLM生成日志摘要并提取实体，随后基于余弦相似度从知识图谱中检索相关节点，以此构建增强提示词以提升RCA的准确率与覆盖率。</w:t>
      </w:r>
    </w:p>
    <w:p w14:paraId="029EB6C6">
      <w:pPr>
        <w:keepNext w:val="0"/>
        <w:keepLines w:val="0"/>
        <w:pageBreakBefore w:val="0"/>
        <w:widowControl w:val="0"/>
        <w:kinsoku/>
        <w:wordWrap/>
        <w:overflowPunct/>
        <w:topLinePunct w:val="0"/>
        <w:autoSpaceDE/>
        <w:autoSpaceDN/>
        <w:bidi w:val="0"/>
        <w:adjustRightInd/>
        <w:snapToGrid/>
        <w:jc w:val="center"/>
        <w:textAlignment w:val="auto"/>
      </w:pPr>
    </w:p>
    <w:p w14:paraId="0E1403D0">
      <w:pPr>
        <w:keepNext w:val="0"/>
        <w:keepLines w:val="0"/>
        <w:pageBreakBefore w:val="0"/>
        <w:widowControl w:val="0"/>
        <w:kinsoku/>
        <w:wordWrap/>
        <w:overflowPunct/>
        <w:topLinePunct w:val="0"/>
        <w:autoSpaceDE/>
        <w:autoSpaceDN/>
        <w:bidi w:val="0"/>
        <w:adjustRightInd/>
        <w:snapToGrid/>
        <w:jc w:val="center"/>
        <w:textAlignment w:val="auto"/>
        <w:rPr>
          <w:rFonts w:hint="eastAsia" w:ascii="Times New Roman" w:hAnsi="Times New Roman"/>
          <w:b/>
          <w:bCs/>
          <w:sz w:val="24"/>
          <w:lang w:val="en-US" w:eastAsia="zh-CN"/>
        </w:rPr>
      </w:pPr>
      <w:r>
        <w:drawing>
          <wp:inline distT="0" distB="0" distL="114300" distR="114300">
            <wp:extent cx="3432175" cy="3344545"/>
            <wp:effectExtent l="0" t="0" r="9525"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9"/>
                    <a:stretch>
                      <a:fillRect/>
                    </a:stretch>
                  </pic:blipFill>
                  <pic:spPr>
                    <a:xfrm>
                      <a:off x="0" y="0"/>
                      <a:ext cx="3432175" cy="3344545"/>
                    </a:xfrm>
                    <a:prstGeom prst="rect">
                      <a:avLst/>
                    </a:prstGeom>
                    <a:noFill/>
                    <a:ln>
                      <a:noFill/>
                    </a:ln>
                  </pic:spPr>
                </pic:pic>
              </a:graphicData>
            </a:graphic>
          </wp:inline>
        </w:drawing>
      </w:r>
    </w:p>
    <w:p w14:paraId="2A5870A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r>
        <w:rPr>
          <w:rFonts w:hint="eastAsia" w:ascii="Times New Roman" w:hAnsi="Times New Roman"/>
          <w:b/>
          <w:bCs/>
          <w:sz w:val="24"/>
          <w:lang w:val="en-US" w:eastAsia="zh-CN"/>
        </w:rPr>
        <w:t>离线流水线（5步构建离线图谱）：</w:t>
      </w:r>
    </w:p>
    <w:p w14:paraId="443F9B5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LLM实体/关系抽取（三种prompting策略并用：Zero-shot/Few-shot/CoT）</w:t>
      </w:r>
    </w:p>
    <w:p w14:paraId="12A58EB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BigLog（专为日志预训练的语言模型）嵌入实体</w:t>
      </w:r>
    </w:p>
    <w:p w14:paraId="27DD274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DBSCAN密度聚类合并语义等价的实体（消除冗余）</w:t>
      </w:r>
    </w:p>
    <w:p w14:paraId="641E330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实体归一化（选取簇内嵌入质心作为代表实体）</w:t>
      </w:r>
    </w:p>
    <w:p w14:paraId="2B7F348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冗余消减→Neo4j图数据库持久化</w:t>
      </w:r>
    </w:p>
    <w:p w14:paraId="2D6696B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r>
        <w:rPr>
          <w:rFonts w:hint="eastAsia" w:ascii="Times New Roman" w:hAnsi="Times New Roman"/>
          <w:b/>
          <w:bCs/>
          <w:sz w:val="24"/>
          <w:lang w:val="en-US" w:eastAsia="zh-CN"/>
        </w:rPr>
        <w:t>在线流水线（3步在线实时推理）：</w:t>
      </w:r>
    </w:p>
    <w:p w14:paraId="4D1FC7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LLM日志摘要（zero-shot，压缩噪声日志为因果摘要）</w:t>
      </w:r>
    </w:p>
    <w:p w14:paraId="29482D8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实体提取+嵌入→Top-K（K=3）余弦相似检索KG节点</w:t>
      </w:r>
    </w:p>
    <w:p w14:paraId="48CE4A3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构建context-enhanced prompt→LLM推断根因（高相似度复用历史，低相似度推理新根因+动态KG扩展）</w:t>
      </w:r>
    </w:p>
    <w:p w14:paraId="0621D21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p>
    <w:p w14:paraId="52968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知识图谱的作用：</w:t>
      </w:r>
    </w:p>
    <w:p w14:paraId="6F1DF2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（1）提供先验知识规则库</w:t>
      </w:r>
    </w:p>
    <w:p w14:paraId="4AD61C2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（2）作为外部上下文补充给大模型，形成上下文增强提示</w:t>
      </w:r>
    </w:p>
    <w:p w14:paraId="756830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（3）图结构，辅助推理，准确定位根因，输出包含清晰事件链接的可解释性诊断路径</w:t>
      </w:r>
    </w:p>
    <w:p w14:paraId="301E3E6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LLM的作用：</w:t>
      </w:r>
    </w:p>
    <w:p w14:paraId="4393A21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（1）替代人工提取实体和边</w:t>
      </w:r>
    </w:p>
    <w:p w14:paraId="4A6A67A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（2）降噪与摘要生成</w:t>
      </w:r>
    </w:p>
    <w:p w14:paraId="2185518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b w:val="0"/>
          <w:bCs w:val="0"/>
          <w:sz w:val="24"/>
          <w:lang w:val="en-US" w:eastAsia="zh-CN"/>
        </w:rPr>
      </w:pPr>
      <w:r>
        <w:rPr>
          <w:rFonts w:hint="eastAsia" w:ascii="Times New Roman" w:hAnsi="Times New Roman"/>
          <w:b w:val="0"/>
          <w:bCs w:val="0"/>
          <w:sz w:val="24"/>
          <w:lang w:val="en-US" w:eastAsia="zh-CN"/>
        </w:rPr>
        <w:t>（3）意图转换与最终推理：大模型首先从生成的摘要中提取出查询实体。在从图谱中召回最相关的上下文后，系统利用思维链（CoT）提示策略引导大模型进行逻辑推理。如果检索匹配度高，大模型顺藤摸瓜找到图谱中已有的根因；如果匹配分数低，大模型则利用强大的泛化能力，结合故障上下文推断出新的根因，并提取新的知识三元组反哺知识图谱，实现系统的自我进化。</w:t>
      </w:r>
    </w:p>
    <w:p w14:paraId="38A9361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p>
    <w:p w14:paraId="6A2DC10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p>
    <w:p w14:paraId="42017FA4">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b w:val="0"/>
          <w:bCs w:val="0"/>
          <w:sz w:val="21"/>
          <w:szCs w:val="21"/>
          <w:lang w:val="en-US" w:eastAsia="zh-CN"/>
        </w:rPr>
      </w:pPr>
      <w:r>
        <w:rPr>
          <w:rFonts w:hint="eastAsia" w:ascii="Times New Roman" w:hAnsi="Times New Roman"/>
          <w:b w:val="0"/>
          <w:bCs w:val="0"/>
          <w:sz w:val="21"/>
          <w:szCs w:val="21"/>
          <w:lang w:val="en-US" w:eastAsia="zh-CN"/>
        </w:rPr>
        <w:t>一些细节：</w:t>
      </w:r>
    </w:p>
    <w:p w14:paraId="035E962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r>
        <w:rPr>
          <w:rFonts w:hint="eastAsia" w:ascii="Times New Roman" w:hAnsi="Times New Roman"/>
          <w:b w:val="0"/>
          <w:bCs w:val="0"/>
          <w:sz w:val="21"/>
          <w:szCs w:val="21"/>
          <w:lang w:val="en-US" w:eastAsia="zh-CN"/>
        </w:rPr>
        <w:t>在论文的离线知识图谱构建阶段（实体聚类），DBSCAN算法的两个核心参数是基于严格的定量测试与几何分析方法来设定的：</w:t>
      </w:r>
    </w:p>
    <w:p w14:paraId="69F20BF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r>
        <w:rPr>
          <w:rFonts w:hint="eastAsia" w:ascii="Times New Roman" w:hAnsi="Times New Roman"/>
          <w:b w:val="0"/>
          <w:bCs w:val="0"/>
          <w:sz w:val="21"/>
          <w:szCs w:val="21"/>
          <w:lang w:val="en-US" w:eastAsia="zh-CN"/>
        </w:rPr>
        <w:t>MinPts（最小样本数）的依据——网格搜索与聚类质量评估：作者将邻域半径ε固定，在2到10的范围内对MinPts进行了系列实验验证。为了客观评判聚类效果，他们引入了三个评价指标：簇内密度（intra-cluster density）、噪声率（noise ratio）以及轮廓系数（silhouette score）。综合这些指标的实验结果表明，将</w:t>
      </w:r>
      <w:r>
        <w:rPr>
          <w:rFonts w:hint="eastAsia" w:ascii="Times New Roman" w:hAnsi="Times New Roman"/>
          <w:b w:val="0"/>
          <w:bCs w:val="0"/>
          <w:sz w:val="21"/>
          <w:szCs w:val="21"/>
          <w:u w:val="single"/>
          <w:lang w:val="en-US" w:eastAsia="zh-CN"/>
        </w:rPr>
        <w:t>MinPts设置为3时</w:t>
      </w:r>
      <w:r>
        <w:rPr>
          <w:rFonts w:hint="eastAsia" w:ascii="Times New Roman" w:hAnsi="Times New Roman"/>
          <w:b w:val="0"/>
          <w:bCs w:val="0"/>
          <w:sz w:val="21"/>
          <w:szCs w:val="21"/>
          <w:lang w:val="en-US" w:eastAsia="zh-CN"/>
        </w:rPr>
        <w:t>，能够在提取有意义的语义实体簇与抑制无用噪声之间达到最佳平衡。</w:t>
      </w:r>
    </w:p>
    <w:p w14:paraId="40D5CD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r>
        <w:rPr>
          <w:rFonts w:hint="eastAsia" w:ascii="Times New Roman" w:hAnsi="Times New Roman"/>
          <w:b w:val="0"/>
          <w:bCs w:val="0"/>
          <w:sz w:val="21"/>
          <w:szCs w:val="21"/>
          <w:lang w:val="en-US" w:eastAsia="zh-CN"/>
        </w:rPr>
        <w:t>ε（邻域半径）的依据——K-距离图法（k-distance graph method）：为了确定一个点要离多近才能算作“邻居”，作者计算了每个数据点到其第MinPts个（也就是第3个）最近邻点的距离。接着，将这些距离按升序排列绘制成图，并利用经典的启发式方法寻找图上的“肘部”点（"elbow"point，即曲线斜率发生急剧变化的拐点）。基于这一分析，最终选定</w:t>
      </w:r>
      <w:r>
        <w:rPr>
          <w:rFonts w:hint="eastAsia" w:ascii="Times New Roman" w:hAnsi="Times New Roman"/>
          <w:b w:val="0"/>
          <w:bCs w:val="0"/>
          <w:sz w:val="21"/>
          <w:szCs w:val="21"/>
          <w:u w:val="single"/>
          <w:lang w:val="en-US" w:eastAsia="zh-CN"/>
        </w:rPr>
        <w:t>ε=0.5</w:t>
      </w:r>
      <w:r>
        <w:rPr>
          <w:rFonts w:hint="eastAsia" w:ascii="Times New Roman" w:hAnsi="Times New Roman"/>
          <w:b w:val="0"/>
          <w:bCs w:val="0"/>
          <w:sz w:val="21"/>
          <w:szCs w:val="21"/>
          <w:lang w:val="en-US" w:eastAsia="zh-CN"/>
        </w:rPr>
        <w:t>，该取值能有效捕获日志语义的密集区域，同时最大限度地减少异常值的干扰。</w:t>
      </w:r>
    </w:p>
    <w:p w14:paraId="73262B12">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p>
    <w:p w14:paraId="7A0B180A">
      <w:pPr>
        <w:keepNext w:val="0"/>
        <w:keepLines w:val="0"/>
        <w:pageBreakBefore w:val="0"/>
        <w:widowControl w:val="0"/>
        <w:kinsoku/>
        <w:wordWrap/>
        <w:overflowPunct/>
        <w:topLinePunct w:val="0"/>
        <w:autoSpaceDE/>
        <w:autoSpaceDN/>
        <w:bidi w:val="0"/>
        <w:adjustRightInd/>
        <w:snapToGrid/>
        <w:textAlignment w:val="auto"/>
        <w:outlineLvl w:val="1"/>
        <w:rPr>
          <w:rFonts w:hint="default" w:ascii="Times New Roman" w:hAnsi="Times New Roman"/>
          <w:b w:val="0"/>
          <w:bCs w:val="0"/>
          <w:sz w:val="24"/>
          <w:lang w:val="en-US" w:eastAsia="zh-CN"/>
        </w:rPr>
      </w:pPr>
      <w:r>
        <w:rPr>
          <w:rFonts w:hint="eastAsia" w:ascii="Times New Roman" w:hAnsi="Times New Roman"/>
          <w:b/>
          <w:bCs/>
          <w:sz w:val="28"/>
          <w:szCs w:val="28"/>
          <w:lang w:val="en-US" w:eastAsia="zh-CN"/>
        </w:rPr>
        <w:t>缺点</w:t>
      </w:r>
    </w:p>
    <w:p w14:paraId="2C9FBC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潜在缺点：虽然构建了图谱，但图谱中的边（如causes,leads_to）是静态的，缺乏时间维度的衰减属性。而在真实系统中，日志间的因果强度是随着时间间隔动态变化的。</w:t>
      </w:r>
    </w:p>
    <w:p w14:paraId="0306700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图谱演进与防毒问题：当在线运行的LLM推理出新的知识三元组并准备写入KG时，如何防止大模型的“幻觉污染”现有高质量的离线图谱？系统缺乏明确的冲突仲裁机制。</w:t>
      </w:r>
    </w:p>
    <w:p w14:paraId="3F062D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r>
        <w:rPr>
          <w:rFonts w:hint="eastAsia" w:ascii="Times New Roman" w:hAnsi="Times New Roman"/>
          <w:b w:val="0"/>
          <w:bCs w:val="0"/>
          <w:sz w:val="24"/>
          <w:lang w:val="en-US" w:eastAsia="zh-CN"/>
        </w:rPr>
        <w:t>短视召回漏洞：在线匹配时硬性截断检索池（设定K=3）。如果某个深层逻辑漏洞涉及长达5个以上的核心异常组件，限制Top-3召回是否会导致长因果链被生硬切断？</w:t>
      </w:r>
    </w:p>
    <w:p w14:paraId="3F74E8E9">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r>
        <w:rPr>
          <w:rFonts w:hint="eastAsia" w:ascii="Times New Roman" w:hAnsi="Times New Roman"/>
          <w:b w:val="0"/>
          <w:bCs w:val="0"/>
          <w:sz w:val="21"/>
          <w:szCs w:val="21"/>
          <w:lang w:val="en-US" w:eastAsia="zh-CN"/>
        </w:rPr>
        <w:t>改进方向：引入动态加权机制。在召回阶段不仅仅依赖基于语义的余弦相似度，可以将时间窗口距离（Temporal Distance）作为惩罚/增益项融入相似度计算公式中，使得与当前故障发生时间更匹配的历史知识获得更高的召回权重。</w:t>
      </w:r>
    </w:p>
    <w:p w14:paraId="5F5B465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p>
    <w:p w14:paraId="74ED6B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p>
    <w:p w14:paraId="78B37068">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color w:val="C00000"/>
          <w:sz w:val="32"/>
          <w:szCs w:val="32"/>
          <w:lang w:val="en-US" w:eastAsia="zh-CN"/>
        </w:rPr>
      </w:pPr>
      <w:r>
        <w:rPr>
          <w:rFonts w:hint="eastAsia" w:ascii="Times New Roman" w:hAnsi="Times New Roman"/>
          <w:color w:val="C00000"/>
          <w:sz w:val="32"/>
          <w:szCs w:val="32"/>
          <w:lang w:val="en-US" w:eastAsia="zh-CN"/>
        </w:rPr>
        <w:t>基于强化学习的在线日志异常检测</w:t>
      </w:r>
    </w:p>
    <w:p w14:paraId="37EB0D22">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default" w:ascii="Times New Roman" w:hAnsi="Times New Roman"/>
          <w:sz w:val="32"/>
          <w:szCs w:val="32"/>
          <w:lang w:val="en-US" w:eastAsia="zh-CN"/>
        </w:rPr>
        <w:t>DRLLog: Deep Reinforcement Learning for Online Log Anomaly Detection</w:t>
      </w:r>
    </w:p>
    <w:p w14:paraId="74F43DF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b w:val="0"/>
          <w:bCs w:val="0"/>
          <w:sz w:val="21"/>
          <w:szCs w:val="21"/>
          <w:lang w:val="en-US" w:eastAsia="zh-CN"/>
        </w:rPr>
      </w:pPr>
    </w:p>
    <w:p w14:paraId="7B0EF07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imes New Roman" w:hAnsi="Times New Roman"/>
          <w:b w:val="0"/>
          <w:bCs w:val="0"/>
          <w:sz w:val="24"/>
          <w:lang w:val="en-US" w:eastAsia="zh-CN"/>
        </w:rPr>
      </w:pPr>
    </w:p>
    <w:p w14:paraId="5D19AE87">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p>
    <w:p w14:paraId="6708A1A9">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R-Log: Incentivizing Log Analysis Capability in LLMs via Reasoning-based Reinforcement Learning</w:t>
      </w:r>
    </w:p>
    <w:p w14:paraId="3912D8D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p>
    <w:p w14:paraId="07EC7001">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p>
    <w:p w14:paraId="0DF38DA9">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b w:val="0"/>
          <w:bCs w:val="0"/>
          <w:sz w:val="24"/>
          <w:lang w:val="en-US" w:eastAsia="zh-CN"/>
        </w:rPr>
      </w:pPr>
    </w:p>
    <w:p w14:paraId="50B154CD">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RationAnomaly: Log Anomaly Detection with Rationality via Chain-of-Thought and Reinforcement Learning</w:t>
      </w:r>
    </w:p>
    <w:p w14:paraId="40BFB9A6">
      <w:pPr>
        <w:rPr>
          <w:rFonts w:ascii="Times New Roman" w:hAnsi="Times New Roman"/>
          <w:sz w:val="24"/>
        </w:rPr>
      </w:pPr>
    </w:p>
    <w:p w14:paraId="05BCEBDA">
      <w:pPr>
        <w:rPr>
          <w:rFonts w:ascii="Times New Roman" w:hAnsi="Times New Roman"/>
          <w:sz w:val="24"/>
        </w:rPr>
      </w:pPr>
    </w:p>
    <w:p w14:paraId="283CD863">
      <w:pPr>
        <w:rPr>
          <w:rFonts w:ascii="Times New Roman" w:hAnsi="Times New Roman"/>
          <w:sz w:val="24"/>
        </w:rPr>
      </w:pPr>
    </w:p>
    <w:p w14:paraId="51303C7B">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bookmarkStart w:id="0" w:name="_GoBack"/>
      <w:r>
        <w:rPr>
          <w:rFonts w:hint="eastAsia" w:ascii="Times New Roman" w:hAnsi="Times New Roman"/>
          <w:sz w:val="32"/>
          <w:szCs w:val="32"/>
          <w:lang w:val="en-US" w:eastAsia="zh-CN"/>
        </w:rPr>
        <w:t>OpenRCA</w:t>
      </w:r>
    </w:p>
    <w:bookmarkEnd w:id="0"/>
    <w:p w14:paraId="7A4D0366">
      <w:pPr>
        <w:rPr>
          <w:rFonts w:ascii="Times New Roman" w:hAnsi="Times New Roman"/>
          <w:sz w:val="24"/>
        </w:rPr>
      </w:pPr>
    </w:p>
    <w:p w14:paraId="1A436E6F">
      <w:pPr>
        <w:rPr>
          <w:rFonts w:ascii="Times New Roman" w:hAnsi="Times New Roman"/>
          <w:sz w:val="24"/>
        </w:rPr>
      </w:pPr>
    </w:p>
    <w:p w14:paraId="4AE7EA8C">
      <w:pPr>
        <w:keepNext w:val="0"/>
        <w:keepLines w:val="0"/>
        <w:pageBreakBefore w:val="0"/>
        <w:widowControl w:val="0"/>
        <w:kinsoku/>
        <w:wordWrap/>
        <w:overflowPunct/>
        <w:topLinePunct w:val="0"/>
        <w:autoSpaceDE/>
        <w:autoSpaceDN/>
        <w:bidi w:val="0"/>
        <w:adjustRightInd/>
        <w:snapToGrid/>
        <w:textAlignment w:val="auto"/>
        <w:outlineLvl w:val="0"/>
        <w:rPr>
          <w:rFonts w:hint="eastAsia" w:ascii="Times New Roman" w:hAnsi="Times New Roman"/>
          <w:sz w:val="32"/>
          <w:szCs w:val="32"/>
          <w:lang w:val="en-US" w:eastAsia="zh-CN"/>
        </w:rPr>
      </w:pPr>
      <w:r>
        <w:rPr>
          <w:rFonts w:hint="eastAsia" w:ascii="Times New Roman" w:hAnsi="Times New Roman"/>
          <w:sz w:val="32"/>
          <w:szCs w:val="32"/>
          <w:lang w:val="en-US" w:eastAsia="zh-CN"/>
        </w:rPr>
        <w:t>Idea</w:t>
      </w:r>
    </w:p>
    <w:p w14:paraId="792B086D">
      <w:pPr>
        <w:keepNext w:val="0"/>
        <w:keepLines w:val="0"/>
        <w:pageBreakBefore w:val="0"/>
        <w:widowControl w:val="0"/>
        <w:kinsoku/>
        <w:wordWrap/>
        <w:overflowPunct/>
        <w:topLinePunct w:val="0"/>
        <w:autoSpaceDE/>
        <w:autoSpaceDN/>
        <w:bidi w:val="0"/>
        <w:adjustRightInd/>
        <w:snapToGrid/>
        <w:textAlignment w:val="auto"/>
        <w:outlineLvl w:val="1"/>
        <w:rPr>
          <w:rFonts w:hint="eastAsia" w:ascii="Times New Roman" w:hAnsi="Times New Roman"/>
          <w:b/>
          <w:bCs/>
          <w:sz w:val="28"/>
          <w:szCs w:val="28"/>
          <w:lang w:val="en-US" w:eastAsia="zh-CN"/>
        </w:rPr>
      </w:pPr>
      <w:r>
        <w:rPr>
          <w:rFonts w:hint="eastAsia" w:ascii="Times New Roman" w:hAnsi="Times New Roman"/>
          <w:b/>
          <w:bCs/>
          <w:sz w:val="28"/>
          <w:szCs w:val="28"/>
          <w:lang w:val="en-US" w:eastAsia="zh-CN"/>
        </w:rPr>
        <w:t>时序知识图谱+agent</w:t>
      </w:r>
    </w:p>
    <w:p w14:paraId="446E36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p>
    <w:p w14:paraId="01D134D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olor w:val="0000FF"/>
          <w:sz w:val="24"/>
          <w:lang w:val="en-US" w:eastAsia="zh-CN"/>
        </w:rPr>
      </w:pPr>
      <w:r>
        <w:rPr>
          <w:rFonts w:hint="eastAsia" w:ascii="Times New Roman" w:hAnsi="Times New Roman"/>
          <w:color w:val="0000FF"/>
          <w:sz w:val="24"/>
          <w:lang w:val="en-US" w:eastAsia="zh-CN"/>
        </w:rPr>
        <w:t>针对</w:t>
      </w:r>
      <w:r>
        <w:rPr>
          <w:rFonts w:hint="eastAsia" w:ascii="Times New Roman" w:hAnsi="Times New Roman"/>
          <w:b w:val="0"/>
          <w:bCs w:val="0"/>
          <w:color w:val="0000FF"/>
          <w:sz w:val="24"/>
          <w:lang w:val="en-US" w:eastAsia="zh-CN"/>
        </w:rPr>
        <w:t>DBSCAN聚类的参数选择</w:t>
      </w:r>
    </w:p>
    <w:p w14:paraId="2428B79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这是将AetherLog从"固定管道"升级为"自适应推理系统"的最直接的技术路径。DBSCAN双参数的极小搜索空间是Agent天然的用武之地——不需要强化学习也不需要微调，一个结构化的System</w:t>
      </w:r>
      <w:r>
        <w:rPr>
          <w:rFonts w:hint="eastAsia" w:ascii="Times New Roman" w:hAnsi="Times New Roman"/>
          <w:sz w:val="24"/>
          <w:lang w:val="en-US" w:eastAsia="zh-CN"/>
        </w:rPr>
        <w:t xml:space="preserve"> </w:t>
      </w:r>
      <w:r>
        <w:rPr>
          <w:rFonts w:hint="default" w:ascii="Times New Roman" w:hAnsi="Times New Roman"/>
          <w:sz w:val="24"/>
          <w:lang w:val="en-US" w:eastAsia="zh-CN"/>
        </w:rPr>
        <w:t>Prompt+封装为MCP</w:t>
      </w:r>
      <w:r>
        <w:rPr>
          <w:rFonts w:hint="eastAsia" w:ascii="Times New Roman" w:hAnsi="Times New Roman"/>
          <w:sz w:val="24"/>
          <w:lang w:val="en-US" w:eastAsia="zh-CN"/>
        </w:rPr>
        <w:t xml:space="preserve"> </w:t>
      </w:r>
      <w:r>
        <w:rPr>
          <w:rFonts w:hint="default" w:ascii="Times New Roman" w:hAnsi="Times New Roman"/>
          <w:sz w:val="24"/>
          <w:lang w:val="en-US" w:eastAsia="zh-CN"/>
        </w:rPr>
        <w:t>Tool的DBSCAN就足以让ReActAgent在2-3轮内收敛。但需要两个保险机制：(1)Agent必须能识别"嵌入模型本身不可分"的底线情况并终止重试，(2)在线局部调整需要定期的全局纠偏防止累积漂移。</w:t>
      </w:r>
    </w:p>
    <w:p w14:paraId="3F0621BE">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sz w:val="24"/>
          <w:lang w:val="en-US" w:eastAsia="zh-CN"/>
        </w:rPr>
      </w:pPr>
      <w:r>
        <w:rPr>
          <w:rFonts w:hint="default" w:ascii="Times New Roman" w:hAnsi="Times New Roman"/>
          <w:sz w:val="24"/>
          <w:lang w:val="en-US" w:eastAsia="zh-CN"/>
        </w:rPr>
        <w:t>如果把这个方向写进论文，创新点可以表述为："A parameter-adaptive DBSCAN clustering driven by LLM-based agent diagnosis, which transforms fixed-threshold entity normalization into a closed-loop quality-aware process"，并对比 AetherLog 的固定 ε=0.5 做消融实验，展示在噪声/新故障类型下的 recall 改善。</w:t>
      </w:r>
    </w:p>
    <w:p w14:paraId="40E954D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olor w:val="C00000"/>
          <w:sz w:val="24"/>
          <w:lang w:val="en-US" w:eastAsia="zh-CN"/>
        </w:rPr>
      </w:pPr>
      <w:r>
        <w:rPr>
          <w:rFonts w:hint="default" w:ascii="Times New Roman" w:hAnsi="Times New Roman"/>
          <w:color w:val="C00000"/>
          <w:sz w:val="24"/>
          <w:lang w:val="en-US" w:eastAsia="zh-CN"/>
        </w:rPr>
        <w:t>自适应密度聚类算法（HDBSCAN / OPTICS）</w:t>
      </w:r>
      <w:r>
        <w:rPr>
          <w:rFonts w:hint="eastAsia" w:ascii="Times New Roman" w:hAnsi="Times New Roman"/>
          <w:color w:val="C00000"/>
          <w:sz w:val="24"/>
          <w:lang w:val="en-US" w:eastAsia="zh-CN"/>
        </w:rPr>
        <w:t>or Agent动态调 DBSCAN 参数？</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802648"/>
    <w:rsid w:val="0098388D"/>
    <w:rsid w:val="00D02EF5"/>
    <w:rsid w:val="014D0B1B"/>
    <w:rsid w:val="01514013"/>
    <w:rsid w:val="01586F89"/>
    <w:rsid w:val="018450A2"/>
    <w:rsid w:val="018B602F"/>
    <w:rsid w:val="01D17056"/>
    <w:rsid w:val="01DB5521"/>
    <w:rsid w:val="022644A3"/>
    <w:rsid w:val="038D16A3"/>
    <w:rsid w:val="03B77AAE"/>
    <w:rsid w:val="040D7B66"/>
    <w:rsid w:val="04261197"/>
    <w:rsid w:val="04C95821"/>
    <w:rsid w:val="04E452F2"/>
    <w:rsid w:val="04FE63B4"/>
    <w:rsid w:val="0518120E"/>
    <w:rsid w:val="054B5371"/>
    <w:rsid w:val="058E2F8A"/>
    <w:rsid w:val="05FF14CC"/>
    <w:rsid w:val="060C3C0C"/>
    <w:rsid w:val="06E635A4"/>
    <w:rsid w:val="06E670D4"/>
    <w:rsid w:val="07041C7C"/>
    <w:rsid w:val="071F2B16"/>
    <w:rsid w:val="073310F6"/>
    <w:rsid w:val="074419A2"/>
    <w:rsid w:val="07574AD6"/>
    <w:rsid w:val="07B2792A"/>
    <w:rsid w:val="07D84AB0"/>
    <w:rsid w:val="07FC5336"/>
    <w:rsid w:val="08843074"/>
    <w:rsid w:val="08B466DC"/>
    <w:rsid w:val="08BC62DC"/>
    <w:rsid w:val="096A36FA"/>
    <w:rsid w:val="09880942"/>
    <w:rsid w:val="09F3093A"/>
    <w:rsid w:val="0A185591"/>
    <w:rsid w:val="0A3729F1"/>
    <w:rsid w:val="0A3C4E60"/>
    <w:rsid w:val="0A4A6D32"/>
    <w:rsid w:val="0B2E6C33"/>
    <w:rsid w:val="0B3348DE"/>
    <w:rsid w:val="0B6A6B31"/>
    <w:rsid w:val="0BE65DF4"/>
    <w:rsid w:val="0C107BA8"/>
    <w:rsid w:val="0C4556E9"/>
    <w:rsid w:val="0C5C1C12"/>
    <w:rsid w:val="0C8573BB"/>
    <w:rsid w:val="0C897A2A"/>
    <w:rsid w:val="0CC57C7C"/>
    <w:rsid w:val="0CFA3905"/>
    <w:rsid w:val="0D227682"/>
    <w:rsid w:val="0D3E43FE"/>
    <w:rsid w:val="0D461B30"/>
    <w:rsid w:val="0D735465"/>
    <w:rsid w:val="0D924D90"/>
    <w:rsid w:val="0DA90E87"/>
    <w:rsid w:val="0DE85FDF"/>
    <w:rsid w:val="0E5C1931"/>
    <w:rsid w:val="0EFE7C30"/>
    <w:rsid w:val="0F081280"/>
    <w:rsid w:val="0F1A64E0"/>
    <w:rsid w:val="0F310E21"/>
    <w:rsid w:val="0F4C27CC"/>
    <w:rsid w:val="0F590216"/>
    <w:rsid w:val="0F763962"/>
    <w:rsid w:val="10060C0D"/>
    <w:rsid w:val="101747CE"/>
    <w:rsid w:val="102F518A"/>
    <w:rsid w:val="10961B97"/>
    <w:rsid w:val="109F488F"/>
    <w:rsid w:val="10B62EC4"/>
    <w:rsid w:val="10B837E3"/>
    <w:rsid w:val="10C10D6E"/>
    <w:rsid w:val="10D03F34"/>
    <w:rsid w:val="10E8616A"/>
    <w:rsid w:val="11407D54"/>
    <w:rsid w:val="11940A63"/>
    <w:rsid w:val="11AB53A0"/>
    <w:rsid w:val="12107727"/>
    <w:rsid w:val="12504D05"/>
    <w:rsid w:val="12B24C82"/>
    <w:rsid w:val="12C3266C"/>
    <w:rsid w:val="12C80001"/>
    <w:rsid w:val="1325698C"/>
    <w:rsid w:val="13491142"/>
    <w:rsid w:val="13531FC1"/>
    <w:rsid w:val="13967923"/>
    <w:rsid w:val="13C767F9"/>
    <w:rsid w:val="13E04456"/>
    <w:rsid w:val="13F401CD"/>
    <w:rsid w:val="147705FA"/>
    <w:rsid w:val="152F6116"/>
    <w:rsid w:val="15436F05"/>
    <w:rsid w:val="15B23B51"/>
    <w:rsid w:val="15CE3B81"/>
    <w:rsid w:val="16997627"/>
    <w:rsid w:val="17140673"/>
    <w:rsid w:val="171B20CF"/>
    <w:rsid w:val="17392D38"/>
    <w:rsid w:val="174A11A0"/>
    <w:rsid w:val="18624A54"/>
    <w:rsid w:val="18E54692"/>
    <w:rsid w:val="19020C0B"/>
    <w:rsid w:val="19706CFD"/>
    <w:rsid w:val="198A612C"/>
    <w:rsid w:val="19C24BC8"/>
    <w:rsid w:val="1A673309"/>
    <w:rsid w:val="1B373AA9"/>
    <w:rsid w:val="1B3B6318"/>
    <w:rsid w:val="1BEE234F"/>
    <w:rsid w:val="1BEF2AA3"/>
    <w:rsid w:val="1BFD2148"/>
    <w:rsid w:val="1C8B186A"/>
    <w:rsid w:val="1CD53A47"/>
    <w:rsid w:val="1D4576F2"/>
    <w:rsid w:val="1E1E31CB"/>
    <w:rsid w:val="1E234DCE"/>
    <w:rsid w:val="1E3649B9"/>
    <w:rsid w:val="1E450758"/>
    <w:rsid w:val="1E6E1383"/>
    <w:rsid w:val="1E9445B9"/>
    <w:rsid w:val="1EF07D0A"/>
    <w:rsid w:val="1EF53F2C"/>
    <w:rsid w:val="1F672950"/>
    <w:rsid w:val="1FD92077"/>
    <w:rsid w:val="1FFC6CCE"/>
    <w:rsid w:val="206B22C8"/>
    <w:rsid w:val="207066E0"/>
    <w:rsid w:val="20A43E5C"/>
    <w:rsid w:val="20C27F5B"/>
    <w:rsid w:val="211B39F2"/>
    <w:rsid w:val="212B0346"/>
    <w:rsid w:val="214C62A1"/>
    <w:rsid w:val="21E309B4"/>
    <w:rsid w:val="22A02310"/>
    <w:rsid w:val="22F610D4"/>
    <w:rsid w:val="22FB154F"/>
    <w:rsid w:val="23305E7B"/>
    <w:rsid w:val="237C3038"/>
    <w:rsid w:val="24424E18"/>
    <w:rsid w:val="247578BD"/>
    <w:rsid w:val="24B11017"/>
    <w:rsid w:val="252A114A"/>
    <w:rsid w:val="256E7CC8"/>
    <w:rsid w:val="257A1E57"/>
    <w:rsid w:val="25AA15CC"/>
    <w:rsid w:val="25C6044D"/>
    <w:rsid w:val="25EE5B79"/>
    <w:rsid w:val="25FF4CC0"/>
    <w:rsid w:val="26404627"/>
    <w:rsid w:val="266C6E78"/>
    <w:rsid w:val="26976211"/>
    <w:rsid w:val="26C26749"/>
    <w:rsid w:val="26C650C3"/>
    <w:rsid w:val="26D61F43"/>
    <w:rsid w:val="26E06790"/>
    <w:rsid w:val="27090EBD"/>
    <w:rsid w:val="2761728D"/>
    <w:rsid w:val="278A18D2"/>
    <w:rsid w:val="27A14625"/>
    <w:rsid w:val="27E67E69"/>
    <w:rsid w:val="282426A1"/>
    <w:rsid w:val="28500425"/>
    <w:rsid w:val="28B906C0"/>
    <w:rsid w:val="294477FD"/>
    <w:rsid w:val="298760C9"/>
    <w:rsid w:val="29AD2E33"/>
    <w:rsid w:val="2A39290A"/>
    <w:rsid w:val="2B014FF2"/>
    <w:rsid w:val="2B0D4CF3"/>
    <w:rsid w:val="2B1240B8"/>
    <w:rsid w:val="2B147E30"/>
    <w:rsid w:val="2B5566C2"/>
    <w:rsid w:val="2BA12DEE"/>
    <w:rsid w:val="2BFA71CB"/>
    <w:rsid w:val="2C652E7D"/>
    <w:rsid w:val="2C8B2374"/>
    <w:rsid w:val="2CB52A26"/>
    <w:rsid w:val="2D220E22"/>
    <w:rsid w:val="2D9E7E85"/>
    <w:rsid w:val="2DEA4E78"/>
    <w:rsid w:val="2DEE6E10"/>
    <w:rsid w:val="2DF5282E"/>
    <w:rsid w:val="2E2948CC"/>
    <w:rsid w:val="2E2A66CA"/>
    <w:rsid w:val="2E3031D3"/>
    <w:rsid w:val="2E525AC4"/>
    <w:rsid w:val="2E586286"/>
    <w:rsid w:val="2F146650"/>
    <w:rsid w:val="2F1C3757"/>
    <w:rsid w:val="2F201F7B"/>
    <w:rsid w:val="2F634EE2"/>
    <w:rsid w:val="2FC83556"/>
    <w:rsid w:val="304808B2"/>
    <w:rsid w:val="3141098A"/>
    <w:rsid w:val="31D67BED"/>
    <w:rsid w:val="31E3055C"/>
    <w:rsid w:val="31E56C6E"/>
    <w:rsid w:val="329C2DB1"/>
    <w:rsid w:val="32A72C64"/>
    <w:rsid w:val="32D02369"/>
    <w:rsid w:val="32FA6BE3"/>
    <w:rsid w:val="33154745"/>
    <w:rsid w:val="33227530"/>
    <w:rsid w:val="33DE547F"/>
    <w:rsid w:val="33EC30C7"/>
    <w:rsid w:val="3498370B"/>
    <w:rsid w:val="349E680A"/>
    <w:rsid w:val="34F605A6"/>
    <w:rsid w:val="352E5F92"/>
    <w:rsid w:val="357065AB"/>
    <w:rsid w:val="35807AF9"/>
    <w:rsid w:val="360B4DCC"/>
    <w:rsid w:val="368220F2"/>
    <w:rsid w:val="36974B04"/>
    <w:rsid w:val="36E0150E"/>
    <w:rsid w:val="376143FD"/>
    <w:rsid w:val="3768021F"/>
    <w:rsid w:val="376D0ED9"/>
    <w:rsid w:val="37732570"/>
    <w:rsid w:val="37E62B54"/>
    <w:rsid w:val="37FA1570"/>
    <w:rsid w:val="37FD1612"/>
    <w:rsid w:val="38042FD6"/>
    <w:rsid w:val="382F62A9"/>
    <w:rsid w:val="387803EF"/>
    <w:rsid w:val="388365F5"/>
    <w:rsid w:val="38B20650"/>
    <w:rsid w:val="38C549AA"/>
    <w:rsid w:val="391159AF"/>
    <w:rsid w:val="399B34CA"/>
    <w:rsid w:val="39FA3F3A"/>
    <w:rsid w:val="3A013C75"/>
    <w:rsid w:val="3A092B2A"/>
    <w:rsid w:val="3A0B68A2"/>
    <w:rsid w:val="3A8666EF"/>
    <w:rsid w:val="3BA252EB"/>
    <w:rsid w:val="3BB84807"/>
    <w:rsid w:val="3C1C1182"/>
    <w:rsid w:val="3C6D73A0"/>
    <w:rsid w:val="3CBF4D79"/>
    <w:rsid w:val="3D583A9A"/>
    <w:rsid w:val="3DE43692"/>
    <w:rsid w:val="3E06185A"/>
    <w:rsid w:val="3E495BEB"/>
    <w:rsid w:val="3EA11583"/>
    <w:rsid w:val="3EAC34E3"/>
    <w:rsid w:val="3F122481"/>
    <w:rsid w:val="3F204B9E"/>
    <w:rsid w:val="3F5575B0"/>
    <w:rsid w:val="3F696545"/>
    <w:rsid w:val="3F8C3FE1"/>
    <w:rsid w:val="3F8E1B07"/>
    <w:rsid w:val="3F953302"/>
    <w:rsid w:val="3F9D12BF"/>
    <w:rsid w:val="3FDB46E6"/>
    <w:rsid w:val="406754CF"/>
    <w:rsid w:val="40870703"/>
    <w:rsid w:val="408E2DCD"/>
    <w:rsid w:val="4090114B"/>
    <w:rsid w:val="40A639A7"/>
    <w:rsid w:val="41827323"/>
    <w:rsid w:val="41B255C8"/>
    <w:rsid w:val="41CD2DED"/>
    <w:rsid w:val="42492EE1"/>
    <w:rsid w:val="42CD46CB"/>
    <w:rsid w:val="42FF16EA"/>
    <w:rsid w:val="434D1CD9"/>
    <w:rsid w:val="43561376"/>
    <w:rsid w:val="44191BBB"/>
    <w:rsid w:val="4450735F"/>
    <w:rsid w:val="44F9179B"/>
    <w:rsid w:val="45124870"/>
    <w:rsid w:val="45185930"/>
    <w:rsid w:val="45C53DA9"/>
    <w:rsid w:val="45E47879"/>
    <w:rsid w:val="463B050F"/>
    <w:rsid w:val="46D14578"/>
    <w:rsid w:val="46D43180"/>
    <w:rsid w:val="46DD097A"/>
    <w:rsid w:val="46F53D5B"/>
    <w:rsid w:val="46FA2178"/>
    <w:rsid w:val="4738011B"/>
    <w:rsid w:val="477F6FED"/>
    <w:rsid w:val="478D08F6"/>
    <w:rsid w:val="48225FE0"/>
    <w:rsid w:val="48455675"/>
    <w:rsid w:val="48523EE0"/>
    <w:rsid w:val="48790E7B"/>
    <w:rsid w:val="48827AC0"/>
    <w:rsid w:val="488E2B78"/>
    <w:rsid w:val="492F1A7F"/>
    <w:rsid w:val="495B436F"/>
    <w:rsid w:val="49BD50D1"/>
    <w:rsid w:val="49FD6207"/>
    <w:rsid w:val="4A7A411B"/>
    <w:rsid w:val="4A950118"/>
    <w:rsid w:val="4AD12753"/>
    <w:rsid w:val="4AF13892"/>
    <w:rsid w:val="4BA95F1B"/>
    <w:rsid w:val="4BB23021"/>
    <w:rsid w:val="4BBC5EF3"/>
    <w:rsid w:val="4BE149AB"/>
    <w:rsid w:val="4BFC67AA"/>
    <w:rsid w:val="4C5824A2"/>
    <w:rsid w:val="4C6E4F29"/>
    <w:rsid w:val="4C864ECD"/>
    <w:rsid w:val="4CD805F1"/>
    <w:rsid w:val="4E0613E7"/>
    <w:rsid w:val="4E6229B3"/>
    <w:rsid w:val="4E8D38D2"/>
    <w:rsid w:val="4EC457D1"/>
    <w:rsid w:val="4ED24BC6"/>
    <w:rsid w:val="4EFE6AFB"/>
    <w:rsid w:val="4F0214B3"/>
    <w:rsid w:val="4FB936CE"/>
    <w:rsid w:val="500700E8"/>
    <w:rsid w:val="503A07D9"/>
    <w:rsid w:val="5065457A"/>
    <w:rsid w:val="507708CD"/>
    <w:rsid w:val="511B6F73"/>
    <w:rsid w:val="515D3978"/>
    <w:rsid w:val="51981FF4"/>
    <w:rsid w:val="521016CD"/>
    <w:rsid w:val="523209F0"/>
    <w:rsid w:val="52B61649"/>
    <w:rsid w:val="52C1158B"/>
    <w:rsid w:val="538E1256"/>
    <w:rsid w:val="53C057E0"/>
    <w:rsid w:val="53F869BF"/>
    <w:rsid w:val="54530D3D"/>
    <w:rsid w:val="549D1F36"/>
    <w:rsid w:val="54B81F28"/>
    <w:rsid w:val="550B72FE"/>
    <w:rsid w:val="55197C6D"/>
    <w:rsid w:val="55322ADD"/>
    <w:rsid w:val="55733889"/>
    <w:rsid w:val="56223A92"/>
    <w:rsid w:val="563C2E41"/>
    <w:rsid w:val="56491E39"/>
    <w:rsid w:val="566D0271"/>
    <w:rsid w:val="56914A45"/>
    <w:rsid w:val="572823EA"/>
    <w:rsid w:val="572A7F10"/>
    <w:rsid w:val="57315C98"/>
    <w:rsid w:val="577E200A"/>
    <w:rsid w:val="579F6BBB"/>
    <w:rsid w:val="57A93C33"/>
    <w:rsid w:val="581408D2"/>
    <w:rsid w:val="589917F1"/>
    <w:rsid w:val="58C54B4B"/>
    <w:rsid w:val="58D752B3"/>
    <w:rsid w:val="58E40CFE"/>
    <w:rsid w:val="59011C17"/>
    <w:rsid w:val="5A212175"/>
    <w:rsid w:val="5A6A41C6"/>
    <w:rsid w:val="5B650CF6"/>
    <w:rsid w:val="5B7E7867"/>
    <w:rsid w:val="5B812326"/>
    <w:rsid w:val="5B9A6FA0"/>
    <w:rsid w:val="5BE002A5"/>
    <w:rsid w:val="5BF3611D"/>
    <w:rsid w:val="5C2A2D24"/>
    <w:rsid w:val="5C4E644E"/>
    <w:rsid w:val="5C5951F9"/>
    <w:rsid w:val="5CE7570D"/>
    <w:rsid w:val="5D3A5C5A"/>
    <w:rsid w:val="5D5B76D9"/>
    <w:rsid w:val="5D6D3F49"/>
    <w:rsid w:val="5D9E3ADD"/>
    <w:rsid w:val="5DAF5613"/>
    <w:rsid w:val="5E110BFB"/>
    <w:rsid w:val="5E146C58"/>
    <w:rsid w:val="5E170D70"/>
    <w:rsid w:val="5E1D5EFE"/>
    <w:rsid w:val="5E353A0B"/>
    <w:rsid w:val="5E5B30A5"/>
    <w:rsid w:val="5E7E1BA7"/>
    <w:rsid w:val="5EBD2A85"/>
    <w:rsid w:val="5F0D6341"/>
    <w:rsid w:val="5F742670"/>
    <w:rsid w:val="603B28E4"/>
    <w:rsid w:val="6082251F"/>
    <w:rsid w:val="60B620AE"/>
    <w:rsid w:val="60F11A9E"/>
    <w:rsid w:val="60F17CF0"/>
    <w:rsid w:val="61021EFD"/>
    <w:rsid w:val="612D16B6"/>
    <w:rsid w:val="61717FF9"/>
    <w:rsid w:val="619E1C26"/>
    <w:rsid w:val="61C775DF"/>
    <w:rsid w:val="620C3034"/>
    <w:rsid w:val="62214DFA"/>
    <w:rsid w:val="627E7362"/>
    <w:rsid w:val="62B611F1"/>
    <w:rsid w:val="62B9483E"/>
    <w:rsid w:val="62D11F77"/>
    <w:rsid w:val="62FF575B"/>
    <w:rsid w:val="63F0238F"/>
    <w:rsid w:val="63F313D6"/>
    <w:rsid w:val="649B4AC0"/>
    <w:rsid w:val="64D9020E"/>
    <w:rsid w:val="650F1C13"/>
    <w:rsid w:val="65534D5A"/>
    <w:rsid w:val="65655074"/>
    <w:rsid w:val="656C3DE9"/>
    <w:rsid w:val="659F0703"/>
    <w:rsid w:val="661C43A8"/>
    <w:rsid w:val="662F5543"/>
    <w:rsid w:val="66524D8D"/>
    <w:rsid w:val="665B1DD8"/>
    <w:rsid w:val="666845B1"/>
    <w:rsid w:val="672A7CED"/>
    <w:rsid w:val="67401E18"/>
    <w:rsid w:val="674246FB"/>
    <w:rsid w:val="67AF7FBD"/>
    <w:rsid w:val="67E61C31"/>
    <w:rsid w:val="680D33C7"/>
    <w:rsid w:val="686A3A3E"/>
    <w:rsid w:val="688024F5"/>
    <w:rsid w:val="68A31859"/>
    <w:rsid w:val="68EF3803"/>
    <w:rsid w:val="691B5192"/>
    <w:rsid w:val="693E455B"/>
    <w:rsid w:val="69492530"/>
    <w:rsid w:val="69C41894"/>
    <w:rsid w:val="6A0D1174"/>
    <w:rsid w:val="6A106C14"/>
    <w:rsid w:val="6A4946F9"/>
    <w:rsid w:val="6AAA4EDE"/>
    <w:rsid w:val="6B403D4E"/>
    <w:rsid w:val="6B902E71"/>
    <w:rsid w:val="6BE44432"/>
    <w:rsid w:val="6C5B5AE9"/>
    <w:rsid w:val="6C9102FF"/>
    <w:rsid w:val="6CA779CB"/>
    <w:rsid w:val="6CBF6C7A"/>
    <w:rsid w:val="6CFC02D6"/>
    <w:rsid w:val="6D0107FB"/>
    <w:rsid w:val="6D073A45"/>
    <w:rsid w:val="6D280E93"/>
    <w:rsid w:val="6D2E1052"/>
    <w:rsid w:val="6D9763C0"/>
    <w:rsid w:val="6DA94EBA"/>
    <w:rsid w:val="6DAD55F2"/>
    <w:rsid w:val="6DB602F7"/>
    <w:rsid w:val="6E755ABD"/>
    <w:rsid w:val="6EBE2492"/>
    <w:rsid w:val="6F3239AE"/>
    <w:rsid w:val="6F433E0D"/>
    <w:rsid w:val="6F6044E3"/>
    <w:rsid w:val="6FA523D2"/>
    <w:rsid w:val="6FA56875"/>
    <w:rsid w:val="6FC36E72"/>
    <w:rsid w:val="6FD7031E"/>
    <w:rsid w:val="70A64653"/>
    <w:rsid w:val="70B30B1E"/>
    <w:rsid w:val="70B46DB2"/>
    <w:rsid w:val="70CE2CD1"/>
    <w:rsid w:val="71051911"/>
    <w:rsid w:val="71123A97"/>
    <w:rsid w:val="71490E9E"/>
    <w:rsid w:val="714D5087"/>
    <w:rsid w:val="717C3606"/>
    <w:rsid w:val="71B763EC"/>
    <w:rsid w:val="71D50389"/>
    <w:rsid w:val="72224A54"/>
    <w:rsid w:val="7306587D"/>
    <w:rsid w:val="73456B6E"/>
    <w:rsid w:val="736C5562"/>
    <w:rsid w:val="73A40BF2"/>
    <w:rsid w:val="73BE334D"/>
    <w:rsid w:val="74A13B09"/>
    <w:rsid w:val="74FE35BE"/>
    <w:rsid w:val="74FE3782"/>
    <w:rsid w:val="753535B8"/>
    <w:rsid w:val="75355FA6"/>
    <w:rsid w:val="754B082B"/>
    <w:rsid w:val="756E770A"/>
    <w:rsid w:val="75987554"/>
    <w:rsid w:val="76A038F3"/>
    <w:rsid w:val="771813D9"/>
    <w:rsid w:val="77234B55"/>
    <w:rsid w:val="783E1615"/>
    <w:rsid w:val="78541FB3"/>
    <w:rsid w:val="785E75C1"/>
    <w:rsid w:val="787768D5"/>
    <w:rsid w:val="787B333C"/>
    <w:rsid w:val="78C510ED"/>
    <w:rsid w:val="78D02DFD"/>
    <w:rsid w:val="793B1C09"/>
    <w:rsid w:val="794E62CA"/>
    <w:rsid w:val="79C62F60"/>
    <w:rsid w:val="7AA02320"/>
    <w:rsid w:val="7ADE4A38"/>
    <w:rsid w:val="7B031548"/>
    <w:rsid w:val="7B802648"/>
    <w:rsid w:val="7BFF1417"/>
    <w:rsid w:val="7C092FAF"/>
    <w:rsid w:val="7C8B0BA1"/>
    <w:rsid w:val="7CA53A11"/>
    <w:rsid w:val="7CB77CF0"/>
    <w:rsid w:val="7CD6006E"/>
    <w:rsid w:val="7D097714"/>
    <w:rsid w:val="7D5F6DCD"/>
    <w:rsid w:val="7D6531A0"/>
    <w:rsid w:val="7DE20C95"/>
    <w:rsid w:val="7DF77AF3"/>
    <w:rsid w:val="7E6416AA"/>
    <w:rsid w:val="7EF23159"/>
    <w:rsid w:val="7F2826D7"/>
    <w:rsid w:val="7F735751"/>
    <w:rsid w:val="7F8E34B9"/>
    <w:rsid w:val="7FAF77A9"/>
    <w:rsid w:val="7FCC2B42"/>
    <w:rsid w:val="7FF371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Strong"/>
    <w:basedOn w:val="6"/>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6748</Words>
  <Characters>10116</Characters>
  <Lines>0</Lines>
  <Paragraphs>0</Paragraphs>
  <TotalTime>190</TotalTime>
  <ScaleCrop>false</ScaleCrop>
  <LinksUpToDate>false</LinksUpToDate>
  <CharactersWithSpaces>10476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2026-04-13T05:24:00Z</dcterms:created>
  <dc:creator>lt</dc:creator>
  <cp:lastModifiedBy>lt</cp:lastModifiedBy>
  <dcterms:modified xsi:type="dcterms:W3CDTF">2026-06-09T11:31:50Z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EC737A209903466695920BCB22A41B65_11</vt:lpwstr>
  </property>
  <property fmtid="{D5CDD505-2E9C-101B-9397-08002B2CF9AE}" pid="4" name="KSOTemplateDocerSaveRecord">
    <vt:lpwstr>eyJoZGlkIjoiMGQzZGViZTM1MDRiNGRhMzJhOWIzM2ExNWIwNDQxMmIiLCJ1c2VySWQiOiIyMDEwOTk0NzQifQ==</vt:lpwstr>
  </property>
</Properties>
</file>