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drawing>
          <wp:inline distT="0" distB="0" distL="0" distR="0">
            <wp:extent cx="28575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00075"/>
                    </a:xfrm>
                    <a:prstGeom prst="rect">
                      <a:avLst/>
                    </a:prstGeom>
                  </pic:spPr>
                </pic:pic>
              </a:graphicData>
            </a:graphic>
          </wp:inline>
        </w:drawing>
      </w:r>
    </w:p>
    <w:p>
      <w:pPr>
        <w:spacing w:after="120"/>
      </w:pPr>
      <w:r>
        <w:rPr>
          <w:rFonts w:ascii="Calibri" w:cs="Calibri" w:eastAsia="Calibri" w:hAnsi="Calibri"/>
          <w:b/>
          <w:bCs/>
          <w:color w:val="1B2430"/>
          <w:sz w:val="52"/>
          <w:szCs w:val="52"/>
        </w:rPr>
        <w:t xml:space="preserve">Incident Management Procedure</w:t>
      </w:r>
    </w:p>
    <w:p>
      <w:pPr>
        <w:spacing w:after="400"/>
      </w:pPr>
      <w:r>
        <w:rPr>
          <w:rFonts w:ascii="Calibri" w:cs="Calibri" w:eastAsia="Calibri" w:hAnsi="Calibri"/>
          <w:color w:val="5C6672"/>
          <w:sz w:val="26"/>
          <w:szCs w:val="26"/>
        </w:rPr>
        <w:t xml:space="preserve">AI.Smart — hosted AI assistant service for Smart subscribers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Field</w:t>
            </w:r>
          </w:p>
        </w:tc>
        <w:tc>
          <w:tcPr>
            <w:tcW w:type="dxa" w:w="6939"/>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Value</w:t>
            </w:r>
          </w:p>
        </w:tc>
      </w:tr>
      <w:tr>
        <w:trPr>
          <w:cantSplit/>
        </w:trPr>
        <w:tc>
          <w:tcPr>
            <w:tcW w:type="dxa" w:w="269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Document</w:t>
            </w:r>
          </w:p>
        </w:tc>
        <w:tc>
          <w:tcPr>
            <w:tcW w:type="dxa" w:w="693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AI.Smart Incident Management Procedure</w:t>
            </w:r>
          </w:p>
        </w:tc>
      </w:tr>
      <w:tr>
        <w:trPr>
          <w:cantSplit/>
        </w:trPr>
        <w:tc>
          <w:tcPr>
            <w:tcW w:type="dxa" w:w="269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Version</w:t>
            </w:r>
          </w:p>
        </w:tc>
        <w:tc>
          <w:tcPr>
            <w:tcW w:type="dxa" w:w="693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2.0 — Draft for review (supersedes the Avtica Incident Management Procedure v1, approved 09 Oct 2025)</w:t>
            </w:r>
          </w:p>
        </w:tc>
      </w:tr>
      <w:tr>
        <w:trPr>
          <w:cantSplit/>
        </w:trPr>
        <w:tc>
          <w:tcPr>
            <w:tcW w:type="dxa" w:w="269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Service owner / operator</w:t>
            </w:r>
          </w:p>
        </w:tc>
        <w:tc>
          <w:tcPr>
            <w:tcW w:type="dxa" w:w="693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Amihan Global Strategies (operating the Avtica platform as AI.Smart)</w:t>
            </w:r>
          </w:p>
        </w:tc>
      </w:tr>
      <w:tr>
        <w:trPr>
          <w:cantSplit/>
        </w:trPr>
        <w:tc>
          <w:tcPr>
            <w:tcW w:type="dxa" w:w="269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Partner</w:t>
            </w:r>
          </w:p>
        </w:tc>
        <w:tc>
          <w:tcPr>
            <w:tcW w:type="dxa" w:w="693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Communications, Inc. — Cyber Security Operations Group (CSOG) and AI.Smart business owner</w:t>
            </w:r>
          </w:p>
        </w:tc>
      </w:tr>
      <w:tr>
        <w:trPr>
          <w:cantSplit/>
        </w:trPr>
        <w:tc>
          <w:tcPr>
            <w:tcW w:type="dxa" w:w="269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Document owner</w:t>
            </w:r>
          </w:p>
        </w:tc>
        <w:tc>
          <w:tcPr>
            <w:tcW w:type="dxa" w:w="693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Information Security Officer, Amihan Global Strategies</w:t>
            </w:r>
          </w:p>
        </w:tc>
      </w:tr>
      <w:tr>
        <w:trPr>
          <w:cantSplit/>
        </w:trPr>
        <w:tc>
          <w:tcPr>
            <w:tcW w:type="dxa" w:w="269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Approver</w:t>
            </w:r>
          </w:p>
        </w:tc>
        <w:tc>
          <w:tcPr>
            <w:tcW w:type="dxa" w:w="693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Dondi Imperial, Chief Technology Officer, Amihan Global Strategies</w:t>
            </w:r>
          </w:p>
        </w:tc>
      </w:tr>
      <w:tr>
        <w:trPr>
          <w:cantSplit/>
        </w:trPr>
        <w:tc>
          <w:tcPr>
            <w:tcW w:type="dxa" w:w="269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Classification</w:t>
            </w:r>
          </w:p>
        </w:tc>
        <w:tc>
          <w:tcPr>
            <w:tcW w:type="dxa" w:w="693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Partner-Confidential — shared with Smart Communications under the AI.Smart agreement; not for further distribution</w:t>
            </w:r>
          </w:p>
        </w:tc>
      </w:tr>
      <w:tr>
        <w:trPr>
          <w:cantSplit/>
        </w:trPr>
        <w:tc>
          <w:tcPr>
            <w:tcW w:type="dxa" w:w="269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Effective date</w:t>
            </w:r>
          </w:p>
        </w:tc>
        <w:tc>
          <w:tcPr>
            <w:tcW w:type="dxa" w:w="693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Upon approval — target September 2026</w:t>
            </w:r>
          </w:p>
        </w:tc>
      </w:tr>
      <w:tr>
        <w:trPr>
          <w:cantSplit/>
        </w:trPr>
        <w:tc>
          <w:tcPr>
            <w:tcW w:type="dxa" w:w="269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Review cycle</w:t>
            </w:r>
          </w:p>
        </w:tc>
        <w:tc>
          <w:tcPr>
            <w:tcW w:type="dxa" w:w="693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Annually, after any Critical incident, and on any material change to the service</w:t>
            </w:r>
          </w:p>
        </w:tc>
      </w:tr>
    </w:tbl>
    <w:p>
      <w:r>
        <w:br w:type="page"/>
      </w:r>
    </w:p>
    <w:p>
      <w:pPr>
        <w:pStyle w:val="Heading1"/>
        <w:keepNext/>
        <w:spacing w:after="160" w:before="360"/>
      </w:pPr>
      <w:r>
        <w:rPr>
          <w:rFonts w:ascii="Calibri" w:cs="Calibri" w:eastAsia="Calibri" w:hAnsi="Calibri"/>
          <w:b/>
          <w:bCs/>
          <w:color w:val="0F6B45"/>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0" w:line="276"/>
      </w:pPr>
      <w:r>
        <w:rPr>
          <w:rFonts w:ascii="Calibri" w:cs="Calibri" w:eastAsia="Calibri" w:hAnsi="Calibri"/>
          <w:i/>
          <w:iCs/>
          <w:color w:val="5C6672"/>
          <w:sz w:val="18"/>
          <w:szCs w:val="18"/>
        </w:rPr>
        <w:t xml:space="preserve">Right-click and choose “Update Field” (or press F9) if Word does not populate the table of contents automatically.</w:t>
      </w:r>
    </w:p>
    <w:p>
      <w:r>
        <w:br w:type="page"/>
      </w:r>
    </w:p>
    <w:p>
      <w:pPr>
        <w:pStyle w:val="Heading1"/>
        <w:keepNext/>
        <w:spacing w:after="160" w:before="360"/>
      </w:pPr>
      <w:r>
        <w:rPr>
          <w:rFonts w:ascii="Calibri" w:cs="Calibri" w:eastAsia="Calibri" w:hAnsi="Calibri"/>
          <w:b/>
          <w:bCs/>
          <w:color w:val="0F6B45"/>
          <w:sz w:val="30"/>
          <w:szCs w:val="30"/>
        </w:rPr>
        <w:t xml:space="preserve">1. Objective</w:t>
      </w:r>
    </w:p>
    <w:p>
      <w:pPr>
        <w:spacing w:after="120" w:before="0" w:line="276"/>
      </w:pPr>
      <w:r>
        <w:rPr>
          <w:rFonts w:ascii="Calibri" w:cs="Calibri" w:eastAsia="Calibri" w:hAnsi="Calibri"/>
          <w:sz w:val="21"/>
          <w:szCs w:val="21"/>
        </w:rPr>
        <w:t xml:space="preserve">This procedure establishes how incidents affecting the AI.Smart service are detected, classified, contained, resolved, communicated and learned from — consistently, quickly, and with as little burden on Smart Communications as possible. It covers the full lifecycle from first signal to post-incident review.</w:t>
      </w:r>
    </w:p>
    <w:p>
      <w:pPr>
        <w:spacing w:after="120" w:before="0" w:line="276"/>
      </w:pPr>
      <w:r>
        <w:rPr>
          <w:rFonts w:ascii="Calibri" w:cs="Calibri" w:eastAsia="Calibri" w:hAnsi="Calibri"/>
          <w:sz w:val="21"/>
          <w:szCs w:val="21"/>
        </w:rPr>
        <w:t xml:space="preserve">It is written for two audiences. For Amihan Global Strategies (“Amihan”), the operator of AI.Smart, it is the working procedure our engineers follow. For Smart Communications (“Smart”), it is an assurance document: it sets out what we watch, how fast we react, when and how Smart will hear from us, and the small number of situations in which we will need Smart’s help.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1E9E5A" w:sz="4"/>
              <w:left w:val="single" w:color="1E9E5A" w:sz="24"/>
              <w:bottom w:val="single" w:color="1E9E5A" w:sz="4"/>
              <w:right w:val="single" w:color="1E9E5A" w:sz="4"/>
            </w:tcBorders>
            <w:shd w:fill="EAF6EF" w:color="auto" w:val="clear"/>
            <w:tcMar>
              <w:top w:type="dxa" w:w="100"/>
              <w:left w:type="dxa" w:w="140"/>
              <w:bottom w:type="dxa" w:w="100"/>
              <w:right w:type="dxa" w:w="140"/>
            </w:tcMar>
          </w:tcPr>
          <w:p>
            <w:pPr>
              <w:spacing w:after="60"/>
            </w:pPr>
            <w:r>
              <w:rPr>
                <w:rFonts w:ascii="Calibri" w:cs="Calibri" w:eastAsia="Calibri" w:hAnsi="Calibri"/>
                <w:b/>
                <w:bCs/>
                <w:color w:val="0F6B45"/>
                <w:sz w:val="21"/>
                <w:szCs w:val="21"/>
              </w:rPr>
              <w:t xml:space="preserve">Operating principle</w:t>
            </w:r>
          </w:p>
          <w:p>
            <w:pPr>
              <w:spacing w:after="40" w:line="252"/>
            </w:pPr>
            <w:r>
              <w:rPr>
                <w:rFonts w:ascii="Calibri" w:cs="Calibri" w:eastAsia="Calibri" w:hAnsi="Calibri"/>
                <w:sz w:val="20"/>
                <w:szCs w:val="20"/>
              </w:rPr>
              <w:t xml:space="preserve">Amihan runs the incident. Smart is informed, not tasked. The only times we ask Smart to act are when the failing component is on Smart’s side of the integration — the Operator Billing / Consent rail, the ai.smart domain, or a Smart-originated security alert — and even then we arrive with the transaction references, timestamps and a proposed next step.</w:t>
            </w:r>
          </w:p>
        </w:tc>
      </w:tr>
    </w:tbl>
    <w:p>
      <w:pPr>
        <w:pStyle w:val="Heading1"/>
        <w:keepNext/>
        <w:spacing w:after="160" w:before="360"/>
      </w:pPr>
      <w:r>
        <w:rPr>
          <w:rFonts w:ascii="Calibri" w:cs="Calibri" w:eastAsia="Calibri" w:hAnsi="Calibri"/>
          <w:b/>
          <w:bCs/>
          <w:color w:val="0F6B45"/>
          <w:sz w:val="30"/>
          <w:szCs w:val="30"/>
        </w:rPr>
        <w:t xml:space="preserve">2. Scope</w:t>
      </w:r>
    </w:p>
    <w:p>
      <w:pPr>
        <w:spacing w:after="120" w:before="0" w:line="276"/>
      </w:pPr>
      <w:r>
        <w:rPr>
          <w:rFonts w:ascii="Calibri" w:cs="Calibri" w:eastAsia="Calibri" w:hAnsi="Calibri"/>
          <w:sz w:val="21"/>
          <w:szCs w:val="21"/>
        </w:rPr>
        <w:t xml:space="preserve">This procedure applies to every person at Amihan who develops, operates or supports AI.Smart, and to every contractor with access to its systems. It covers:</w:t>
      </w:r>
    </w:p>
    <w:p>
      <w:pPr>
        <w:pStyle w:val="ListParagraph"/>
        <w:numPr>
          <w:ilvl w:val="0"/>
          <w:numId w:val="2"/>
        </w:numPr>
        <w:spacing w:after="60" w:line="264"/>
      </w:pPr>
      <w:r>
        <w:rPr>
          <w:rFonts w:ascii="Calibri" w:cs="Calibri" w:eastAsia="Calibri" w:hAnsi="Calibri"/>
          <w:sz w:val="21"/>
          <w:szCs w:val="21"/>
        </w:rPr>
        <w:t xml:space="preserve">The AI.Smart application (the Avtica platform, branded and deployed for Smart) and its APIs at https://www.ai.smart.</w:t>
      </w:r>
    </w:p>
    <w:p>
      <w:pPr>
        <w:pStyle w:val="ListParagraph"/>
        <w:numPr>
          <w:ilvl w:val="0"/>
          <w:numId w:val="2"/>
        </w:numPr>
        <w:spacing w:after="60" w:line="264"/>
      </w:pPr>
      <w:r>
        <w:rPr>
          <w:rFonts w:ascii="Calibri" w:cs="Calibri" w:eastAsia="Calibri" w:hAnsi="Calibri"/>
          <w:sz w:val="21"/>
          <w:szCs w:val="21"/>
        </w:rPr>
        <w:t xml:space="preserve">The production hosting environment: the dedicated SMART AWS account (us-east-1) — ECS Fargate services, Aurora PostgreSQL, S3, Secrets Manager/KMS, the AI gateway, the identity service (Ory Kratos) and the edge (AWS WAF/Shield, Application Load Balancer).</w:t>
      </w:r>
    </w:p>
    <w:p>
      <w:pPr>
        <w:pStyle w:val="ListParagraph"/>
        <w:numPr>
          <w:ilvl w:val="0"/>
          <w:numId w:val="2"/>
        </w:numPr>
        <w:spacing w:after="60" w:line="264"/>
      </w:pPr>
      <w:r>
        <w:rPr>
          <w:rFonts w:ascii="Calibri" w:cs="Calibri" w:eastAsia="Calibri" w:hAnsi="Calibri"/>
          <w:sz w:val="21"/>
          <w:szCs w:val="21"/>
        </w:rPr>
        <w:t xml:space="preserve">The Charge-to-Smart payment integration: Smart Operator Billing with Consent API (direct carrier billing via the DataPower gateway), the top-up transaction ledger, and the prepaid credit grant mint (RFC-0043 / RFC-0042).</w:t>
      </w:r>
    </w:p>
    <w:p>
      <w:pPr>
        <w:pStyle w:val="ListParagraph"/>
        <w:numPr>
          <w:ilvl w:val="0"/>
          <w:numId w:val="2"/>
        </w:numPr>
        <w:spacing w:after="60" w:line="264"/>
      </w:pPr>
      <w:r>
        <w:rPr>
          <w:rFonts w:ascii="Calibri" w:cs="Calibri" w:eastAsia="Calibri" w:hAnsi="Calibri"/>
          <w:sz w:val="21"/>
          <w:szCs w:val="21"/>
        </w:rPr>
        <w:t xml:space="preserve">Subscriber identity and data: email addresses, names, mobile numbers (MSISDN), uploaded sources, chat history and generated outputs.</w:t>
      </w:r>
    </w:p>
    <w:p>
      <w:pPr>
        <w:pStyle w:val="ListParagraph"/>
        <w:numPr>
          <w:ilvl w:val="0"/>
          <w:numId w:val="2"/>
        </w:numPr>
        <w:spacing w:after="60" w:line="264"/>
      </w:pPr>
      <w:r>
        <w:rPr>
          <w:rFonts w:ascii="Calibri" w:cs="Calibri" w:eastAsia="Calibri" w:hAnsi="Calibri"/>
          <w:sz w:val="21"/>
          <w:szCs w:val="21"/>
        </w:rPr>
        <w:t xml:space="preserve">Third-party dependencies in the request path: Amazon Bedrock (text and embeddings), the OpenAI API (image generation/editing only), transactional email delivery for one-time codes, Sentry (error monitoring), GitHub (source control and CI/CD).</w:t>
      </w:r>
    </w:p>
    <w:p>
      <w:pPr>
        <w:pStyle w:val="ListParagraph"/>
        <w:numPr>
          <w:ilvl w:val="0"/>
          <w:numId w:val="2"/>
        </w:numPr>
        <w:spacing w:after="60" w:line="264"/>
      </w:pPr>
      <w:r>
        <w:rPr>
          <w:rFonts w:ascii="Calibri" w:cs="Calibri" w:eastAsia="Calibri" w:hAnsi="Calibri"/>
          <w:sz w:val="21"/>
          <w:szCs w:val="21"/>
        </w:rPr>
        <w:t xml:space="preserve">Amihan personnel, endpoints and credentials used to administer the above.</w:t>
      </w:r>
    </w:p>
    <w:p>
      <w:pPr>
        <w:spacing w:after="120" w:before="0" w:line="276"/>
      </w:pPr>
      <w:r>
        <w:rPr>
          <w:rFonts w:ascii="Calibri" w:cs="Calibri" w:eastAsia="Calibri" w:hAnsi="Calibri"/>
          <w:sz w:val="21"/>
          <w:szCs w:val="21"/>
        </w:rPr>
        <w:t xml:space="preserve">It does not cover Smart’s own internal systems, Smart’s subscriber billing platforms beyond the interfaces AI.Smart calls, or general Amihan corporate IT outside the AI.Smart scope.</w:t>
      </w:r>
    </w:p>
    <w:p>
      <w:pPr>
        <w:pStyle w:val="Heading1"/>
        <w:keepNext/>
        <w:spacing w:after="160" w:before="360"/>
      </w:pPr>
      <w:r>
        <w:rPr>
          <w:rFonts w:ascii="Calibri" w:cs="Calibri" w:eastAsia="Calibri" w:hAnsi="Calibri"/>
          <w:b/>
          <w:bCs/>
          <w:color w:val="0F6B45"/>
          <w:sz w:val="30"/>
          <w:szCs w:val="30"/>
        </w:rPr>
        <w:t xml:space="preserve">3.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Term</w:t>
            </w:r>
          </w:p>
        </w:tc>
        <w:tc>
          <w:tcPr>
            <w:tcW w:type="dxa" w:w="7132"/>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Meaning in this procedure</w:t>
            </w:r>
          </w:p>
        </w:tc>
      </w:tr>
      <w:tr>
        <w:trPr>
          <w:cantSplit/>
        </w:trPr>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Event</w:t>
            </w:r>
          </w:p>
        </w:tc>
        <w:tc>
          <w:tcPr>
            <w:tcW w:type="dxa" w:w="713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Any observable occurrence in the service — an alarm, a log line, a user report. Most events are not incidents.</w:t>
            </w:r>
          </w:p>
        </w:tc>
      </w:tr>
      <w:tr>
        <w:trPr>
          <w:cantSplit/>
        </w:trPr>
        <w:tc>
          <w:tcPr>
            <w:tcW w:type="dxa" w:w="250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Incident</w:t>
            </w:r>
          </w:p>
        </w:tc>
        <w:tc>
          <w:tcPr>
            <w:tcW w:type="dxa" w:w="7132"/>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An event, or series of events, that has caused or could plausibly cause loss of confidentiality, integrity or availability of AI.Smart or its data, or a financial/billing error affecting a subscriber or Smart.</w:t>
            </w:r>
          </w:p>
        </w:tc>
      </w:tr>
      <w:tr>
        <w:trPr>
          <w:cantSplit/>
        </w:trPr>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Security incident</w:t>
            </w:r>
          </w:p>
        </w:tc>
        <w:tc>
          <w:tcPr>
            <w:tcW w:type="dxa" w:w="713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An incident involving unauthorised access, malicious activity, data exposure, or a control failure (see §8.1).</w:t>
            </w:r>
          </w:p>
        </w:tc>
      </w:tr>
      <w:tr>
        <w:trPr>
          <w:cantSplit/>
        </w:trPr>
        <w:tc>
          <w:tcPr>
            <w:tcW w:type="dxa" w:w="250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Service incident</w:t>
            </w:r>
          </w:p>
        </w:tc>
        <w:tc>
          <w:tcPr>
            <w:tcW w:type="dxa" w:w="7132"/>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An incident affecting availability or performance of AI.Smart without a security cause (see §8.2).</w:t>
            </w:r>
          </w:p>
        </w:tc>
      </w:tr>
      <w:tr>
        <w:trPr>
          <w:cantSplit/>
        </w:trPr>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Billing incident</w:t>
            </w:r>
          </w:p>
        </w:tc>
        <w:tc>
          <w:tcPr>
            <w:tcW w:type="dxa" w:w="713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An incident in the Charge-to-Smart / credit-grant path: a subscriber charged but not credited, an uncertain charge, a suspected duplicate, a reconciliation mismatch, or a misconfiguration that could grant credit without payment (see §8.4).</w:t>
            </w:r>
          </w:p>
        </w:tc>
      </w:tr>
      <w:tr>
        <w:trPr>
          <w:cantSplit/>
        </w:trPr>
        <w:tc>
          <w:tcPr>
            <w:tcW w:type="dxa" w:w="250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Personal-data breach</w:t>
            </w:r>
          </w:p>
        </w:tc>
        <w:tc>
          <w:tcPr>
            <w:tcW w:type="dxa" w:w="7132"/>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 security incident leading to the accidental or unlawful destruction, loss, alteration, unauthorised disclosure of, or access to, personal data — as defined by the Philippine Data Privacy Act (RA 10173) and NPC Circular 16-03.</w:t>
            </w:r>
          </w:p>
        </w:tc>
      </w:tr>
      <w:tr>
        <w:trPr>
          <w:cantSplit/>
        </w:trPr>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On-Call Engineer (OCE)</w:t>
            </w:r>
          </w:p>
        </w:tc>
        <w:tc>
          <w:tcPr>
            <w:tcW w:type="dxa" w:w="713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The Amihan engineer on the 24×7 rotation who receives alerts and is the first responder for every incident.</w:t>
            </w:r>
          </w:p>
        </w:tc>
      </w:tr>
      <w:tr>
        <w:trPr>
          <w:cantSplit/>
        </w:trPr>
        <w:tc>
          <w:tcPr>
            <w:tcW w:type="dxa" w:w="250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Incident Commander (IC)</w:t>
            </w:r>
          </w:p>
        </w:tc>
        <w:tc>
          <w:tcPr>
            <w:tcW w:type="dxa" w:w="7132"/>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The person coordinating a High or Critical incident. Defaults to the Infra Operations Lead; the Information Security Officer takes command of security incidents.</w:t>
            </w:r>
          </w:p>
        </w:tc>
      </w:tr>
      <w:tr>
        <w:trPr>
          <w:cantSplit/>
        </w:trPr>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Information Security Officer (ISO)</w:t>
            </w:r>
          </w:p>
        </w:tc>
        <w:tc>
          <w:tcPr>
            <w:tcW w:type="dxa" w:w="713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The Amihan role accountable for the security programme and for external/regulatory notifications.</w:t>
            </w:r>
          </w:p>
        </w:tc>
      </w:tr>
      <w:tr>
        <w:trPr>
          <w:cantSplit/>
        </w:trPr>
        <w:tc>
          <w:tcPr>
            <w:tcW w:type="dxa" w:w="250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Partner Liaison</w:t>
            </w:r>
          </w:p>
        </w:tc>
        <w:tc>
          <w:tcPr>
            <w:tcW w:type="dxa" w:w="7132"/>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The Amihan person who owns all communication with Smart during an incident (the Chief Revenue Officer, or delegate).</w:t>
            </w:r>
          </w:p>
        </w:tc>
      </w:tr>
      <w:tr>
        <w:trPr>
          <w:cantSplit/>
        </w:trPr>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CSOG</w:t>
            </w:r>
          </w:p>
        </w:tc>
        <w:tc>
          <w:tcPr>
            <w:tcW w:type="dxa" w:w="713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Smart’s Cyber Security Operations Group — the recipient of security-incident notifications under the AI.Smart risk assessment.</w:t>
            </w:r>
          </w:p>
        </w:tc>
      </w:tr>
      <w:tr>
        <w:trPr>
          <w:cantSplit/>
        </w:trPr>
        <w:tc>
          <w:tcPr>
            <w:tcW w:type="dxa" w:w="250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Business Owner</w:t>
            </w:r>
          </w:p>
        </w:tc>
        <w:tc>
          <w:tcPr>
            <w:tcW w:type="dxa" w:w="7132"/>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Smart’s designated owner of the AI.Smart product (Content &amp; Business Development) — the recipient of service and billing notifications.</w:t>
            </w:r>
          </w:p>
        </w:tc>
      </w:tr>
      <w:tr>
        <w:trPr>
          <w:cantSplit/>
        </w:trPr>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referenceCode / serverReferenceCode</w:t>
            </w:r>
          </w:p>
        </w:tc>
        <w:tc>
          <w:tcPr>
            <w:tcW w:type="dxa" w:w="713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The transaction identifiers stamped on every Charge-to-Smart attempt. referenceCode is generated by AI.Smart and is the credit-grant idempotency key; serverReferenceCode is Smart’s identifier and is the reconciliation and refund key.</w:t>
            </w:r>
          </w:p>
        </w:tc>
      </w:tr>
    </w:tbl>
    <w:p>
      <w:pPr>
        <w:pStyle w:val="Heading1"/>
        <w:keepNext/>
        <w:spacing w:after="160" w:before="360"/>
      </w:pPr>
      <w:r>
        <w:rPr>
          <w:rFonts w:ascii="Calibri" w:cs="Calibri" w:eastAsia="Calibri" w:hAnsi="Calibri"/>
          <w:b/>
          <w:bCs/>
          <w:color w:val="0F6B45"/>
          <w:sz w:val="30"/>
          <w:szCs w:val="30"/>
        </w:rPr>
        <w:t xml:space="preserve">4. Roles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Role</w:t>
            </w:r>
          </w:p>
        </w:tc>
        <w:tc>
          <w:tcPr>
            <w:tcW w:type="dxa" w:w="7132"/>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Responsibilities during an incident</w:t>
            </w:r>
          </w:p>
        </w:tc>
      </w:tr>
      <w:tr>
        <w:trPr>
          <w:cantSplit/>
        </w:trPr>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On-Call Engineer (OCE)</w:t>
            </w:r>
          </w:p>
        </w:tc>
        <w:tc>
          <w:tcPr>
            <w:tcW w:type="dxa" w:w="713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Acknowledges every alert within the targets in §6; performs initial triage and severity classification; executes the relevant playbook; escalates High/Critical immediately to the IC and ISO; keeps the incident record current.</w:t>
            </w:r>
          </w:p>
        </w:tc>
      </w:tr>
      <w:tr>
        <w:trPr>
          <w:cantSplit/>
        </w:trPr>
        <w:tc>
          <w:tcPr>
            <w:tcW w:type="dxa" w:w="250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Incident Commander (IC)</w:t>
            </w:r>
          </w:p>
        </w:tc>
        <w:tc>
          <w:tcPr>
            <w:tcW w:type="dxa" w:w="7132"/>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Owns the incident from escalation to closure: assigns responders, decides containment actions (including kill switches and rollbacks), sets the update cadence, approves the resolution, and convenes the post-incident review.</w:t>
            </w:r>
          </w:p>
        </w:tc>
      </w:tr>
      <w:tr>
        <w:trPr>
          <w:cantSplit/>
        </w:trPr>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Information Security Officer (ISO)</w:t>
            </w:r>
          </w:p>
        </w:tc>
        <w:tc>
          <w:tcPr>
            <w:tcW w:type="dxa" w:w="713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Commands security incidents; decides on evidence preservation and forensics; determines whether a personal-data breach has occurred and drives NPC and Smart CSOG notifications; engages legal counsel and law enforcement where warranted; approves this procedure.</w:t>
            </w:r>
          </w:p>
        </w:tc>
      </w:tr>
      <w:tr>
        <w:trPr>
          <w:cantSplit/>
        </w:trPr>
        <w:tc>
          <w:tcPr>
            <w:tcW w:type="dxa" w:w="250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Infra Operations Lead</w:t>
            </w:r>
          </w:p>
        </w:tc>
        <w:tc>
          <w:tcPr>
            <w:tcW w:type="dxa" w:w="7132"/>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Maintains monitoring, alert routing and the on-call rotation; executes infrastructure containment (security-group changes, credential rotation, snapshot/restore, redeploy by digest); tracks corrective actions to closure.</w:t>
            </w:r>
          </w:p>
        </w:tc>
      </w:tr>
      <w:tr>
        <w:trPr>
          <w:cantSplit/>
        </w:trPr>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Billing &amp; Reconciliation Owner</w:t>
            </w:r>
          </w:p>
        </w:tc>
        <w:tc>
          <w:tcPr>
            <w:tcW w:type="dxa" w:w="713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Owns the top-up ledger: works every charged-but-unfulfilled and charge-uncertain transaction to a resolved state, reconciles against Smart’s transaction reports by referenceCode, and prepares any refund or manual-grant request.</w:t>
            </w:r>
          </w:p>
        </w:tc>
      </w:tr>
      <w:tr>
        <w:trPr>
          <w:cantSplit/>
        </w:trPr>
        <w:tc>
          <w:tcPr>
            <w:tcW w:type="dxa" w:w="250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Partner Liaison (CRO or delegate)</w:t>
            </w:r>
          </w:p>
        </w:tc>
        <w:tc>
          <w:tcPr>
            <w:tcW w:type="dxa" w:w="7132"/>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Sole channel to Smart during an incident: sends the initial notice, updates and resolution summary using the templates in Appendix B; coordinates any request for Smart-side action; attends the post-incident review with Smart.</w:t>
            </w:r>
          </w:p>
        </w:tc>
      </w:tr>
      <w:tr>
        <w:trPr>
          <w:cantSplit/>
        </w:trPr>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Engineering team</w:t>
            </w:r>
          </w:p>
        </w:tc>
        <w:tc>
          <w:tcPr>
            <w:tcW w:type="dxa" w:w="713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Every engineer reports suspected incidents without delay, joins the response when assigned, and never discusses a suspected insider incident with anyone other than the ISO or CEO.</w:t>
            </w:r>
          </w:p>
        </w:tc>
      </w:tr>
      <w:tr>
        <w:trPr>
          <w:cantSplit/>
        </w:trPr>
        <w:tc>
          <w:tcPr>
            <w:tcW w:type="dxa" w:w="250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Chief Technology Officer (Dondi Imperial)</w:t>
            </w:r>
          </w:p>
        </w:tc>
        <w:tc>
          <w:tcPr>
            <w:tcW w:type="dxa" w:w="7132"/>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Executive accountable for engineering and the security programme; approves this procedure; final escalation for High/Critical technical decisions (kill switches beyond the pre-approved list, data restores, emergency changes to the billing integration); briefs the CEO and Smart’s leadership on Critical incidents.</w:t>
            </w:r>
          </w:p>
        </w:tc>
      </w:tr>
      <w:tr>
        <w:trPr>
          <w:cantSplit/>
        </w:trPr>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Chief Executive Officer</w:t>
            </w:r>
          </w:p>
        </w:tc>
        <w:tc>
          <w:tcPr>
            <w:tcW w:type="dxa" w:w="713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Final authority on public/regulatory statements, legal engagement and commercial remediation (goodwill credit, refunds).</w:t>
            </w:r>
          </w:p>
        </w:tc>
      </w:tr>
    </w:tbl>
    <w:p>
      <w:pPr>
        <w:pStyle w:val="Heading1"/>
        <w:keepNext/>
        <w:spacing w:after="160" w:before="360"/>
      </w:pPr>
      <w:r>
        <w:rPr>
          <w:rFonts w:ascii="Calibri" w:cs="Calibri" w:eastAsia="Calibri" w:hAnsi="Calibri"/>
          <w:b/>
          <w:bCs/>
          <w:color w:val="0F6B45"/>
          <w:sz w:val="30"/>
          <w:szCs w:val="30"/>
        </w:rPr>
        <w:t xml:space="preserve">5. Detection and reporting</w:t>
      </w:r>
    </w:p>
    <w:p>
      <w:pPr>
        <w:pStyle w:val="Heading2"/>
        <w:keepNext/>
        <w:spacing w:after="120" w:before="260"/>
      </w:pPr>
      <w:r>
        <w:rPr>
          <w:rFonts w:ascii="Calibri" w:cs="Calibri" w:eastAsia="Calibri" w:hAnsi="Calibri"/>
          <w:b/>
          <w:bCs/>
          <w:color w:val="1B2430"/>
          <w:sz w:val="25"/>
          <w:szCs w:val="25"/>
        </w:rPr>
        <w:t xml:space="preserve">5.1 Automated detection</w:t>
      </w:r>
    </w:p>
    <w:p>
      <w:pPr>
        <w:spacing w:after="120" w:before="0" w:line="276"/>
      </w:pPr>
      <w:r>
        <w:rPr>
          <w:rFonts w:ascii="Calibri" w:cs="Calibri" w:eastAsia="Calibri" w:hAnsi="Calibri"/>
          <w:sz w:val="21"/>
          <w:szCs w:val="21"/>
        </w:rPr>
        <w:t xml:space="preserve">AI.Smart is monitored continuously. The following sources raise alerts to the on-call rotation; each maps to a playbook in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819"/>
        <w:gridCol w:w="2699"/>
      </w:tblGrid>
      <w:tr>
        <w:trPr>
          <w:tblHeader/>
        </w:trPr>
        <w:tc>
          <w:tcPr>
            <w:tcW w:type="dxa" w:w="2120"/>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Source</w:t>
            </w:r>
          </w:p>
        </w:tc>
        <w:tc>
          <w:tcPr>
            <w:tcW w:type="dxa" w:w="4819"/>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What it detects</w:t>
            </w:r>
          </w:p>
        </w:tc>
        <w:tc>
          <w:tcPr>
            <w:tcW w:type="dxa" w:w="2699"/>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Routes to</w:t>
            </w:r>
          </w:p>
        </w:tc>
      </w:tr>
      <w:tr>
        <w:trPr>
          <w:cantSplit/>
        </w:trPr>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Amazon GuardDuty</w:t>
            </w:r>
          </w:p>
        </w:tc>
        <w:tc>
          <w:tcPr>
            <w:tcW w:type="dxa" w:w="481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Threat findings across the SMART AWS account: credential misuse, anomalous API calls, communication with known-malicious hosts, reconnaissance.</w:t>
            </w:r>
          </w:p>
        </w:tc>
        <w:tc>
          <w:tcPr>
            <w:tcW w:type="dxa" w:w="269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 + ISO (High/Critical findings page immediately)</w:t>
            </w:r>
          </w:p>
        </w:tc>
      </w:tr>
      <w:tr>
        <w:trPr>
          <w:cantSplit/>
        </w:trPr>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AWS CloudTrail</w:t>
            </w:r>
          </w:p>
        </w:tc>
        <w:tc>
          <w:tcPr>
            <w:tcW w:type="dxa" w:w="481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Every control-plane action in the account — immutable audit trail used for triage and forensics.</w:t>
            </w:r>
          </w:p>
        </w:tc>
        <w:tc>
          <w:tcPr>
            <w:tcW w:type="dxa" w:w="269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Reviewed during triage; anomaly alarms via GuardDuty</w:t>
            </w:r>
          </w:p>
        </w:tc>
      </w:tr>
      <w:tr>
        <w:trPr>
          <w:cantSplit/>
        </w:trPr>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Amazon CloudWatch alarms</w:t>
            </w:r>
          </w:p>
        </w:tc>
        <w:tc>
          <w:tcPr>
            <w:tcW w:type="dxa" w:w="481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Service CPU/memory saturation, ALB 5xx rate, ECS running-vs-desired task count, database health.</w:t>
            </w:r>
          </w:p>
        </w:tc>
        <w:tc>
          <w:tcPr>
            <w:tcW w:type="dxa" w:w="269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w:t>
            </w:r>
          </w:p>
        </w:tc>
      </w:tr>
      <w:tr>
        <w:trPr>
          <w:cantSplit/>
        </w:trPr>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Sentry</w:t>
            </w:r>
          </w:p>
        </w:tc>
        <w:tc>
          <w:tcPr>
            <w:tcW w:type="dxa" w:w="481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Application errors and error-rate spikes, tagged by release and environment (PII-scrubbed).</w:t>
            </w:r>
          </w:p>
        </w:tc>
        <w:tc>
          <w:tcPr>
            <w:tcW w:type="dxa" w:w="269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w:t>
            </w:r>
          </w:p>
        </w:tc>
      </w:tr>
      <w:tr>
        <w:trPr>
          <w:cantSplit/>
        </w:trPr>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ECS health checks</w:t>
            </w:r>
          </w:p>
        </w:tc>
        <w:tc>
          <w:tcPr>
            <w:tcW w:type="dxa" w:w="481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Unhealthy tasks are replaced automatically; repeated replacement raises an alarm.</w:t>
            </w:r>
          </w:p>
        </w:tc>
        <w:tc>
          <w:tcPr>
            <w:tcW w:type="dxa" w:w="269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w:t>
            </w:r>
          </w:p>
        </w:tc>
      </w:tr>
      <w:tr>
        <w:trPr>
          <w:cantSplit/>
        </w:trPr>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Amazon ECR scan-on-push</w:t>
            </w:r>
          </w:p>
        </w:tc>
        <w:tc>
          <w:tcPr>
            <w:tcW w:type="dxa" w:w="481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Vulnerabilities in every container image before it can be deployed.</w:t>
            </w:r>
          </w:p>
        </w:tc>
        <w:tc>
          <w:tcPr>
            <w:tcW w:type="dxa" w:w="269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Engineering (Critical/High findings block release)</w:t>
            </w:r>
          </w:p>
        </w:tc>
      </w:tr>
      <w:tr>
        <w:trPr>
          <w:cantSplit/>
        </w:trPr>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Top-up ledger monitors</w:t>
            </w:r>
          </w:p>
        </w:tc>
        <w:tc>
          <w:tcPr>
            <w:tcW w:type="dxa" w:w="481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Rows in status ‘charged’ with no fulfilment after 10 minutes; any ‘charge_uncertain’ row; fulfilled/charged ratio below 98% over one hour; the billing gate running the mock provider in production.</w:t>
            </w:r>
          </w:p>
        </w:tc>
        <w:tc>
          <w:tcPr>
            <w:tcW w:type="dxa" w:w="269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 + Billing &amp; Reconciliation Owner (High)</w:t>
            </w:r>
          </w:p>
        </w:tc>
      </w:tr>
      <w:tr>
        <w:trPr>
          <w:cantSplit/>
        </w:trPr>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Credit-gate monitors</w:t>
            </w:r>
          </w:p>
        </w:tc>
        <w:tc>
          <w:tcPr>
            <w:tcW w:type="dxa" w:w="481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credit_exhausted refusals for subscribers who hold balance; unattributable out-of-band credit grants; credit-rate-unconfigured (503) responses.</w:t>
            </w:r>
          </w:p>
        </w:tc>
        <w:tc>
          <w:tcPr>
            <w:tcW w:type="dxa" w:w="269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 + Billing &amp; Reconciliation Owner</w:t>
            </w:r>
          </w:p>
        </w:tc>
      </w:tr>
      <w:tr>
        <w:trPr>
          <w:cantSplit/>
        </w:trPr>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AWS WAF / Shield</w:t>
            </w:r>
          </w:p>
        </w:tc>
        <w:tc>
          <w:tcPr>
            <w:tcW w:type="dxa" w:w="481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Blocked request volume, rate-based rule triggers, DDoS mitigation events at the edge.</w:t>
            </w:r>
          </w:p>
        </w:tc>
        <w:tc>
          <w:tcPr>
            <w:tcW w:type="dxa" w:w="269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w:t>
            </w:r>
          </w:p>
        </w:tc>
      </w:tr>
      <w:tr>
        <w:trPr>
          <w:cantSplit/>
        </w:trPr>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AI-safety governance gate</w:t>
            </w:r>
          </w:p>
        </w:tc>
        <w:tc>
          <w:tcPr>
            <w:tcW w:type="dxa" w:w="481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Prompt-injection / exfiltration attempts and blocked harmful requests (logged, not user-identifying beyond the account id).</w:t>
            </w:r>
          </w:p>
        </w:tc>
        <w:tc>
          <w:tcPr>
            <w:tcW w:type="dxa" w:w="269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Reviewed weekly; spikes alert the OCE</w:t>
            </w:r>
          </w:p>
        </w:tc>
      </w:tr>
      <w:tr>
        <w:trPr>
          <w:cantSplit/>
        </w:trPr>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Dependency advisories</w:t>
            </w:r>
          </w:p>
        </w:tc>
        <w:tc>
          <w:tcPr>
            <w:tcW w:type="dxa" w:w="481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GitHub Dependabot alerts on application dependencies.</w:t>
            </w:r>
          </w:p>
        </w:tc>
        <w:tc>
          <w:tcPr>
            <w:tcW w:type="dxa" w:w="269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Engineering</w:t>
            </w:r>
          </w:p>
        </w:tc>
      </w:tr>
    </w:tbl>
    <w:p>
      <w:pPr>
        <w:pStyle w:val="Heading2"/>
        <w:keepNext/>
        <w:spacing w:after="120" w:before="260"/>
      </w:pPr>
      <w:r>
        <w:rPr>
          <w:rFonts w:ascii="Calibri" w:cs="Calibri" w:eastAsia="Calibri" w:hAnsi="Calibri"/>
          <w:b/>
          <w:bCs/>
          <w:color w:val="1B2430"/>
          <w:sz w:val="25"/>
          <w:szCs w:val="25"/>
        </w:rPr>
        <w:t xml:space="preserve">5.2 Reported incidents</w:t>
      </w:r>
    </w:p>
    <w:p>
      <w:pPr>
        <w:pStyle w:val="ListParagraph"/>
        <w:numPr>
          <w:ilvl w:val="0"/>
          <w:numId w:val="2"/>
        </w:numPr>
        <w:spacing w:after="60" w:line="264"/>
      </w:pPr>
      <w:r>
        <w:rPr>
          <w:rFonts w:ascii="Calibri" w:cs="Calibri" w:eastAsia="Calibri" w:hAnsi="Calibri"/>
          <w:b/>
          <w:bCs/>
          <w:sz w:val="21"/>
          <w:szCs w:val="21"/>
        </w:rPr>
        <w:t xml:space="preserve">Amihan staff. </w:t>
      </w:r>
      <w:r>
        <w:rPr>
          <w:rFonts w:ascii="Calibri" w:cs="Calibri" w:eastAsia="Calibri" w:hAnsi="Calibri"/>
          <w:sz w:val="21"/>
          <w:szCs w:val="21"/>
        </w:rPr>
        <w:t xml:space="preserve">Anyone who observes a security weakness, suspicious activity, a service problem or a billing anomaly reports it immediately to the OCE through the on-call channel. Suspected malicious behaviour by an Amihan staff member or contractor is reported directly and only to the ISO or CEO.</w:t>
      </w:r>
    </w:p>
    <w:p>
      <w:pPr>
        <w:pStyle w:val="ListParagraph"/>
        <w:numPr>
          <w:ilvl w:val="0"/>
          <w:numId w:val="2"/>
        </w:numPr>
        <w:spacing w:after="60" w:line="264"/>
      </w:pPr>
      <w:r>
        <w:rPr>
          <w:rFonts w:ascii="Calibri" w:cs="Calibri" w:eastAsia="Calibri" w:hAnsi="Calibri"/>
          <w:b/>
          <w:bCs/>
          <w:sz w:val="21"/>
          <w:szCs w:val="21"/>
        </w:rPr>
        <w:t xml:space="preserve">Subscribers. </w:t>
      </w:r>
      <w:r>
        <w:rPr>
          <w:rFonts w:ascii="Calibri" w:cs="Calibri" w:eastAsia="Calibri" w:hAnsi="Calibri"/>
          <w:sz w:val="21"/>
          <w:szCs w:val="21"/>
        </w:rPr>
        <w:t xml:space="preserve">Reports arrive through the in-app feedback tab, the AI.Smart support channel, and the customer-service portal. Support triages billing complaints (“I was charged but got no credits”, “I was charged twice”) to the Billing &amp; Reconciliation Owner the same day.</w:t>
      </w:r>
    </w:p>
    <w:p>
      <w:pPr>
        <w:pStyle w:val="ListParagraph"/>
        <w:numPr>
          <w:ilvl w:val="0"/>
          <w:numId w:val="2"/>
        </w:numPr>
        <w:spacing w:after="60" w:line="264"/>
      </w:pPr>
      <w:r>
        <w:rPr>
          <w:rFonts w:ascii="Calibri" w:cs="Calibri" w:eastAsia="Calibri" w:hAnsi="Calibri"/>
          <w:b/>
          <w:bCs/>
          <w:sz w:val="21"/>
          <w:szCs w:val="21"/>
        </w:rPr>
        <w:t xml:space="preserve">Smart. </w:t>
      </w:r>
      <w:r>
        <w:rPr>
          <w:rFonts w:ascii="Calibri" w:cs="Calibri" w:eastAsia="Calibri" w:hAnsi="Calibri"/>
          <w:sz w:val="21"/>
          <w:szCs w:val="21"/>
        </w:rPr>
        <w:t xml:space="preserve">Reports from Smart CSOG (security findings, scan results, abuse reports), the Smart Business Owner (subscriber escalations) or Smart’s Operator Billing team (transaction disputes, gateway changes) go to the Partner Liaison, who opens the incident with the OCE within one hour.</w:t>
      </w:r>
    </w:p>
    <w:p>
      <w:pPr>
        <w:pStyle w:val="ListParagraph"/>
        <w:numPr>
          <w:ilvl w:val="0"/>
          <w:numId w:val="2"/>
        </w:numPr>
        <w:spacing w:after="60" w:line="264"/>
      </w:pPr>
      <w:r>
        <w:rPr>
          <w:rFonts w:ascii="Calibri" w:cs="Calibri" w:eastAsia="Calibri" w:hAnsi="Calibri"/>
          <w:b/>
          <w:bCs/>
          <w:sz w:val="21"/>
          <w:szCs w:val="21"/>
        </w:rPr>
        <w:t xml:space="preserve">Third parties. </w:t>
      </w:r>
      <w:r>
        <w:rPr>
          <w:rFonts w:ascii="Calibri" w:cs="Calibri" w:eastAsia="Calibri" w:hAnsi="Calibri"/>
          <w:sz w:val="21"/>
          <w:szCs w:val="21"/>
        </w:rPr>
        <w:t xml:space="preserve">Security researchers, AWS Health/abuse notices, OpenAI/Sentry incident notices and the penetration-test provider (CyberQ Group) are routed to the ISO.</w:t>
      </w:r>
    </w:p>
    <w:p>
      <w:pPr>
        <w:spacing w:after="120" w:before="0" w:line="276"/>
      </w:pPr>
      <w:r>
        <w:rPr>
          <w:rFonts w:ascii="Calibri" w:cs="Calibri" w:eastAsia="Calibri" w:hAnsi="Calibri"/>
          <w:sz w:val="21"/>
          <w:szCs w:val="21"/>
        </w:rPr>
        <w:t xml:space="preserve">Every reported or detected incident is recorded in the incident log (see §7.2) — including those later closed as false positives.</w:t>
      </w:r>
    </w:p>
    <w:p>
      <w:pPr>
        <w:pStyle w:val="Heading1"/>
        <w:keepNext/>
        <w:spacing w:after="160" w:before="360"/>
      </w:pPr>
      <w:r>
        <w:rPr>
          <w:rFonts w:ascii="Calibri" w:cs="Calibri" w:eastAsia="Calibri" w:hAnsi="Calibri"/>
          <w:b/>
          <w:bCs/>
          <w:color w:val="0F6B45"/>
          <w:sz w:val="30"/>
          <w:szCs w:val="30"/>
        </w:rPr>
        <w:t xml:space="preserve">6. Severity classification and response targets</w:t>
      </w:r>
    </w:p>
    <w:p>
      <w:pPr>
        <w:spacing w:after="120" w:before="0" w:line="276"/>
      </w:pPr>
      <w:r>
        <w:rPr>
          <w:rFonts w:ascii="Calibri" w:cs="Calibri" w:eastAsia="Calibri" w:hAnsi="Calibri"/>
          <w:sz w:val="21"/>
          <w:szCs w:val="21"/>
        </w:rPr>
        <w:t xml:space="preserve">The OCE assigns an initial severity within the triage window; the IC may re-classify as facts emerge. Severity drives who is engaged, how fast, and whether and when Smart is notified.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2120"/>
        <w:gridCol w:w="3181"/>
        <w:gridCol w:w="1446"/>
        <w:gridCol w:w="1831"/>
      </w:tblGrid>
      <w:tr>
        <w:trPr>
          <w:tblHeader/>
        </w:trPr>
        <w:tc>
          <w:tcPr>
            <w:tcW w:type="dxa" w:w="1060"/>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Severity</w:t>
            </w:r>
          </w:p>
        </w:tc>
        <w:tc>
          <w:tcPr>
            <w:tcW w:type="dxa" w:w="2120"/>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Definition</w:t>
            </w:r>
          </w:p>
        </w:tc>
        <w:tc>
          <w:tcPr>
            <w:tcW w:type="dxa" w:w="3181"/>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AI.Smart examples</w:t>
            </w:r>
          </w:p>
        </w:tc>
        <w:tc>
          <w:tcPr>
            <w:tcW w:type="dxa" w:w="1446"/>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Acknowledge</w:t>
            </w:r>
          </w:p>
        </w:tc>
        <w:tc>
          <w:tcPr>
            <w:tcW w:type="dxa" w:w="1831"/>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Smart notified</w:t>
            </w:r>
          </w:p>
        </w:tc>
      </w:tr>
      <w:tr>
        <w:trPr>
          <w:cantSplit/>
        </w:trPr>
        <w:tc>
          <w:tcPr>
            <w:tcW w:type="dxa" w:w="106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Critical</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 security attack has succeeded, or production is down or corrupted for all subscribers, or subscribers are being charged wrongly at scale.</w:t>
            </w:r>
          </w:p>
        </w:tc>
        <w:tc>
          <w:tcPr>
            <w:tcW w:type="dxa" w:w="318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Confirmed exposure of subscriber PII or content; credential compromise of the AWS account; total outage of www.ai.smart; mock billing provider found active on production with credits minted; systematic double-charging.</w:t>
            </w:r>
          </w:p>
        </w:tc>
        <w:tc>
          <w:tcPr>
            <w:tcW w:type="dxa" w:w="1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Immediately; IC + ISO within 15 min; all-hands</w:t>
            </w:r>
          </w:p>
        </w:tc>
        <w:tc>
          <w:tcPr>
            <w:tcW w:type="dxa" w:w="183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Initial notice within 1 hour of confirmation; updates at least every 2 hours</w:t>
            </w:r>
          </w:p>
        </w:tc>
      </w:tr>
      <w:tr>
        <w:trPr>
          <w:cantSplit/>
        </w:trPr>
        <w:tc>
          <w:tcPr>
            <w:tcW w:type="dxa" w:w="106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w:t>
            </w:r>
          </w:p>
        </w:tc>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An attack is likely or in progress but not yet successful, or a core function is unavailable/degraded for many subscribers, or money and credits have diverged for real subscribers.</w:t>
            </w:r>
          </w:p>
        </w:tc>
        <w:tc>
          <w:tcPr>
            <w:tcW w:type="dxa" w:w="318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GuardDuty High finding; malware or backdoor indicators; sign-in unavailable (OTP delivery down); AI generation failing for &gt;25% of requests; charge_uncertain rows or charged-but-unfulfilled top-ups in production; Smart gateway rejecting all charges.</w:t>
            </w:r>
          </w:p>
        </w:tc>
        <w:tc>
          <w:tcPr>
            <w:tcW w:type="dxa" w:w="144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Within 15 min, 24×7; IC engaged within 30 min</w:t>
            </w:r>
          </w:p>
        </w:tc>
        <w:tc>
          <w:tcPr>
            <w:tcW w:type="dxa" w:w="183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Initial notice within 4 hours; updates every business half-day</w:t>
            </w:r>
          </w:p>
        </w:tc>
      </w:tr>
      <w:tr>
        <w:trPr>
          <w:cantSplit/>
        </w:trPr>
        <w:tc>
          <w:tcPr>
            <w:tcW w:type="dxa" w:w="106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Medium</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Limited impact with a workaround, or a suspicious event requiring investigation but no active threat.</w:t>
            </w:r>
          </w:p>
        </w:tc>
        <w:tc>
          <w:tcPr>
            <w:tcW w:type="dxa" w:w="318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 single feature degraded (e.g. image generation failing while chat works); a phishing email targeting staff; an isolated subscriber billing dispute; elevated WAF blocks; a Medium ECR finding.</w:t>
            </w:r>
          </w:p>
        </w:tc>
        <w:tc>
          <w:tcPr>
            <w:tcW w:type="dxa" w:w="1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Within 1 business hour</w:t>
            </w:r>
          </w:p>
        </w:tc>
        <w:tc>
          <w:tcPr>
            <w:tcW w:type="dxa" w:w="183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 the weekly service report, or same day if a subscriber complaint originates from Smart</w:t>
            </w:r>
          </w:p>
        </w:tc>
      </w:tr>
      <w:tr>
        <w:trPr>
          <w:cantSplit/>
        </w:trPr>
        <w:tc>
          <w:tcPr>
            <w:tcW w:type="dxa" w:w="106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Low</w:t>
            </w:r>
          </w:p>
        </w:tc>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 immediate remediation needed; cosmetic or contained.</w:t>
            </w:r>
          </w:p>
        </w:tc>
        <w:tc>
          <w:tcPr>
            <w:tcW w:type="dxa" w:w="318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Non-security bug; Low ECR/dependency finding; failed non-production deploy; single OTP email delayed.</w:t>
            </w:r>
          </w:p>
        </w:tc>
        <w:tc>
          <w:tcPr>
            <w:tcW w:type="dxa" w:w="144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Next business day</w:t>
            </w:r>
          </w:p>
        </w:tc>
        <w:tc>
          <w:tcPr>
            <w:tcW w:type="dxa" w:w="183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Not individually; summarised in the monthly report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1E9E5A" w:sz="4"/>
              <w:left w:val="single" w:color="1E9E5A" w:sz="24"/>
              <w:bottom w:val="single" w:color="1E9E5A" w:sz="4"/>
              <w:right w:val="single" w:color="1E9E5A" w:sz="4"/>
            </w:tcBorders>
            <w:shd w:fill="EAF6EF" w:color="auto" w:val="clear"/>
            <w:tcMar>
              <w:top w:type="dxa" w:w="100"/>
              <w:left w:type="dxa" w:w="140"/>
              <w:bottom w:type="dxa" w:w="100"/>
              <w:right w:type="dxa" w:w="140"/>
            </w:tcMar>
          </w:tcPr>
          <w:p>
            <w:pPr>
              <w:spacing w:after="60"/>
            </w:pPr>
            <w:r>
              <w:rPr>
                <w:rFonts w:ascii="Calibri" w:cs="Calibri" w:eastAsia="Calibri" w:hAnsi="Calibri"/>
                <w:b/>
                <w:bCs/>
                <w:color w:val="0F6B45"/>
                <w:sz w:val="21"/>
                <w:szCs w:val="21"/>
              </w:rPr>
              <w:t xml:space="preserve">Escalation rule</w:t>
            </w:r>
          </w:p>
          <w:p>
            <w:pPr>
              <w:spacing w:after="40" w:line="252"/>
            </w:pPr>
            <w:r>
              <w:rPr>
                <w:rFonts w:ascii="Calibri" w:cs="Calibri" w:eastAsia="Calibri" w:hAnsi="Calibri"/>
                <w:sz w:val="20"/>
                <w:szCs w:val="20"/>
              </w:rPr>
              <w:t xml:space="preserve">The OCE must escalate every High or Critical incident to the Incident Commander and the Information Security Officer immediately on classification — never wait for confirmation of impact. Downgrading later is cheap; a late escalation is not.</w:t>
            </w:r>
          </w:p>
          <w:p>
            <w:pPr>
              <w:spacing w:after="40" w:line="252"/>
            </w:pPr>
            <w:r>
              <w:rPr>
                <w:rFonts w:ascii="Calibri" w:cs="Calibri" w:eastAsia="Calibri" w:hAnsi="Calibri"/>
                <w:sz w:val="20"/>
                <w:szCs w:val="20"/>
              </w:rPr>
              <w:t xml:space="preserve">Any incident involving subscriber personal data, money, or a Smart-facing interface is High until the ISO or IC decides otherwise.</w:t>
            </w:r>
          </w:p>
        </w:tc>
      </w:tr>
    </w:tbl>
    <w:p>
      <w:pPr>
        <w:pStyle w:val="Heading1"/>
        <w:keepNext/>
        <w:spacing w:after="160" w:before="360"/>
      </w:pPr>
      <w:r>
        <w:rPr>
          <w:rFonts w:ascii="Calibri" w:cs="Calibri" w:eastAsia="Calibri" w:hAnsi="Calibri"/>
          <w:b/>
          <w:bCs/>
          <w:color w:val="0F6B45"/>
          <w:sz w:val="30"/>
          <w:szCs w:val="30"/>
        </w:rPr>
        <w:t xml:space="preserve">7. Incident lifecycle</w:t>
      </w:r>
    </w:p>
    <w:p>
      <w:pPr>
        <w:pStyle w:val="Heading2"/>
        <w:keepNext/>
        <w:spacing w:after="120" w:before="260"/>
      </w:pPr>
      <w:r>
        <w:rPr>
          <w:rFonts w:ascii="Calibri" w:cs="Calibri" w:eastAsia="Calibri" w:hAnsi="Calibri"/>
          <w:b/>
          <w:bCs/>
          <w:color w:val="1B2430"/>
          <w:sz w:val="25"/>
          <w:szCs w:val="25"/>
        </w:rPr>
        <w:t xml:space="preserve">7.1 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397"/>
        <w:gridCol w:w="2506"/>
      </w:tblGrid>
      <w:tr>
        <w:trPr>
          <w:tblHeader/>
        </w:trPr>
        <w:tc>
          <w:tcPr>
            <w:tcW w:type="dxa" w:w="173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Stage</w:t>
            </w:r>
          </w:p>
        </w:tc>
        <w:tc>
          <w:tcPr>
            <w:tcW w:type="dxa" w:w="5397"/>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What happens</w:t>
            </w:r>
          </w:p>
        </w:tc>
        <w:tc>
          <w:tcPr>
            <w:tcW w:type="dxa" w:w="2506"/>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Exit criterion</w:t>
            </w:r>
          </w:p>
        </w:tc>
      </w:tr>
      <w:tr>
        <w:trPr>
          <w:cantSplit/>
        </w:trPr>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1. Detect &amp; report</w:t>
            </w:r>
          </w:p>
        </w:tc>
        <w:tc>
          <w:tcPr>
            <w:tcW w:type="dxa" w:w="539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Alert fires or a report arrives. The OCE acknowledges and opens an incident record.</w:t>
            </w:r>
          </w:p>
        </w:tc>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Incident record exists with time of first signal.</w:t>
            </w:r>
          </w:p>
        </w:tc>
      </w:tr>
      <w:tr>
        <w:trPr>
          <w:cantSplit/>
        </w:trPr>
        <w:tc>
          <w:tcPr>
            <w:tcW w:type="dxa" w:w="173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2. Triage &amp; classify</w:t>
            </w:r>
          </w:p>
        </w:tc>
        <w:tc>
          <w:tcPr>
            <w:tcW w:type="dxa" w:w="5397"/>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The OCE confirms the signal is real, establishes scope (which subscribers, which component, which data), assigns severity (§6) and the playbook (§8), and escalates if High/Critical.</w:t>
            </w:r>
          </w:p>
        </w:tc>
        <w:tc>
          <w:tcPr>
            <w:tcW w:type="dxa" w:w="250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Severity set; IC engaged where required; Smart initial notice sent where required.</w:t>
            </w:r>
          </w:p>
        </w:tc>
      </w:tr>
      <w:tr>
        <w:trPr>
          <w:cantSplit/>
        </w:trPr>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3. Contain</w:t>
            </w:r>
          </w:p>
        </w:tc>
        <w:tc>
          <w:tcPr>
            <w:tcW w:type="dxa" w:w="539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Stop the harm from spreading: revoke/rotate credentials, isolate a component, flip a kill switch, block an IP range at WAF, roll back to the last known-good release by image digest, or freeze the billing path.</w:t>
            </w:r>
          </w:p>
        </w:tc>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 further damage is occurring; blast radius is bounded and understood.</w:t>
            </w:r>
          </w:p>
        </w:tc>
      </w:tr>
      <w:tr>
        <w:trPr>
          <w:cantSplit/>
        </w:trPr>
        <w:tc>
          <w:tcPr>
            <w:tcW w:type="dxa" w:w="173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4. Eradicate &amp; remediate</w:t>
            </w:r>
          </w:p>
        </w:tc>
        <w:tc>
          <w:tcPr>
            <w:tcW w:type="dxa" w:w="5397"/>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Remove the cause: patch, fix, reconfigure, purge malicious artefacts, correct ledger state, grant or refund where owed.</w:t>
            </w:r>
          </w:p>
        </w:tc>
        <w:tc>
          <w:tcPr>
            <w:tcW w:type="dxa" w:w="250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Root cause addressed; fix verified in the affected environment.</w:t>
            </w:r>
          </w:p>
        </w:tc>
      </w:tr>
      <w:tr>
        <w:trPr>
          <w:cantSplit/>
        </w:trPr>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5. Recover</w:t>
            </w:r>
          </w:p>
        </w:tc>
        <w:tc>
          <w:tcPr>
            <w:tcW w:type="dxa" w:w="539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Restore full service: redeploy, restore data from snapshot/PITR if needed, re-enable disabled paths, verify with health/smoke checks and monitoring.</w:t>
            </w:r>
          </w:p>
        </w:tc>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Service and data integrity verified; monitoring quiet for an agreed soak period.</w:t>
            </w:r>
          </w:p>
        </w:tc>
      </w:tr>
      <w:tr>
        <w:trPr>
          <w:cantSplit/>
        </w:trPr>
        <w:tc>
          <w:tcPr>
            <w:tcW w:type="dxa" w:w="173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6. Close</w:t>
            </w:r>
          </w:p>
        </w:tc>
        <w:tc>
          <w:tcPr>
            <w:tcW w:type="dxa" w:w="5397"/>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IC confirms resolution; Partner Liaison sends the resolution notice; the incident record is completed with timeline, impact, actions and evidence references.</w:t>
            </w:r>
          </w:p>
        </w:tc>
        <w:tc>
          <w:tcPr>
            <w:tcW w:type="dxa" w:w="2506"/>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Record closed; resolution notice sent (High/Critical).</w:t>
            </w:r>
          </w:p>
        </w:tc>
      </w:tr>
      <w:tr>
        <w:trPr>
          <w:cantSplit/>
        </w:trPr>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7. Review &amp; improve</w:t>
            </w:r>
          </w:p>
        </w:tc>
        <w:tc>
          <w:tcPr>
            <w:tcW w:type="dxa" w:w="539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Blameless post-incident review (§10) within 5 business days for High/Critical; corrective actions assigned with owners and dates.</w:t>
            </w:r>
          </w:p>
        </w:tc>
        <w:tc>
          <w:tcPr>
            <w:tcW w:type="dxa" w:w="250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Review published; actions tracked to closure.</w:t>
            </w:r>
          </w:p>
        </w:tc>
      </w:tr>
    </w:tbl>
    <w:p>
      <w:pPr>
        <w:pStyle w:val="Heading2"/>
        <w:keepNext/>
        <w:spacing w:after="120" w:before="260"/>
      </w:pPr>
      <w:r>
        <w:rPr>
          <w:rFonts w:ascii="Calibri" w:cs="Calibri" w:eastAsia="Calibri" w:hAnsi="Calibri"/>
          <w:b/>
          <w:bCs/>
          <w:color w:val="1B2430"/>
          <w:sz w:val="25"/>
          <w:szCs w:val="25"/>
        </w:rPr>
        <w:t xml:space="preserve">7.2 The incident record</w:t>
      </w:r>
    </w:p>
    <w:p>
      <w:pPr>
        <w:spacing w:after="120" w:before="0" w:line="276"/>
      </w:pPr>
      <w:r>
        <w:rPr>
          <w:rFonts w:ascii="Calibri" w:cs="Calibri" w:eastAsia="Calibri" w:hAnsi="Calibri"/>
          <w:sz w:val="21"/>
          <w:szCs w:val="21"/>
        </w:rPr>
        <w:t xml:space="preserve">Every incident has a single record — a ticket in Amihan’s incident tracker — that holds: unique ID, severity, times of first signal / acknowledgement / containment / resolution, affected components and subscribers (count, never a PII list), the timeline of what was known when, actions taken and by whom, evidence references (CloudTrail/CloudWatch queries, Sentry events, ledger transaction IDs), Smart communications sent, and the post-incident review link. The log of all incidents is retained for a minimum of three years.</w:t>
      </w:r>
    </w:p>
    <w:p>
      <w:pPr>
        <w:pStyle w:val="Heading2"/>
        <w:keepNext/>
        <w:spacing w:after="120" w:before="260"/>
      </w:pPr>
      <w:r>
        <w:rPr>
          <w:rFonts w:ascii="Calibri" w:cs="Calibri" w:eastAsia="Calibri" w:hAnsi="Calibri"/>
          <w:b/>
          <w:bCs/>
          <w:color w:val="1B2430"/>
          <w:sz w:val="25"/>
          <w:szCs w:val="25"/>
        </w:rPr>
        <w:t xml:space="preserve">7.3 Containment tools available to responders</w:t>
      </w:r>
    </w:p>
    <w:p>
      <w:pPr>
        <w:spacing w:after="120" w:before="0" w:line="276"/>
      </w:pPr>
      <w:r>
        <w:rPr>
          <w:rFonts w:ascii="Calibri" w:cs="Calibri" w:eastAsia="Calibri" w:hAnsi="Calibri"/>
          <w:sz w:val="21"/>
          <w:szCs w:val="21"/>
        </w:rPr>
        <w:t xml:space="preserve">Because AI.Smart is fully defined in code, most containment actions are configuration flips or redeploys rather than emergency engineering. Responders have the following pre-approved actions; each is reversible and logged in CloudTrail: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5012"/>
        <w:gridCol w:w="1735"/>
      </w:tblGrid>
      <w:tr>
        <w:trPr>
          <w:tblHeader/>
        </w:trPr>
        <w:tc>
          <w:tcPr>
            <w:tcW w:type="dxa" w:w="2891"/>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Action</w:t>
            </w:r>
          </w:p>
        </w:tc>
        <w:tc>
          <w:tcPr>
            <w:tcW w:type="dxa" w:w="5012"/>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Effect</w:t>
            </w:r>
          </w:p>
        </w:tc>
        <w:tc>
          <w:tcPr>
            <w:tcW w:type="dxa" w:w="173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Time to apply</w:t>
            </w:r>
          </w:p>
        </w:tc>
      </w:tr>
      <w:tr>
        <w:trPr>
          <w:cantSplit/>
        </w:trPr>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Roll back the application</w:t>
            </w:r>
          </w:p>
        </w:tc>
        <w:tc>
          <w:tcPr>
            <w:tcW w:type="dxa" w:w="501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Re-dispatch the previous release tag; the pipeline redeploys the exact prior image by digest.</w:t>
            </w:r>
          </w:p>
        </w:tc>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 10 min</w:t>
            </w:r>
          </w:p>
        </w:tc>
      </w:tr>
      <w:tr>
        <w:trPr>
          <w:cantSplit/>
        </w:trPr>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Billing kill switch — SMART_BILLING_PROVIDER=off</w:t>
            </w:r>
          </w:p>
        </w:tc>
        <w:tc>
          <w:tcPr>
            <w:tcW w:type="dxa" w:w="5012"/>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All top-up routes answer 503; the top-up modal shows “unavailable”; no consent request or charge can be issued. Existing balances are unaffected.</w:t>
            </w:r>
          </w:p>
        </w:tc>
        <w:tc>
          <w:tcPr>
            <w:tcW w:type="dxa" w:w="173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 10 min (env flip + task restart)</w:t>
            </w:r>
          </w:p>
        </w:tc>
      </w:tr>
      <w:tr>
        <w:trPr>
          <w:cantSplit/>
        </w:trPr>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Credit-enforcement rollback — PREPAID_MODE=false / gateway enforcement off</w:t>
            </w:r>
          </w:p>
        </w:tc>
        <w:tc>
          <w:tcPr>
            <w:tcW w:type="dxa" w:w="501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Returns the credit meter and gate to cap-based behaviour; grants already minted remain valid.</w:t>
            </w:r>
          </w:p>
        </w:tc>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 5 min</w:t>
            </w:r>
          </w:p>
        </w:tc>
      </w:tr>
      <w:tr>
        <w:trPr>
          <w:cantSplit/>
        </w:trPr>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Edge block</w:t>
            </w:r>
          </w:p>
        </w:tc>
        <w:tc>
          <w:tcPr>
            <w:tcW w:type="dxa" w:w="5012"/>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Add an IP/CIDR block or tighten the rate-based rule on AWS WAF.</w:t>
            </w:r>
          </w:p>
        </w:tc>
        <w:tc>
          <w:tcPr>
            <w:tcW w:type="dxa" w:w="173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 5 min</w:t>
            </w:r>
          </w:p>
        </w:tc>
      </w:tr>
      <w:tr>
        <w:trPr>
          <w:cantSplit/>
        </w:trPr>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Credential rotation</w:t>
            </w:r>
          </w:p>
        </w:tc>
        <w:tc>
          <w:tcPr>
            <w:tcW w:type="dxa" w:w="501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Rotate database, gateway virtual key or Smart billing credentials in Secrets Manager and restart tasks.</w:t>
            </w:r>
          </w:p>
        </w:tc>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 15 min</w:t>
            </w:r>
          </w:p>
        </w:tc>
      </w:tr>
      <w:tr>
        <w:trPr>
          <w:cantSplit/>
        </w:trPr>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Isolate a component</w:t>
            </w:r>
          </w:p>
        </w:tc>
        <w:tc>
          <w:tcPr>
            <w:tcW w:type="dxa" w:w="5012"/>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Remove a security-group rule to sever a path (e.g. app → billing egress) without taking the service down.</w:t>
            </w:r>
          </w:p>
        </w:tc>
        <w:tc>
          <w:tcPr>
            <w:tcW w:type="dxa" w:w="173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 5 min</w:t>
            </w:r>
          </w:p>
        </w:tc>
      </w:tr>
      <w:tr>
        <w:trPr>
          <w:cantSplit/>
        </w:trPr>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Analytics/telemetry off — MIXPANEL_RESEARCH_MODE</w:t>
            </w:r>
          </w:p>
        </w:tc>
        <w:tc>
          <w:tcPr>
            <w:tcW w:type="dxa" w:w="501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Master switch that silences all product telemetry emission if a telemetry-related privacy concern arises.</w:t>
            </w:r>
          </w:p>
        </w:tc>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 5 min</w:t>
            </w:r>
          </w:p>
        </w:tc>
      </w:tr>
      <w:tr>
        <w:trPr>
          <w:cantSplit/>
        </w:trPr>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Restore data</w:t>
            </w:r>
          </w:p>
        </w:tc>
        <w:tc>
          <w:tcPr>
            <w:tcW w:type="dxa" w:w="5012"/>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Aurora point-in-time recovery (7-day window) or restore from the automatic pre-migration snapshot.</w:t>
            </w:r>
          </w:p>
        </w:tc>
        <w:tc>
          <w:tcPr>
            <w:tcW w:type="dxa" w:w="173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30–60 min</w:t>
            </w:r>
          </w:p>
        </w:tc>
      </w:tr>
      <w:tr>
        <w:trPr>
          <w:cantSplit/>
        </w:trPr>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Maintenance hold</w:t>
            </w:r>
          </w:p>
        </w:tc>
        <w:tc>
          <w:tcPr>
            <w:tcW w:type="dxa" w:w="5012"/>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Scale the application service to zero behind a maintenance response at the proxy.</w:t>
            </w:r>
          </w:p>
        </w:tc>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 5 min</w:t>
            </w:r>
          </w:p>
        </w:tc>
      </w:tr>
    </w:tbl>
    <w:p>
      <w:pPr>
        <w:pStyle w:val="Heading1"/>
        <w:keepNext/>
        <w:spacing w:after="160" w:before="360"/>
      </w:pPr>
      <w:r>
        <w:rPr>
          <w:rFonts w:ascii="Calibri" w:cs="Calibri" w:eastAsia="Calibri" w:hAnsi="Calibri"/>
          <w:b/>
          <w:bCs/>
          <w:color w:val="0F6B45"/>
          <w:sz w:val="30"/>
          <w:szCs w:val="30"/>
        </w:rPr>
        <w:t xml:space="preserve">8. Incident catalogue and playbooks</w:t>
      </w:r>
    </w:p>
    <w:p>
      <w:pPr>
        <w:spacing w:after="120" w:before="0" w:line="276"/>
      </w:pPr>
      <w:r>
        <w:rPr>
          <w:rFonts w:ascii="Calibri" w:cs="Calibri" w:eastAsia="Calibri" w:hAnsi="Calibri"/>
          <w:sz w:val="21"/>
          <w:szCs w:val="21"/>
        </w:rPr>
        <w:t xml:space="preserve">The playbooks below cover the incident types that can plausibly occur in AI.Smart, grouped by domain. Each states the signals that identify it, the default severity, the first actions, containment, what (if anything) Smart is asked to do, and the evidence to preserve. Where an incident spans domains — a security incident that also affects billing, for example — the ISO commands and the relevant owners join.</w:t>
      </w:r>
    </w:p>
    <w:p>
      <w:pPr>
        <w:pStyle w:val="Heading2"/>
        <w:keepNext/>
        <w:spacing w:after="120" w:before="260"/>
      </w:pPr>
      <w:r>
        <w:rPr>
          <w:rFonts w:ascii="Calibri" w:cs="Calibri" w:eastAsia="Calibri" w:hAnsi="Calibri"/>
          <w:b/>
          <w:bCs/>
          <w:color w:val="1B2430"/>
          <w:sz w:val="25"/>
          <w:szCs w:val="25"/>
        </w:rPr>
        <w:t xml:space="preserve">8.1 Security incidents</w:t>
      </w:r>
    </w:p>
    <w:p>
      <w:pPr>
        <w:pStyle w:val="Heading3"/>
        <w:keepNext/>
        <w:spacing w:after="80" w:before="200"/>
      </w:pPr>
      <w:r>
        <w:rPr>
          <w:rFonts w:ascii="Calibri" w:cs="Calibri" w:eastAsia="Calibri" w:hAnsi="Calibri"/>
          <w:b/>
          <w:bCs/>
          <w:color w:val="1E9E5A"/>
          <w:sz w:val="22"/>
          <w:szCs w:val="22"/>
        </w:rPr>
        <w:t xml:space="preserve">8.1.1  Unauthorised access or credential compromise (AWS, GitHub, admin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GuardDuty credential-misuse or anomalous-API findings; CloudTrail events from unknown principals, regions or IPs; unexpected IAM/security-group/secret changes; GitHub audit-log anomalies; admin-portal actions not matching any operator.</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Critical if the principal reached subscriber data, secrets, or the billing configuration.</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Disable the affected identity/keys; force MFA re-enrolment; snapshot CloudTrail for the window; enumerate every action the principal took; confirm production images and task definitions are unchanged (digest comparison).</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Rotate every secret the principal could have read (database DSNs, gateway key, Smart billing credentials); review and revert any configuration change; redeploy from a known-good digest; tighten security groups if a path was widened; complete an access review of all human and machine identities.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Notify CSOG within the §6 window with scope and the actions taken. No Smart action required unless Smart billing credentials were exposed — then request Smart rotate the DataPower/Consent credentials issued to AI.Smart.</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CloudTrail export, GuardDuty findings, GitHub audit log, Secrets Manager access log, IAM credential report, task-definition history.</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ISO (command); Infra Operations Lead (execution).</w:t>
            </w:r>
          </w:p>
        </w:tc>
      </w:tr>
    </w:tbl>
    <w:p>
      <w:pPr>
        <w:spacing w:after="120"/>
      </w:pPr>
    </w:p>
    <w:p>
      <w:pPr>
        <w:pStyle w:val="Heading3"/>
        <w:keepNext/>
        <w:spacing w:after="80" w:before="200"/>
      </w:pPr>
      <w:r>
        <w:rPr>
          <w:rFonts w:ascii="Calibri" w:cs="Calibri" w:eastAsia="Calibri" w:hAnsi="Calibri"/>
          <w:b/>
          <w:bCs/>
          <w:color w:val="1E9E5A"/>
          <w:sz w:val="22"/>
          <w:szCs w:val="22"/>
        </w:rPr>
        <w:t xml:space="preserve">8.1.2  Subscriber personal-data or content exposure (breach)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that subscriber PII (name, email, MSISDN) or uploaded content/chat history was accessed or disclosed to an unauthorised party — via compromise (8.1.1), a defect (e.g. an ownership-check bypass returning another user’s data), a misconfigured store, or an insider.</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Critical.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ISO assumes command; contain the access path (disable endpoint, roll back release, revoke credentials); preserve all logs; establish the data categories, the number of data subjects and the window of exposure; CEO informed; legal counsel engaged where the ISO deems privilege appropriate.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Fix or remove the vulnerable path; verify with the authorisation test suite (IDOR matrix); confirm no further exfiltration via CloudTrail/VPC flow logs; rotate any exposed secrets; prepare the data-subject notification.</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Notify Smart CSOG and the Smart Business Owner within 1 hour of confirmation with a factual initial notice; agree jointly on subscriber communication (Smart owns the subscriber relationship and channel). Notify the National Privacy Commission and affected data subjects within 72 hours of knowledge, per NPC Circular 16-03, coordinated with Smart.</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Request logs for the affected endpoint, CloudTrail, database access logs, Sentry events, the exact release digest in production during the window, a preserved copy of the defective code path.</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ISO (command); CEO (external statements); Partner Liaison (Smart).</w:t>
            </w:r>
          </w:p>
        </w:tc>
      </w:tr>
    </w:tbl>
    <w:p>
      <w:pPr>
        <w:spacing w:after="120"/>
      </w:pPr>
    </w:p>
    <w:p>
      <w:pPr>
        <w:pStyle w:val="Heading3"/>
        <w:keepNext/>
        <w:spacing w:after="80" w:before="200"/>
      </w:pPr>
      <w:r>
        <w:rPr>
          <w:rFonts w:ascii="Calibri" w:cs="Calibri" w:eastAsia="Calibri" w:hAnsi="Calibri"/>
          <w:b/>
          <w:bCs/>
          <w:color w:val="1E9E5A"/>
          <w:sz w:val="22"/>
          <w:szCs w:val="22"/>
        </w:rPr>
        <w:t xml:space="preserve">8.1.3  Malicious or negligent insider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Report to the ISO/CEO; CloudTrail or GitHub activity inconsistent with a person’s role; unexplained data export, admin-portal grants or voucher issuance; attempts to disable logging.</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Critical if data or funds were affected.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The ISO and CEO handle the report in confidence — no discussion with other staff. Preserve evidence before any action that could tip off the individual; then suspend access in a single coordinated step (GitHub, AWS, admin portal, email).</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Audit every action by the individual over the relevant window (CloudTrail, GitHub, admin-portal audit trail, voucher/grant ledgers); reverse unauthorised grants; rotate any shared credential the person held; complete an access review; follow HR/legal process.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Notify CSOG if subscriber data, funds or credits were affected; otherwise recorded in the quarterly summary.</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Preserved audit trails, admin-portal action log, voucher/credit-grant ledgers, device image where legally appropriate.</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ISO and CEO.</w:t>
            </w:r>
          </w:p>
        </w:tc>
      </w:tr>
    </w:tbl>
    <w:p>
      <w:pPr>
        <w:spacing w:after="120"/>
      </w:pPr>
    </w:p>
    <w:p>
      <w:pPr>
        <w:pStyle w:val="Heading3"/>
        <w:keepNext/>
        <w:spacing w:after="80" w:before="200"/>
      </w:pPr>
      <w:r>
        <w:rPr>
          <w:rFonts w:ascii="Calibri" w:cs="Calibri" w:eastAsia="Calibri" w:hAnsi="Calibri"/>
          <w:b/>
          <w:bCs/>
          <w:color w:val="1E9E5A"/>
          <w:sz w:val="22"/>
          <w:szCs w:val="22"/>
        </w:rPr>
        <w:t xml:space="preserve">8.1.4  Vulnerability disclosure or pentest finding (Critical/High)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 finding from the independent penetration test (CyberQ Group), a CSOG scan, a researcher report, an ECR/Dependabot Critical advisory in a reachable code path.</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for a Critical/High exploitable finding in production; Medium otherwise.</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Reproduce and confirm exploitability in production; check logs for prior exploitation (if any, escalate to 8.1.1/8.1.2); apply a mitigating control (WAF rule, feature disable) while the fix is prepared.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Fix through the normal reviewed pipeline with a regression test; verify with a re-test; remediation targets — Critical 24–72 h, High 7 days, Medium 30 days, Low next release.</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CSOG receives the finding status in the next report; findings from CSOG’s own scans are acknowledged within one business day with a remediation date.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Finding report, reproduction notes, fix commit, re-test result.</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Engineering lead; ISO tracks closure.</w:t>
            </w:r>
          </w:p>
        </w:tc>
      </w:tr>
    </w:tbl>
    <w:p>
      <w:pPr>
        <w:spacing w:after="120"/>
      </w:pPr>
    </w:p>
    <w:p>
      <w:pPr>
        <w:pStyle w:val="Heading3"/>
        <w:keepNext/>
        <w:spacing w:after="80" w:before="200"/>
      </w:pPr>
      <w:r>
        <w:rPr>
          <w:rFonts w:ascii="Calibri" w:cs="Calibri" w:eastAsia="Calibri" w:hAnsi="Calibri"/>
          <w:b/>
          <w:bCs/>
          <w:color w:val="1E9E5A"/>
          <w:sz w:val="22"/>
          <w:szCs w:val="22"/>
        </w:rPr>
        <w:t xml:space="preserve">8.1.5  Denial-of-service, abuse or automated scraping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Shield/WAF mitigation events; ALB request volume or 5xx spikes; rate-limit (429) surges concentrated on few accounts/IPs; unusual outbound-fetch volume via the URL-ingestion feature; AI-gateway spend spikes.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Medium; High if subscribers are impacted or costs are escalating.</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Identify the pattern (IP, account, endpoint); apply a WAF block or tighten the rate-based rule; disable the abused account(s); confirm autoscaling is absorbing load.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Adjust per-user rate limits; add a WAF rule for the attack signature; if the abuse used a subscriber account, treat as account takeover (8.3.2).</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Informed if service impact reached subscribers; Smart’s network team engaged only if the attack originates from within Smart’s network ranges.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WAF logs, ALB access logs, rate-limit logs, gateway usage records.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 Infra Operations Lead.</w:t>
            </w:r>
          </w:p>
        </w:tc>
      </w:tr>
    </w:tbl>
    <w:p>
      <w:pPr>
        <w:spacing w:after="120"/>
      </w:pPr>
    </w:p>
    <w:p>
      <w:pPr>
        <w:pStyle w:val="Heading3"/>
        <w:keepNext/>
        <w:spacing w:after="80" w:before="200"/>
      </w:pPr>
      <w:r>
        <w:rPr>
          <w:rFonts w:ascii="Calibri" w:cs="Calibri" w:eastAsia="Calibri" w:hAnsi="Calibri"/>
          <w:b/>
          <w:bCs/>
          <w:color w:val="1E9E5A"/>
          <w:sz w:val="22"/>
          <w:szCs w:val="22"/>
        </w:rPr>
        <w:t xml:space="preserve">8.1.6  Secret or credential leakage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 secret found in source control, a log line, a build artefact, a chat transcript or a screenshot; a vendor (GitHub, AWS) secret-scanning alert; unexpected use of a credential.</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(Critical if it is the AWS account, the database master or the Smart billing credentials and use is confirmed).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Rotate the credential first, investigate second. For Smart billing credentials, flip SMART_BILLING_PROVIDER=off until the new credentials are in place; check the top-up ledger for transactions in the exposure window.</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Purge the secret from wherever it leaked (history rewrite, log redaction); confirm the build-time guard that sweeps the client bundle for credential names still passes; add a scanning rule for the pattern.</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If Smart-issued credentials leaked: request re-issue through Smart’s Operator Billing on-boarding contact and share the ledger of transactions in the window for their reconciliation.</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Where and when the secret appeared, CloudTrail/Smart-side usage in the window, rotation timestamps.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ISO; Infra Operations Lead.</w:t>
            </w:r>
          </w:p>
        </w:tc>
      </w:tr>
    </w:tbl>
    <w:p>
      <w:pPr>
        <w:spacing w:after="120"/>
      </w:pPr>
    </w:p>
    <w:p>
      <w:pPr>
        <w:pStyle w:val="Heading3"/>
        <w:keepNext/>
        <w:spacing w:after="80" w:before="200"/>
      </w:pPr>
      <w:r>
        <w:rPr>
          <w:rFonts w:ascii="Calibri" w:cs="Calibri" w:eastAsia="Calibri" w:hAnsi="Calibri"/>
          <w:b/>
          <w:bCs/>
          <w:color w:val="1E9E5A"/>
          <w:sz w:val="22"/>
          <w:szCs w:val="22"/>
        </w:rPr>
        <w:t xml:space="preserve">8.1.7  Supply-chain or CI/CD compromise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 compromised upstream package advisory; unexpected changes to workflows, the Dockerfile or infrastructure code; a deploy not traceable to an approved workflow run; an image in ECR whose digest does not match a CI build.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Critical if the image is running in production.</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Freeze deployments (protect the environment); compare the running task definition’s image digest with the CI build record; if mismatched, roll back to the last digest with a verified build provenance.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Pin or remove the affected dependency; rotate the CI OIDC role trust if the workflow was altered; audit GitHub organisation permissions and branch protection; rebuild from a clean commit.</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CSOG notified if a compromised artefact reached production.</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GitHub workflow run logs, ECR image history, task-definition revisions, dependency lockfile diff.</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Engineering lead; ISO.</w:t>
            </w:r>
          </w:p>
        </w:tc>
      </w:tr>
    </w:tbl>
    <w:p>
      <w:pPr>
        <w:spacing w:after="120"/>
      </w:pPr>
    </w:p>
    <w:p>
      <w:pPr>
        <w:pStyle w:val="Heading2"/>
        <w:keepNext/>
        <w:spacing w:after="120" w:before="260"/>
      </w:pPr>
      <w:r>
        <w:rPr>
          <w:rFonts w:ascii="Calibri" w:cs="Calibri" w:eastAsia="Calibri" w:hAnsi="Calibri"/>
          <w:b/>
          <w:bCs/>
          <w:color w:val="1B2430"/>
          <w:sz w:val="25"/>
          <w:szCs w:val="25"/>
        </w:rPr>
        <w:t xml:space="preserve">8.2 Availability and performance incidents</w:t>
      </w:r>
    </w:p>
    <w:p>
      <w:pPr>
        <w:pStyle w:val="Heading3"/>
        <w:keepNext/>
        <w:spacing w:after="80" w:before="200"/>
      </w:pPr>
      <w:r>
        <w:rPr>
          <w:rFonts w:ascii="Calibri" w:cs="Calibri" w:eastAsia="Calibri" w:hAnsi="Calibri"/>
          <w:b/>
          <w:bCs/>
          <w:color w:val="1E9E5A"/>
          <w:sz w:val="22"/>
          <w:szCs w:val="22"/>
        </w:rPr>
        <w:t xml:space="preserve">8.2.1  Full or partial outage of www.ai.smart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ALB 5xx alarm; ECS running-count below desired; health checks failing; Sentry error storm; subscriber reports.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Critical if all subscribers are affected; High for a core feature (sign-in, chat, upload).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Check the deployment history — if a release preceded the outage, roll back by re-dispatching the prior tag; check dependency health (Aurora, AI gateway, identity service); check AWS Health for a regional event.</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Restore service on the last known-good release; scale the service; fail the affected AZ if the event is zonal; if data is involved, follow 8.2.3.</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Initial notice with expected restoration time; resolution notice with cause. Smart is asked to act only if DNS for ai.smart (Smart-owned) needs a change.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Deploy workflow runs, task events, ALB metrics, Sentry release comparison.</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 Infra Operations Lead as IC.</w:t>
            </w:r>
          </w:p>
        </w:tc>
      </w:tr>
    </w:tbl>
    <w:p>
      <w:pPr>
        <w:spacing w:after="120"/>
      </w:pPr>
    </w:p>
    <w:p>
      <w:pPr>
        <w:pStyle w:val="Heading3"/>
        <w:keepNext/>
        <w:spacing w:after="80" w:before="200"/>
      </w:pPr>
      <w:r>
        <w:rPr>
          <w:rFonts w:ascii="Calibri" w:cs="Calibri" w:eastAsia="Calibri" w:hAnsi="Calibri"/>
          <w:b/>
          <w:bCs/>
          <w:color w:val="1E9E5A"/>
          <w:sz w:val="22"/>
          <w:szCs w:val="22"/>
        </w:rPr>
        <w:t xml:space="preserve">8.2.2  AI model provider outage or degradation (Amazon Bedrock, OpenAI image API, AI gateway)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Gateway 5xx/timeout rate; generations failing while the rest of the app works; provider status-page incident; per-request latency far above baseline.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if chat is affected for most subscribers; Medium if only image generation/editing (OpenAI path) is affected.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Confirm which provider/alias is failing from gateway logs; check the provider’s status page; verify the gateway virtual key is valid and the account is not budget-exhausted.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Re-route the failing alias to an alternate model at the gateway where one exists; surface a clear in-app message for the affected feature; do not retry-storm the provider.</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Informed if subscriber-visible for more than 30 minutes. No Smart action.</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Gateway logs and metrics, provider status-page reference.</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 platform (gateway) owner.</w:t>
            </w:r>
          </w:p>
        </w:tc>
      </w:tr>
    </w:tbl>
    <w:p>
      <w:pPr>
        <w:spacing w:after="120"/>
      </w:pPr>
    </w:p>
    <w:p>
      <w:pPr>
        <w:pStyle w:val="Heading3"/>
        <w:keepNext/>
        <w:spacing w:after="80" w:before="200"/>
      </w:pPr>
      <w:r>
        <w:rPr>
          <w:rFonts w:ascii="Calibri" w:cs="Calibri" w:eastAsia="Calibri" w:hAnsi="Calibri"/>
          <w:b/>
          <w:bCs/>
          <w:color w:val="1E9E5A"/>
          <w:sz w:val="22"/>
          <w:szCs w:val="22"/>
        </w:rPr>
        <w:t xml:space="preserve">8.2.3  Database incident (Aurora failure, corruption, accidental deletion, failed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Connection errors; writer failover event; a migration one-shot exiting non-zero; data missing after a deploy; deletion-protection alarm.</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Critical if subscriber data is lost or the service is down; High otherwise.</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Stop further writes if corruption is suspected (maintenance hold); identify the last known-good point; note that every deploy takes an automatic pre-migration snapshot.</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Fail over to the reader if the writer is unhealthy (managed); restore via point-in-time recovery or the pre-migration snapshot into a new cluster; validate with integrity checks before switching the application; replay any writes lost in the gap from logs where possible.</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Initial notice for any restore from backup, stating the data window affected. No Smart action.</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RDS events, migration job logs, snapshot identifiers, before/after row counts.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Infra Operations Lead.</w:t>
            </w:r>
          </w:p>
        </w:tc>
      </w:tr>
    </w:tbl>
    <w:p>
      <w:pPr>
        <w:spacing w:after="120"/>
      </w:pPr>
    </w:p>
    <w:p>
      <w:pPr>
        <w:pStyle w:val="Heading3"/>
        <w:keepNext/>
        <w:spacing w:after="80" w:before="200"/>
      </w:pPr>
      <w:r>
        <w:rPr>
          <w:rFonts w:ascii="Calibri" w:cs="Calibri" w:eastAsia="Calibri" w:hAnsi="Calibri"/>
          <w:b/>
          <w:bCs/>
          <w:color w:val="1E9E5A"/>
          <w:sz w:val="22"/>
          <w:szCs w:val="22"/>
        </w:rPr>
        <w:t xml:space="preserve">8.2.4  Deployment regression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Error rate or latency rises immediately after a production deploy; a feature stops working; smoke checks fail.</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Medium; High if a core feature or billing is affected.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Roll back by re-dispatching the previous release tag (image digest pinned) — do not fix forward under pressure.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Reproduce in smart-dev; fix with a regression test; promote only after the CI gate and smoke checks pass.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Not individually unless subscriber-visible for more than 30 minutes.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Deploy run IDs, before/after Sentry release health.</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 engineering lead.</w:t>
            </w:r>
          </w:p>
        </w:tc>
      </w:tr>
    </w:tbl>
    <w:p>
      <w:pPr>
        <w:spacing w:after="120"/>
      </w:pPr>
    </w:p>
    <w:p>
      <w:pPr>
        <w:pStyle w:val="Heading3"/>
        <w:keepNext/>
        <w:spacing w:after="80" w:before="200"/>
      </w:pPr>
      <w:r>
        <w:rPr>
          <w:rFonts w:ascii="Calibri" w:cs="Calibri" w:eastAsia="Calibri" w:hAnsi="Calibri"/>
          <w:b/>
          <w:bCs/>
          <w:color w:val="1E9E5A"/>
          <w:sz w:val="22"/>
          <w:szCs w:val="22"/>
        </w:rPr>
        <w:t xml:space="preserve">8.2.5  Certificate, DNS or domain incident (ai.smart)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Browser TLS errors; ACM certificate validation failure; DNS resolution failures; unexpected changes to the Smart-owned ai.smart zone.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Critical if the site is unreachable; High if renewal is at risk.</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Confirm certificate status in ACM and DNS records; if the zone changed on Smart’s side, contact Smart’s domain owner immediately with the exact record required.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Restore the ALIAS/validation records; re-issue the certificate if needed. Track certificate expiry with an alarm at 30 days.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This is the one availability scenario where Smart may need to act — the ai.smart domain is Smart-owned. The Partner Liaison provides the exact DNS records and a rollback plan.</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DNS query logs, ACM event history, change tickets.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Infra Operations Lead; Partner Liaison.</w:t>
            </w:r>
          </w:p>
        </w:tc>
      </w:tr>
    </w:tbl>
    <w:p>
      <w:pPr>
        <w:spacing w:after="120"/>
      </w:pPr>
    </w:p>
    <w:p>
      <w:pPr>
        <w:pStyle w:val="Heading3"/>
        <w:keepNext/>
        <w:spacing w:after="80" w:before="200"/>
      </w:pPr>
      <w:r>
        <w:rPr>
          <w:rFonts w:ascii="Calibri" w:cs="Calibri" w:eastAsia="Calibri" w:hAnsi="Calibri"/>
          <w:b/>
          <w:bCs/>
          <w:color w:val="1E9E5A"/>
          <w:sz w:val="22"/>
          <w:szCs w:val="22"/>
        </w:rPr>
        <w:t xml:space="preserve">8.2.6  Third-party dependency outage (transactional email, Sentry, GitHub, AWS regional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Provider status page; OTP emails not delivered (sign-in complaints); CI unavailable; AWS Health notification.</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if sign-in is affected (email OTP is the only credential); Medium otherwise.</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Confirm on the provider status page; for email, check bounce/delivery metrics and sender reputation; communicate an ETA in-app if sign-in is affected.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Switch to the secondary email delivery path where configured; extend OTP validity window only if the ISO approves; for an AWS regional event, invoke the business-continuity plan (rebuild from IaC in an alternate region).</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Initial notice if sign-in is impacted for more than 30 minutes.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Provider incident IDs, delivery logs.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w:t>
            </w:r>
          </w:p>
        </w:tc>
      </w:tr>
    </w:tbl>
    <w:p>
      <w:pPr>
        <w:spacing w:after="120"/>
      </w:pPr>
    </w:p>
    <w:p>
      <w:pPr>
        <w:pStyle w:val="Heading2"/>
        <w:keepNext/>
        <w:spacing w:after="120" w:before="260"/>
      </w:pPr>
      <w:r>
        <w:rPr>
          <w:rFonts w:ascii="Calibri" w:cs="Calibri" w:eastAsia="Calibri" w:hAnsi="Calibri"/>
          <w:b/>
          <w:bCs/>
          <w:color w:val="1B2430"/>
          <w:sz w:val="25"/>
          <w:szCs w:val="25"/>
        </w:rPr>
        <w:t xml:space="preserve">8.3 Identity and access incidents</w:t>
      </w:r>
    </w:p>
    <w:p>
      <w:pPr>
        <w:pStyle w:val="Heading3"/>
        <w:keepNext/>
        <w:spacing w:after="80" w:before="200"/>
      </w:pPr>
      <w:r>
        <w:rPr>
          <w:rFonts w:ascii="Calibri" w:cs="Calibri" w:eastAsia="Calibri" w:hAnsi="Calibri"/>
          <w:b/>
          <w:bCs/>
          <w:color w:val="1E9E5A"/>
          <w:sz w:val="22"/>
          <w:szCs w:val="22"/>
        </w:rPr>
        <w:t xml:space="preserve">8.3.1  One-time-code (OTP) sign-in failures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Subscribers report codes not arriving or being rejected; identity-service error rate; email bounce spike; code-verification failure rate above baseline.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if widespread; Medium if isolated (e.g. one domain’s mail filter).</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Distinguish delivery (email provider) from verification (identity service) failures; check for a deploy or configuration change to the identity service; check whether a specific email provider is rejecting messages.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Fix delivery or configuration; for a single-provider block, engage the provider and adjust sending configuration; never issue codes through an unverified channel.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Informed if widespread; Smart’s subscriber-care team may be given a holding statement.</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Identity-service logs, email delivery logs, affected-domain list.</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 platform (identity) owner.</w:t>
            </w:r>
          </w:p>
        </w:tc>
      </w:tr>
    </w:tbl>
    <w:p>
      <w:pPr>
        <w:spacing w:after="120"/>
      </w:pPr>
    </w:p>
    <w:p>
      <w:pPr>
        <w:pStyle w:val="Heading3"/>
        <w:keepNext/>
        <w:spacing w:after="80" w:before="200"/>
      </w:pPr>
      <w:r>
        <w:rPr>
          <w:rFonts w:ascii="Calibri" w:cs="Calibri" w:eastAsia="Calibri" w:hAnsi="Calibri"/>
          <w:b/>
          <w:bCs/>
          <w:color w:val="1E9E5A"/>
          <w:sz w:val="22"/>
          <w:szCs w:val="22"/>
        </w:rPr>
        <w:t xml:space="preserve">8.3.2  Subscriber account takeover or suspicious account activity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 subscriber reports activity they did not perform; sign-ins from unusual locations at high frequency; a top-up they did not initiate; rate-limit trips on one account.</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Critical if a charge was placed or content was exfiltrated.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Revoke all sessions for the account; block the account pending contact; check the top-up ledger for charges on the account’s MSISDN in the window.</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Verify ownership of the email inbox with the subscriber (with Smart’s subscriber-care team where needed); restore access; if a charge was placed without consent, follow 8.4.7.</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Informed via the Smart Business Owner when a charge or content is involved; Smart may need to confirm the MSISDN’s owner.</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Identity-service session records, request logs, top-up transactions.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 ISO if a pattern emerges.</w:t>
            </w:r>
          </w:p>
        </w:tc>
      </w:tr>
    </w:tbl>
    <w:p>
      <w:pPr>
        <w:spacing w:after="120"/>
      </w:pPr>
    </w:p>
    <w:p>
      <w:pPr>
        <w:pStyle w:val="Heading3"/>
        <w:keepNext/>
        <w:spacing w:after="80" w:before="200"/>
      </w:pPr>
      <w:r>
        <w:rPr>
          <w:rFonts w:ascii="Calibri" w:cs="Calibri" w:eastAsia="Calibri" w:hAnsi="Calibri"/>
          <w:b/>
          <w:bCs/>
          <w:color w:val="1E9E5A"/>
          <w:sz w:val="22"/>
          <w:szCs w:val="22"/>
        </w:rPr>
        <w:t xml:space="preserve">8.3.3  Billed mobile number mismatch (charge to the wrong MSISDN)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 subscriber reports a charge on a number that is not theirs, or that their current number was not billed; a top-up shows a masked number the subscriber does not recognise.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Freeze further top-ups for the account; retrieve the transaction (referenceCode, serverReferenceCode, billed MSISDN — masked in logs, full value in the ledger); confirm which stored number (Settings-saved vs signup trait) was used.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Correct the account’s number with verification; if a wrong line was charged, open a refund request with Smart (8.4.6) and grant the subscriber their credit; review the precedence logic if the wrong source was used.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Refund via Smart’s Operator Billing process using the serverReferenceCode.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Ledger row, identity traits history, request logs.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Billing &amp; Reconciliation Owner.</w:t>
            </w:r>
          </w:p>
        </w:tc>
      </w:tr>
    </w:tbl>
    <w:p>
      <w:pPr>
        <w:spacing w:after="120"/>
      </w:pPr>
    </w:p>
    <w:p>
      <w:pPr>
        <w:pStyle w:val="Heading2"/>
        <w:keepNext/>
        <w:spacing w:after="120" w:before="260"/>
      </w:pPr>
      <w:r>
        <w:rPr>
          <w:rFonts w:ascii="Calibri" w:cs="Calibri" w:eastAsia="Calibri" w:hAnsi="Calibri"/>
          <w:b/>
          <w:bCs/>
          <w:color w:val="1B2430"/>
          <w:sz w:val="25"/>
          <w:szCs w:val="25"/>
        </w:rPr>
        <w:t xml:space="preserve">8.4 Billing and payment incidents (Charge to Smart / prepaid credits)</w:t>
      </w:r>
    </w:p>
    <w:p>
      <w:pPr>
        <w:spacing w:after="120" w:before="0" w:line="276"/>
      </w:pPr>
      <w:r>
        <w:rPr>
          <w:rFonts w:ascii="Calibri" w:cs="Calibri" w:eastAsia="Calibri" w:hAnsi="Calibri"/>
          <w:sz w:val="21"/>
          <w:szCs w:val="21"/>
        </w:rPr>
        <w:t xml:space="preserve">AI.Smart takes payment through Smart Operator Billing with Consent (direct carrier billing). Every attempt is recorded in the top-up ledger as a state machine — consent_pending → pin_sent → charging → charged → fulfilled — with failed, pin_locked, expired and charge_uncertain as explicit holding/terminal states. The credit grant is minted with the Smart referenceCode as its idempotency key, so a retry can never credit twice, and the live billing provider refuses to start unless the grant mint is configured, so money is never taken for a grant that cannot be fulfilled. The playbooks below cover what happens when reality nonetheless diverges.</w:t>
      </w:r>
    </w:p>
    <w:p>
      <w:pPr>
        <w:pStyle w:val="Heading3"/>
        <w:keepNext/>
        <w:spacing w:after="80" w:before="200"/>
      </w:pPr>
      <w:r>
        <w:rPr>
          <w:rFonts w:ascii="Calibri" w:cs="Calibri" w:eastAsia="Calibri" w:hAnsi="Calibri"/>
          <w:b/>
          <w:bCs/>
          <w:color w:val="1E9E5A"/>
          <w:sz w:val="22"/>
          <w:szCs w:val="22"/>
        </w:rPr>
        <w:t xml:space="preserve">8.4.1  Charged but not credited (charged, unfulfilled)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Alert: ledger rows in status ‘charged’ with no fulfilment after 10 minutes; ERROR log ‘[topup] charged_unfulfilled’; subscriber report ‘I paid but have no credits’.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(money has been taken).</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Open the transaction (GET /api/topup/{id}) — the route self-heals by replaying the idempotent mint; if the mint still fails, read the mint error (credit service unreachable, conversion rate unconfigured, authentication) and fix the cause.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Replay the mint once the cause is fixed (idempotent — safe); if it cannot be replayed within one hour, the Billing &amp; Reconciliation Owner grants the same tier manually through the admin route with the same idempotency key; confirm the subscriber’s meter shows the balance; if the mint is systemically down, flip the billing kill switch to stop taking new money.</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None — the charge is correct; the shortfall is ours to fulfil. Included in the monthly reconciliation summary.</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Ledger row, mint request/response logs (secrets redacted), grant ID.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Billing &amp; Reconciliation Owner; OCE for the kill switch.</w:t>
            </w:r>
          </w:p>
        </w:tc>
      </w:tr>
    </w:tbl>
    <w:p>
      <w:pPr>
        <w:spacing w:after="120"/>
      </w:pPr>
    </w:p>
    <w:p>
      <w:pPr>
        <w:pStyle w:val="Heading3"/>
        <w:keepNext/>
        <w:spacing w:after="80" w:before="200"/>
      </w:pPr>
      <w:r>
        <w:rPr>
          <w:rFonts w:ascii="Calibri" w:cs="Calibri" w:eastAsia="Calibri" w:hAnsi="Calibri"/>
          <w:b/>
          <w:bCs/>
          <w:color w:val="1E9E5A"/>
          <w:sz w:val="22"/>
          <w:szCs w:val="22"/>
        </w:rPr>
        <w:t xml:space="preserve">8.4.2  Uncertain charge (timeout with no response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Ledger row in ‘charge_uncertain’ (the charge call reached the 90-second ceiling without a response); alert ‘Charge uncertain — any in production’; subscriber saw “We couldn’t confirm the charge yet”.</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Do not retry the charge (a retry could double-charge). Record the referenceCode and timestamp; check whether the charge subsequently appears in Smart’s transaction report or the gateway’s response logs.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Resolve by reconciliation, not inquiry: if Smart’s report shows ‘Charged’, mark charged and mint (idempotent); if it shows no charge, mark failed and tell the subscriber they can try again; if Smart reports are unavailable for more than one business day, escalate to Smart’s Operator Billing team with the referenceCode list. Repeated uncertainty indicates a gateway latency problem — flip the kill switch until resolved.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Request the transaction status for the listed referenceCodes from Smart’s Operator Billing team. This is a routine reconciliation request, not an incident escalation, unless volume is abnormal.</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Ledger row, request timing logs, Smart transaction report extract.</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Billing &amp; Reconciliation Owner.</w:t>
            </w:r>
          </w:p>
        </w:tc>
      </w:tr>
    </w:tbl>
    <w:p>
      <w:pPr>
        <w:spacing w:after="120"/>
      </w:pPr>
    </w:p>
    <w:p>
      <w:pPr>
        <w:pStyle w:val="Heading3"/>
        <w:keepNext/>
        <w:spacing w:after="80" w:before="200"/>
      </w:pPr>
      <w:r>
        <w:rPr>
          <w:rFonts w:ascii="Calibri" w:cs="Calibri" w:eastAsia="Calibri" w:hAnsi="Calibri"/>
          <w:b/>
          <w:bCs/>
          <w:color w:val="1E9E5A"/>
          <w:sz w:val="22"/>
          <w:szCs w:val="22"/>
        </w:rPr>
        <w:t xml:space="preserve">8.4.3  Suspected duplicate charge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Subscriber reports two charges for one top-up; Smart returns response 9007 (duplicate); two ledger rows for one intent in a short window.</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Pull both transactions by referenceCode; confirm from the ledger whether two distinct consents/charges completed (the single-flight update makes this impossible through one PIN, so two charges imply two separate PIN flows).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If two real charges exist for one intended purchase, refund one via Smart (8.4.6) and keep the credit grant for the other; if only one charge exists and the subscriber saw a duplicated message, correct the copy and reassure.</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Refund request with serverReferenceCode where a genuine duplicate is confirmed.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Both ledger rows, Smart response bodies, subscriber’s bill/SMS receipt.</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Billing &amp; Reconciliation Owner.</w:t>
            </w:r>
          </w:p>
        </w:tc>
      </w:tr>
    </w:tbl>
    <w:p>
      <w:pPr>
        <w:spacing w:after="120"/>
      </w:pPr>
    </w:p>
    <w:p>
      <w:pPr>
        <w:pStyle w:val="Heading3"/>
        <w:keepNext/>
        <w:spacing w:after="80" w:before="200"/>
      </w:pPr>
      <w:r>
        <w:rPr>
          <w:rFonts w:ascii="Calibri" w:cs="Calibri" w:eastAsia="Calibri" w:hAnsi="Calibri"/>
          <w:b/>
          <w:bCs/>
          <w:color w:val="1E9E5A"/>
          <w:sz w:val="22"/>
          <w:szCs w:val="22"/>
        </w:rPr>
        <w:t xml:space="preserve">8.4.4  Consent/PIN failures at scale (SMS not received, codes expiring, locked)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Spike in pin_locked / expired / retry_later outcomes; subscribers reporting no SMS from Smart; consent endpoint returning errors or timing out (10-second ceiling).</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if most top-ups are failing; Medium if isolated.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Run the no-SMS preflight probe (proves consent endpoint reachability and credentials without charging anyone); distinguish an AI.Smart-side fault (credentials, host/port, egress IP not allow-listed) from a Smart-side fault (SMS gateway, consent service).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Fix configuration on our side; if the fault is Smart-side, show subscribers a clear ‘temporarily unavailable’ state (kill switch if the failure rate is total) rather than letting them retry into failures.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Notify Smart’s Operator Billing / Consent API team with timestamps, response codes and the deployed egress IPs; ask them to confirm service status. This is the primary scenario in which Smart-side action is needed.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Consent request/response logs (codes only — never PINs), probe output, timestamps.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 Billing &amp; Reconciliation Owner; Partner Liaison.</w:t>
            </w:r>
          </w:p>
        </w:tc>
      </w:tr>
    </w:tbl>
    <w:p>
      <w:pPr>
        <w:spacing w:after="120"/>
      </w:pPr>
    </w:p>
    <w:p>
      <w:pPr>
        <w:pStyle w:val="Heading3"/>
        <w:keepNext/>
        <w:spacing w:after="80" w:before="200"/>
      </w:pPr>
      <w:r>
        <w:rPr>
          <w:rFonts w:ascii="Calibri" w:cs="Calibri" w:eastAsia="Calibri" w:hAnsi="Calibri"/>
          <w:b/>
          <w:bCs/>
          <w:color w:val="1E9E5A"/>
          <w:sz w:val="22"/>
          <w:szCs w:val="22"/>
        </w:rPr>
        <w:t xml:space="preserve">8.4.5  Smart billing gateway unavailable or rejecting (DataPower 401/403/503, host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All charges failing with authentication or gateway errors; Smart announces an endpoint, credential or egress allow-list change.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(purchases blocked) — not a security incident unless credentials are implicated.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Confirm with the preflight probe; check for expired/rotated credentials in Secrets Manager; check whether Smart changed hosts or allow-listing.</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Update credentials or endpoint configuration through the reviewed deployment path; keep the top-up surface in ‘unavailable’ state until the probe passes.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Request confirmation of endpoint status / credential validity from Smart’s Operator Billing on-boarding contact.</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Probe output, gateway responses, configuration change record.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Infra Operations Lead; Partner Liaison.</w:t>
            </w:r>
          </w:p>
        </w:tc>
      </w:tr>
    </w:tbl>
    <w:p>
      <w:pPr>
        <w:spacing w:after="120"/>
      </w:pPr>
    </w:p>
    <w:p>
      <w:pPr>
        <w:pStyle w:val="Heading3"/>
        <w:keepNext/>
        <w:spacing w:after="80" w:before="200"/>
      </w:pPr>
      <w:r>
        <w:rPr>
          <w:rFonts w:ascii="Calibri" w:cs="Calibri" w:eastAsia="Calibri" w:hAnsi="Calibri"/>
          <w:b/>
          <w:bCs/>
          <w:color w:val="1E9E5A"/>
          <w:sz w:val="22"/>
          <w:szCs w:val="22"/>
        </w:rPr>
        <w:t xml:space="preserve">8.4.6  Refund and dispute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 subscriber disputes a charge with Smart or with AI.Smart support; a confirmed wrong-number, duplicate or unfulfillable charge.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Medium per case; High if systemic.</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Locate the transaction by referenceCode/serverReferenceCode; establish whether credits were granted and consumed.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AI.Smart does not process carrier refunds itself: the Billing &amp; Reconciliation Owner raises the refund with Smart using the serverReferenceCode (the refund correlator) and, where credits were granted in error, adjusts the balance. Goodwill credit for service failures is granted per the appeasement guideline with CEO/CRO approval.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executes the refund on the subscriber’s bill or load per its Operator Billing process; AI.Smart supplies the reference and rationale.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Ledger row, credit-grant record, subscriber correspondence.</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Billing &amp; Reconciliation Owner; Partner Liaison.</w:t>
            </w:r>
          </w:p>
        </w:tc>
      </w:tr>
    </w:tbl>
    <w:p>
      <w:pPr>
        <w:spacing w:after="120"/>
      </w:pPr>
    </w:p>
    <w:p>
      <w:pPr>
        <w:pStyle w:val="Heading3"/>
        <w:keepNext/>
        <w:spacing w:after="80" w:before="200"/>
      </w:pPr>
      <w:r>
        <w:rPr>
          <w:rFonts w:ascii="Calibri" w:cs="Calibri" w:eastAsia="Calibri" w:hAnsi="Calibri"/>
          <w:b/>
          <w:bCs/>
          <w:color w:val="1E9E5A"/>
          <w:sz w:val="22"/>
          <w:szCs w:val="22"/>
        </w:rPr>
        <w:t xml:space="preserve">8.4.7  Charge without valid consent (fraud or defect)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 subscriber states they never entered a PIN for a charge; a charge whose ledger row lacks a completed consent step; account-takeover indicators (8.3.2).</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Critical if systemic; High per case.</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Flip the billing kill switch if more than one case appears; preserve the ledger and request logs; verify whether a code path could charge without a completed consent (it should be impossible — consent binds the amount and the charge requires the consent headers).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Refund affected subscribers via Smart; fix any defect with a regression test; report to CSOG if fraud or a security defect is confirmed.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Notify CSOG (security) and the Operator Billing team (refunds) in parallel.</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Ledger, consent and charge request logs, Smart responses, session records.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ISO; Billing &amp; Reconciliation Owner.</w:t>
            </w:r>
          </w:p>
        </w:tc>
      </w:tr>
    </w:tbl>
    <w:p>
      <w:pPr>
        <w:spacing w:after="120"/>
      </w:pPr>
    </w:p>
    <w:p>
      <w:pPr>
        <w:pStyle w:val="Heading3"/>
        <w:keepNext/>
        <w:spacing w:after="80" w:before="200"/>
      </w:pPr>
      <w:r>
        <w:rPr>
          <w:rFonts w:ascii="Calibri" w:cs="Calibri" w:eastAsia="Calibri" w:hAnsi="Calibri"/>
          <w:b/>
          <w:bCs/>
          <w:color w:val="1E9E5A"/>
          <w:sz w:val="22"/>
          <w:szCs w:val="22"/>
        </w:rPr>
        <w:t xml:space="preserve">8.4.8  Reconciliation mismatch with Smart’s transaction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Monthly (or ad-hoc) comparison of the ledger against Smart’s report shows charges Smart has that we lack, or vice-versa; face-value totals differ from invoice expectations.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Medium; High if the gap is growing or involves unfulfilled subscribers.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Match on referenceCode/serverReferenceCode; classify each mismatch (uncertain charge resolved late, failed row that actually charged, reporting lag).</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Mint owed grants (idempotent) and raise refunds for charges without service; correct the ledger state with an audit note; agree the reconciled figures with Smart before invoicing.</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Routine reconciliation exchange with Smart’s billing/settlement contact.</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Reconciliation workbook, ledger export, Smart report.</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Billing &amp; Reconciliation Owner.</w:t>
            </w:r>
          </w:p>
        </w:tc>
      </w:tr>
    </w:tbl>
    <w:p>
      <w:pPr>
        <w:spacing w:after="120"/>
      </w:pPr>
    </w:p>
    <w:p>
      <w:pPr>
        <w:pStyle w:val="Heading3"/>
        <w:keepNext/>
        <w:spacing w:after="80" w:before="200"/>
      </w:pPr>
      <w:r>
        <w:rPr>
          <w:rFonts w:ascii="Calibri" w:cs="Calibri" w:eastAsia="Calibri" w:hAnsi="Calibri"/>
          <w:b/>
          <w:bCs/>
          <w:color w:val="1E9E5A"/>
          <w:sz w:val="22"/>
          <w:szCs w:val="22"/>
        </w:rPr>
        <w:t xml:space="preserve">8.4.9  Credit-gate anomalies (paywall shown wrongly, credit granted out of band, rate unconfigured)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credit_exhausted refusals for subscribers whose meter shows balance; 503 credit_rate_unconfigured responses; ERROR ‘[credits:oob-anomaly]’ (a grant AI.Smart did not make and cannot attribute); WARN ‘[credits:oob-repaired]’ spikes.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if subscribers with balance are refused service or unexplained credit is appearing; Medium otherwise.</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Compare the gate’s view and the meter for an affected account; check the platform admin portal’s credit conversion rate is set; check whether a tier-catalogue change created ambiguous budgets.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For a gate/meter divergence, roll back credit enforcement (PREPAID_MODE / gateway flag) until the cause is fixed — grants stay valid; for unexplained grants, freeze admin grant actions, audit admin-portal and voucher activity, and attribute or reverse; set the rate if unconfigured.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Informed if subscribers were refused service; otherwise internal.</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Meter/gate reads, credit-grant outbox, admin-portal audit log, voucher ledger.</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Billing &amp; Reconciliation Owner; platform owner.</w:t>
            </w:r>
          </w:p>
        </w:tc>
      </w:tr>
    </w:tbl>
    <w:p>
      <w:pPr>
        <w:spacing w:after="120"/>
      </w:pPr>
    </w:p>
    <w:p>
      <w:pPr>
        <w:pStyle w:val="Heading3"/>
        <w:keepNext/>
        <w:spacing w:after="80" w:before="200"/>
      </w:pPr>
      <w:r>
        <w:rPr>
          <w:rFonts w:ascii="Calibri" w:cs="Calibri" w:eastAsia="Calibri" w:hAnsi="Calibri"/>
          <w:b/>
          <w:bCs/>
          <w:color w:val="1E9E5A"/>
          <w:sz w:val="22"/>
          <w:szCs w:val="22"/>
        </w:rPr>
        <w:t xml:space="preserve">8.4.10  Sandbox (mock) billing provider active on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WARN ‘[billing:gate] mock in production’ on every resolution; a ‘Sandbox’ label visible on the production top-up modal; sandbox-prefixed idempotency keys in the mint outbox.</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Critical — the sandbox provider must never run on production; while it does, anyone who reaches the Plans page can grant themselves credit without payment.</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Treat as a misconfiguration, not a judgement call: set SMART_BILLING_PROVIDER to the live provider (or ‘off’) and restart immediately; then establish how the change reached production from the deployment record and CloudTrail.</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Audit every sandbox-minted grant in the window and reverse those without a matching real charge; confirm the deployment guard that forbids the mock in any production configuration is in place and passing; review who can change the production task definition.</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CSOG notified if unpaid credits were minted for real subscribers.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Task-definition history, gate logs, mint outbox with sandbox keys.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Infra Operations Lead; ISO.</w:t>
            </w:r>
          </w:p>
        </w:tc>
      </w:tr>
    </w:tbl>
    <w:p>
      <w:pPr>
        <w:spacing w:after="120"/>
      </w:pPr>
    </w:p>
    <w:p>
      <w:pPr>
        <w:pStyle w:val="Heading3"/>
        <w:keepNext/>
        <w:spacing w:after="80" w:before="200"/>
      </w:pPr>
      <w:r>
        <w:rPr>
          <w:rFonts w:ascii="Calibri" w:cs="Calibri" w:eastAsia="Calibri" w:hAnsi="Calibri"/>
          <w:b/>
          <w:bCs/>
          <w:color w:val="1E9E5A"/>
          <w:sz w:val="22"/>
          <w:szCs w:val="22"/>
        </w:rPr>
        <w:t xml:space="preserve">8.4.11  Voucher misuse, tier-catalogue error or admin-portal misuse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Voucher codes redeemed outside expected channels; a batch generated without the passcode step; a tier edited to a price/credit/budget that loses money or collides with another tier; grants issued by an operator without a matching request.</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Medium; High if financial exposure is material.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Void the affected codes/batch; revert the tier change; suspend the operator account if misuse is suspected.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Audit the voucher and grant ledgers; reconcile with Smart where vouchers were sold through Smart channels; tighten the step-up controls.</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Informed where Smart-distributed vouchers are affected.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Voucher batch records, admin audit log, tier edit history.</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Billing &amp; Reconciliation Owner; ISO for misuse.</w:t>
            </w:r>
          </w:p>
        </w:tc>
      </w:tr>
    </w:tbl>
    <w:p>
      <w:pPr>
        <w:spacing w:after="120"/>
      </w:pPr>
    </w:p>
    <w:p>
      <w:pPr>
        <w:pStyle w:val="Heading2"/>
        <w:keepNext/>
        <w:spacing w:after="120" w:before="260"/>
      </w:pPr>
      <w:r>
        <w:rPr>
          <w:rFonts w:ascii="Calibri" w:cs="Calibri" w:eastAsia="Calibri" w:hAnsi="Calibri"/>
          <w:b/>
          <w:bCs/>
          <w:color w:val="1B2430"/>
          <w:sz w:val="25"/>
          <w:szCs w:val="25"/>
        </w:rPr>
        <w:t xml:space="preserve">8.5 Data protection and privacy incidents</w:t>
      </w:r>
    </w:p>
    <w:p>
      <w:pPr>
        <w:pStyle w:val="Heading3"/>
        <w:keepNext/>
        <w:spacing w:after="80" w:before="200"/>
      </w:pPr>
      <w:r>
        <w:rPr>
          <w:rFonts w:ascii="Calibri" w:cs="Calibri" w:eastAsia="Calibri" w:hAnsi="Calibri"/>
          <w:b/>
          <w:bCs/>
          <w:color w:val="1E9E5A"/>
          <w:sz w:val="22"/>
          <w:szCs w:val="22"/>
        </w:rPr>
        <w:t xml:space="preserve">8.5.1  Data-subject request failure or retention breach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 deletion request not fully executed (content persists after account or project deletion); data retained past the 30-day post-cancellation window; a subscriber exercising rights under RA 10173 and not receiving a timely response.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Medium; High if data was retained after a documented deletion promise and then exposed.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Verify the cascade (sources, chunks, embeddings, messages, artifacts, analytics schema, object-store blobs); complete the deletion manually if a path was missed.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Fix the deletion path with a regression test; confirm backups age out on schedule (7-day PITR); respond to the data subject within the statutory period.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Informed if the request originated through Smart channels.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Deletion logs, row counts before/after, object-store listing.</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Engineering lead; ISO for regulatory response.</w:t>
            </w:r>
          </w:p>
        </w:tc>
      </w:tr>
    </w:tbl>
    <w:p>
      <w:pPr>
        <w:spacing w:after="120"/>
      </w:pPr>
    </w:p>
    <w:p>
      <w:pPr>
        <w:pStyle w:val="Heading3"/>
        <w:keepNext/>
        <w:spacing w:after="80" w:before="200"/>
      </w:pPr>
      <w:r>
        <w:rPr>
          <w:rFonts w:ascii="Calibri" w:cs="Calibri" w:eastAsia="Calibri" w:hAnsi="Calibri"/>
          <w:b/>
          <w:bCs/>
          <w:color w:val="1E9E5A"/>
          <w:sz w:val="22"/>
          <w:szCs w:val="22"/>
        </w:rPr>
        <w:t xml:space="preserve">8.5.2  Data leaving the approved processing boundary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Telemetry or error events found to contain content or identifiers (Sentry scrub failure); a model alias routed to an unapproved provider; a debug export left in an unapproved location.</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Stop the flow (telemetry master switch, gateway alias change, revoke the export); scope what left and where it went.</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Request deletion from the receiving provider under its DPA; fix the scrub/alias/config; add a test that asserts the boundary.</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CSOG informed if subscriber personal data left the approved boundary; treated as 8.1.2 if a third party could access it.</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Event samples (redacted), provider deletion confirmation, configuration diff.</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ISO.</w:t>
            </w:r>
          </w:p>
        </w:tc>
      </w:tr>
    </w:tbl>
    <w:p>
      <w:pPr>
        <w:spacing w:after="120"/>
      </w:pPr>
    </w:p>
    <w:p>
      <w:pPr>
        <w:pStyle w:val="Heading2"/>
        <w:keepNext/>
        <w:spacing w:after="120" w:before="260"/>
      </w:pPr>
      <w:r>
        <w:rPr>
          <w:rFonts w:ascii="Calibri" w:cs="Calibri" w:eastAsia="Calibri" w:hAnsi="Calibri"/>
          <w:b/>
          <w:bCs/>
          <w:color w:val="1B2430"/>
          <w:sz w:val="25"/>
          <w:szCs w:val="25"/>
        </w:rPr>
        <w:t xml:space="preserve">8.6 AI content-safety and misuse incidents</w:t>
      </w:r>
    </w:p>
    <w:p>
      <w:pPr>
        <w:pStyle w:val="Heading3"/>
        <w:keepNext/>
        <w:spacing w:after="80" w:before="200"/>
      </w:pPr>
      <w:r>
        <w:rPr>
          <w:rFonts w:ascii="Calibri" w:cs="Calibri" w:eastAsia="Calibri" w:hAnsi="Calibri"/>
          <w:b/>
          <w:bCs/>
          <w:color w:val="1E9E5A"/>
          <w:sz w:val="22"/>
          <w:szCs w:val="22"/>
        </w:rPr>
        <w:t xml:space="preserve">8.6.1  Harmful, illegal or policy-violating output reaches a subscriber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Subscriber or Smart complaint; a governance-gate miss visible in logs; a viral screenshot; a request category (self-harm, CSAM, violence, illegal activity) that the gate should have blocked.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Critical if the content is unlawful or a minor is involved.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Preserve the conversation (server-side, access-restricted); reproduce the prompt; add or tighten the deterministic rule (the authoritative layer) so the case is blocked immediately; suspend the account if the user is abusing the service.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Ship the rule and test; review the advisory layer’s verdict; report unlawful content to authorities where required by law, coordinated by the ISO.</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Notify the Smart Business Owner (and CSOG if the content is unlawful) with the facts and the fix; agree any public statement jointly — Smart owns the brand relationship with subscribers.</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Preserved conversation, gate decision logs, rule change commit.</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ISO; engineering lead.</w:t>
            </w:r>
          </w:p>
        </w:tc>
      </w:tr>
    </w:tbl>
    <w:p>
      <w:pPr>
        <w:spacing w:after="120"/>
      </w:pPr>
    </w:p>
    <w:p>
      <w:pPr>
        <w:pStyle w:val="Heading3"/>
        <w:keepNext/>
        <w:spacing w:after="80" w:before="200"/>
      </w:pPr>
      <w:r>
        <w:rPr>
          <w:rFonts w:ascii="Calibri" w:cs="Calibri" w:eastAsia="Calibri" w:hAnsi="Calibri"/>
          <w:b/>
          <w:bCs/>
          <w:color w:val="1E9E5A"/>
          <w:sz w:val="22"/>
          <w:szCs w:val="22"/>
        </w:rPr>
        <w:t xml:space="preserve">8.6.2  Prompt-injection / exfiltration attempt or governance bypass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Governance-gate logs show a category firing at unusual volume or a new bypass phrasing; a user extracts system-prompt or other users’ content (the latter escalates to 8.1.2).</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Medium; High if a bypass succeeded.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Confirm whether the attempt succeeded; if so, treat any data disclosed under 8.1.2; block the pattern with a deterministic rule.</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Update rules and untrusted-content fencing; add the case to the governance test suite; review sandboxing of generated HTML if implicated.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Summarised in the security report; CSOG notified immediately if cross-user data was disclosed.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Gate logs, request samples (internal only — never published, as the phrases are the control).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Engineering lead; ISO.</w:t>
            </w:r>
          </w:p>
        </w:tc>
      </w:tr>
    </w:tbl>
    <w:p>
      <w:pPr>
        <w:spacing w:after="120"/>
      </w:pPr>
    </w:p>
    <w:p>
      <w:pPr>
        <w:pStyle w:val="Heading3"/>
        <w:keepNext/>
        <w:spacing w:after="80" w:before="200"/>
      </w:pPr>
      <w:r>
        <w:rPr>
          <w:rFonts w:ascii="Calibri" w:cs="Calibri" w:eastAsia="Calibri" w:hAnsi="Calibri"/>
          <w:b/>
          <w:bCs/>
          <w:color w:val="1E9E5A"/>
          <w:sz w:val="22"/>
          <w:szCs w:val="22"/>
        </w:rPr>
        <w:t xml:space="preserve">8.6.3  Content complaint (copyright, defamation, misinformation causing harm)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Item</w:t>
            </w:r>
          </w:p>
        </w:tc>
        <w:tc>
          <w:tcPr>
            <w:tcW w:type="dxa" w:w="732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Detail</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Typical signals</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 rights-holder, subscriber or Smart raises a complaint about generated or ingested content.</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Default severity</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Medium; High if legal exposure or media attention.</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Immediate actions (first 30 min)</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Preserve the material; acknowledge the complaint; assess with counsel where needed.</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Containment &amp; remediation</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Remove or restrict the content; adjust citation/attribution or governance behaviour if a systemic cause is found.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involvement</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Partner Liaison coordinates any joint response; Smart informed same day for complaints that name Smart or AI.Smart publicly.</w:t>
            </w:r>
          </w:p>
        </w:tc>
      </w:tr>
      <w:tr>
        <w:trPr>
          <w:cantSplit/>
        </w:trPr>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Evidence to preserve</w:t>
            </w:r>
          </w:p>
        </w:tc>
        <w:tc>
          <w:tcPr>
            <w:tcW w:type="dxa" w:w="732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Complaint, preserved content, response record.</w:t>
            </w:r>
          </w:p>
        </w:tc>
      </w:tr>
      <w:tr>
        <w:trPr>
          <w:cantSplit/>
        </w:trPr>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Owner</w:t>
            </w:r>
          </w:p>
        </w:tc>
        <w:tc>
          <w:tcPr>
            <w:tcW w:type="dxa" w:w="732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Partner Liaison; ISO.</w:t>
            </w:r>
          </w:p>
        </w:tc>
      </w:tr>
    </w:tbl>
    <w:p>
      <w:pPr>
        <w:spacing w:after="120"/>
      </w:pPr>
    </w:p>
    <w:p>
      <w:pPr>
        <w:pStyle w:val="Heading1"/>
        <w:keepNext/>
        <w:spacing w:after="160" w:before="360"/>
      </w:pPr>
      <w:r>
        <w:rPr>
          <w:rFonts w:ascii="Calibri" w:cs="Calibri" w:eastAsia="Calibri" w:hAnsi="Calibri"/>
          <w:b/>
          <w:bCs/>
          <w:color w:val="0F6B45"/>
          <w:sz w:val="30"/>
          <w:szCs w:val="30"/>
        </w:rPr>
        <w:t xml:space="preserve">9. Communication and escalation</w:t>
      </w:r>
    </w:p>
    <w:p>
      <w:pPr>
        <w:pStyle w:val="Heading2"/>
        <w:keepNext/>
        <w:spacing w:after="120" w:before="260"/>
      </w:pPr>
      <w:r>
        <w:rPr>
          <w:rFonts w:ascii="Calibri" w:cs="Calibri" w:eastAsia="Calibri" w:hAnsi="Calibri"/>
          <w:b/>
          <w:bCs/>
          <w:color w:val="1B2430"/>
          <w:sz w:val="25"/>
          <w:szCs w:val="25"/>
        </w:rPr>
        <w:t xml:space="preserve">9.1 Internal escalation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1"/>
      </w:tblGrid>
      <w:tr>
        <w:trPr>
          <w:tblHeader/>
        </w:trPr>
        <w:tc>
          <w:tcPr>
            <w:tcW w:type="dxa" w:w="1349"/>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Severity</w:t>
            </w:r>
          </w:p>
        </w:tc>
        <w:tc>
          <w:tcPr>
            <w:tcW w:type="dxa" w:w="5397"/>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Who is engaged</w:t>
            </w:r>
          </w:p>
        </w:tc>
        <w:tc>
          <w:tcPr>
            <w:tcW w:type="dxa" w:w="2891"/>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Update cadence (internal)</w:t>
            </w:r>
          </w:p>
        </w:tc>
      </w:tr>
      <w:tr>
        <w:trPr>
          <w:cantSplit/>
        </w:trPr>
        <w:tc>
          <w:tcPr>
            <w:tcW w:type="dxa" w:w="134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Critical</w:t>
            </w:r>
          </w:p>
        </w:tc>
        <w:tc>
          <w:tcPr>
            <w:tcW w:type="dxa" w:w="539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 → IC + ISO immediately → CTO within 15 min → CEO within 30 min; all relevant owners; Partner Liaison</w:t>
            </w:r>
          </w:p>
        </w:tc>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Every hour until contained, then every 2 hours</w:t>
            </w:r>
          </w:p>
        </w:tc>
      </w:tr>
      <w:tr>
        <w:trPr>
          <w:cantSplit/>
        </w:trPr>
        <w:tc>
          <w:tcPr>
            <w:tcW w:type="dxa" w:w="134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w:t>
            </w:r>
          </w:p>
        </w:tc>
        <w:tc>
          <w:tcPr>
            <w:tcW w:type="dxa" w:w="5397"/>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 → IC + ISO within 15 min; CTO informed within 1 h; relevant owner (billing, platform); Partner Liaison</w:t>
            </w:r>
          </w:p>
        </w:tc>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Every 2 hours until contained, then twice daily</w:t>
            </w:r>
          </w:p>
        </w:tc>
      </w:tr>
      <w:tr>
        <w:trPr>
          <w:cantSplit/>
        </w:trPr>
        <w:tc>
          <w:tcPr>
            <w:tcW w:type="dxa" w:w="134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Medium</w:t>
            </w:r>
          </w:p>
        </w:tc>
        <w:tc>
          <w:tcPr>
            <w:tcW w:type="dxa" w:w="539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 handles; owner informed</w:t>
            </w:r>
          </w:p>
        </w:tc>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Daily until resolved</w:t>
            </w:r>
          </w:p>
        </w:tc>
      </w:tr>
      <w:tr>
        <w:trPr>
          <w:cantSplit/>
        </w:trPr>
        <w:tc>
          <w:tcPr>
            <w:tcW w:type="dxa" w:w="134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Low</w:t>
            </w:r>
          </w:p>
        </w:tc>
        <w:tc>
          <w:tcPr>
            <w:tcW w:type="dxa" w:w="5397"/>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OCE or assigned engineer</w:t>
            </w:r>
          </w:p>
        </w:tc>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At closure</w:t>
            </w:r>
          </w:p>
        </w:tc>
      </w:tr>
    </w:tbl>
    <w:p>
      <w:pPr>
        <w:pStyle w:val="Heading2"/>
        <w:keepNext/>
        <w:spacing w:after="120" w:before="260"/>
      </w:pPr>
      <w:r>
        <w:rPr>
          <w:rFonts w:ascii="Calibri" w:cs="Calibri" w:eastAsia="Calibri" w:hAnsi="Calibri"/>
          <w:b/>
          <w:bCs/>
          <w:color w:val="1B2430"/>
          <w:sz w:val="25"/>
          <w:szCs w:val="25"/>
        </w:rPr>
        <w:t xml:space="preserve">9.2 Communicating with Smart</w:t>
      </w:r>
    </w:p>
    <w:p>
      <w:pPr>
        <w:spacing w:after="120" w:before="0" w:line="276"/>
      </w:pPr>
      <w:r>
        <w:rPr>
          <w:rFonts w:ascii="Calibri" w:cs="Calibri" w:eastAsia="Calibri" w:hAnsi="Calibri"/>
          <w:sz w:val="21"/>
          <w:szCs w:val="21"/>
        </w:rPr>
        <w:t xml:space="preserve">All incident communication to Smart goes through the Partner Liaison, using the templates in Appendix B, to the contacts in Appendix C. The intent is that Smart always knows the state of the service without having to ask, and is never surprised by a subscriber or a regulator.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120"/>
        <w:gridCol w:w="3084"/>
        <w:gridCol w:w="2313"/>
      </w:tblGrid>
      <w:tr>
        <w:trPr>
          <w:tblHeader/>
        </w:trPr>
        <w:tc>
          <w:tcPr>
            <w:tcW w:type="dxa" w:w="2120"/>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Situation</w:t>
            </w:r>
          </w:p>
        </w:tc>
        <w:tc>
          <w:tcPr>
            <w:tcW w:type="dxa" w:w="2120"/>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Recipient at Smart</w:t>
            </w:r>
          </w:p>
        </w:tc>
        <w:tc>
          <w:tcPr>
            <w:tcW w:type="dxa" w:w="3084"/>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Timing</w:t>
            </w:r>
          </w:p>
        </w:tc>
        <w:tc>
          <w:tcPr>
            <w:tcW w:type="dxa" w:w="2313"/>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What Smart is asked to do</w:t>
            </w:r>
          </w:p>
        </w:tc>
      </w:tr>
      <w:tr>
        <w:trPr>
          <w:cantSplit/>
        </w:trPr>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Security incident (High/Critical)</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CSOG, copy Business Owner</w:t>
            </w:r>
          </w:p>
        </w:tc>
        <w:tc>
          <w:tcPr>
            <w:tcW w:type="dxa" w:w="3084"/>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Initial notice within 1 h (Critical) / 4 h (High) of confirmation; updates per §6; written summary at closure; full post-incident report within 10 business days</w:t>
            </w:r>
          </w:p>
        </w:tc>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Nothing, unless Smart-issued credentials or Smart systems are implicated</w:t>
            </w:r>
          </w:p>
        </w:tc>
      </w:tr>
      <w:tr>
        <w:trPr>
          <w:cantSplit/>
        </w:trPr>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Personal-data breach</w:t>
            </w:r>
          </w:p>
        </w:tc>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CSOG + Business Owner (+ Smart DPO if designated)</w:t>
            </w:r>
          </w:p>
        </w:tc>
        <w:tc>
          <w:tcPr>
            <w:tcW w:type="dxa" w:w="3084"/>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Within 1 h of confirmation; joint notification plan within 24 h; NPC and data subjects within 72 h</w:t>
            </w:r>
          </w:p>
        </w:tc>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Agree the subscriber-communication channel and wording</w:t>
            </w:r>
          </w:p>
        </w:tc>
      </w:tr>
      <w:tr>
        <w:trPr>
          <w:cantSplit/>
        </w:trPr>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Service outage / degradation (High/Critical)</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Business Owner</w:t>
            </w:r>
          </w:p>
        </w:tc>
        <w:tc>
          <w:tcPr>
            <w:tcW w:type="dxa" w:w="3084"/>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Initial notice within 1 h of confirmation with ETA; resolution notice with cause</w:t>
            </w:r>
          </w:p>
        </w:tc>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Nothing, unless ai.smart DNS must change</w:t>
            </w:r>
          </w:p>
        </w:tc>
      </w:tr>
      <w:tr>
        <w:trPr>
          <w:cantSplit/>
        </w:trPr>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Billing incident affecting subscribers</w:t>
            </w:r>
          </w:p>
        </w:tc>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Business Owner; Operator Billing team for refunds/reconciliation</w:t>
            </w:r>
          </w:p>
        </w:tc>
        <w:tc>
          <w:tcPr>
            <w:tcW w:type="dxa" w:w="3084"/>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Same business day; refund/reconciliation requests with referenceCode lists</w:t>
            </w:r>
          </w:p>
        </w:tc>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Execute refunds; confirm transaction status for listed references</w:t>
            </w:r>
          </w:p>
        </w:tc>
      </w:tr>
      <w:tr>
        <w:trPr>
          <w:cantSplit/>
        </w:trPr>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Smart-side billing/consent failure</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Operator Billing / Consent API team</w:t>
            </w:r>
          </w:p>
        </w:tc>
        <w:tc>
          <w:tcPr>
            <w:tcW w:type="dxa" w:w="3084"/>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As soon as isolated to Smart’s side, with timestamps, codes and egress IPs</w:t>
            </w:r>
          </w:p>
        </w:tc>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Investigate and confirm restoration</w:t>
            </w:r>
          </w:p>
        </w:tc>
      </w:tr>
      <w:tr>
        <w:trPr>
          <w:cantSplit/>
        </w:trPr>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Scheduled maintenance</w:t>
            </w:r>
          </w:p>
        </w:tc>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Business Owner</w:t>
            </w:r>
          </w:p>
        </w:tc>
        <w:tc>
          <w:tcPr>
            <w:tcW w:type="dxa" w:w="3084"/>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At least 3 business days ahead; 24 h for urgent security patches</w:t>
            </w:r>
          </w:p>
        </w:tc>
        <w:tc>
          <w:tcPr>
            <w:tcW w:type="dxa" w:w="2313"/>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Nothing</w:t>
            </w:r>
          </w:p>
        </w:tc>
      </w:tr>
      <w:tr>
        <w:trPr>
          <w:cantSplit/>
        </w:trPr>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Routine</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Business Owner; CSOG</w:t>
            </w:r>
          </w:p>
        </w:tc>
        <w:tc>
          <w:tcPr>
            <w:tcW w:type="dxa" w:w="3084"/>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Weekly service report; monthly summary of incidents, reconciliation and open actions</w:t>
            </w:r>
          </w:p>
        </w:tc>
        <w:tc>
          <w:tcPr>
            <w:tcW w:type="dxa" w:w="2313"/>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Nothing</w:t>
            </w:r>
          </w:p>
        </w:tc>
      </w:tr>
    </w:tbl>
    <w:p>
      <w:pPr>
        <w:pStyle w:val="Heading2"/>
        <w:keepNext/>
        <w:spacing w:after="120" w:before="260"/>
      </w:pPr>
      <w:r>
        <w:rPr>
          <w:rFonts w:ascii="Calibri" w:cs="Calibri" w:eastAsia="Calibri" w:hAnsi="Calibri"/>
          <w:b/>
          <w:bCs/>
          <w:color w:val="1B2430"/>
          <w:sz w:val="25"/>
          <w:szCs w:val="25"/>
        </w:rPr>
        <w:t xml:space="preserve">9.3 Subscriber and public communication</w:t>
      </w:r>
    </w:p>
    <w:p>
      <w:pPr>
        <w:spacing w:after="120" w:before="0" w:line="276"/>
      </w:pPr>
      <w:r>
        <w:rPr>
          <w:rFonts w:ascii="Calibri" w:cs="Calibri" w:eastAsia="Calibri" w:hAnsi="Calibri"/>
          <w:sz w:val="21"/>
          <w:szCs w:val="21"/>
        </w:rPr>
        <w:t xml:space="preserve">Subscriber-facing statements about an incident are agreed with Smart before release, because Smart owns the subscriber relationship and the AI.Smart brand. Amihan drafts; Smart approves; whichever channel reaches subscribers fastest is used. Regulatory notifications are made by Amihan as the operator, with Smart informed of the content in advance. No Amihan staff member speaks publicly about an incident without CEO approval.</w:t>
      </w:r>
    </w:p>
    <w:p>
      <w:pPr>
        <w:pStyle w:val="Heading1"/>
        <w:keepNext/>
        <w:spacing w:after="160" w:before="360"/>
      </w:pPr>
      <w:r>
        <w:rPr>
          <w:rFonts w:ascii="Calibri" w:cs="Calibri" w:eastAsia="Calibri" w:hAnsi="Calibri"/>
          <w:b/>
          <w:bCs/>
          <w:color w:val="0F6B45"/>
          <w:sz w:val="30"/>
          <w:szCs w:val="30"/>
        </w:rPr>
        <w:t xml:space="preserve">10. Evidence collection and forensics</w:t>
      </w:r>
    </w:p>
    <w:p>
      <w:pPr>
        <w:spacing w:after="120" w:before="0" w:line="276"/>
      </w:pPr>
      <w:r>
        <w:rPr>
          <w:rFonts w:ascii="Calibri" w:cs="Calibri" w:eastAsia="Calibri" w:hAnsi="Calibri"/>
          <w:sz w:val="21"/>
          <w:szCs w:val="21"/>
        </w:rPr>
        <w:t xml:space="preserve">Evidence is preserved before it is analysed and before any action that could alter it, so that findings can support legal or contractual follow-up in the relevant jurisdiction. Responders follow these rules:</w:t>
      </w:r>
    </w:p>
    <w:p>
      <w:pPr>
        <w:pStyle w:val="ListParagraph"/>
        <w:numPr>
          <w:ilvl w:val="0"/>
          <w:numId w:val="2"/>
        </w:numPr>
        <w:spacing w:after="60" w:line="264"/>
      </w:pPr>
      <w:r>
        <w:rPr>
          <w:rFonts w:ascii="Calibri" w:cs="Calibri" w:eastAsia="Calibri" w:hAnsi="Calibri"/>
          <w:sz w:val="21"/>
          <w:szCs w:val="21"/>
        </w:rPr>
        <w:t xml:space="preserve">Export CloudTrail, CloudWatch and WAF logs for the incident window to a restricted, write-once location before remediation begins; note the export time and hash.</w:t>
      </w:r>
    </w:p>
    <w:p>
      <w:pPr>
        <w:pStyle w:val="ListParagraph"/>
        <w:numPr>
          <w:ilvl w:val="0"/>
          <w:numId w:val="2"/>
        </w:numPr>
        <w:spacing w:after="60" w:line="264"/>
      </w:pPr>
      <w:r>
        <w:rPr>
          <w:rFonts w:ascii="Calibri" w:cs="Calibri" w:eastAsia="Calibri" w:hAnsi="Calibri"/>
          <w:sz w:val="21"/>
          <w:szCs w:val="21"/>
        </w:rPr>
        <w:t xml:space="preserve">Snapshot the affected Aurora cluster and preserve the running task definition and image digest before rolling back.</w:t>
      </w:r>
    </w:p>
    <w:p>
      <w:pPr>
        <w:pStyle w:val="ListParagraph"/>
        <w:numPr>
          <w:ilvl w:val="0"/>
          <w:numId w:val="2"/>
        </w:numPr>
        <w:spacing w:after="60" w:line="264"/>
      </w:pPr>
      <w:r>
        <w:rPr>
          <w:rFonts w:ascii="Calibri" w:cs="Calibri" w:eastAsia="Calibri" w:hAnsi="Calibri"/>
          <w:sz w:val="21"/>
          <w:szCs w:val="21"/>
        </w:rPr>
        <w:t xml:space="preserve">Export the relevant top-up ledger, credit-grant outbox and admin-portal audit rows by ID; never edit ledger rows in place — corrections are new rows with an audit note.</w:t>
      </w:r>
    </w:p>
    <w:p>
      <w:pPr>
        <w:pStyle w:val="ListParagraph"/>
        <w:numPr>
          <w:ilvl w:val="0"/>
          <w:numId w:val="2"/>
        </w:numPr>
        <w:spacing w:after="60" w:line="264"/>
      </w:pPr>
      <w:r>
        <w:rPr>
          <w:rFonts w:ascii="Calibri" w:cs="Calibri" w:eastAsia="Calibri" w:hAnsi="Calibri"/>
          <w:sz w:val="21"/>
          <w:szCs w:val="21"/>
        </w:rPr>
        <w:t xml:space="preserve">Preserve Sentry events and identity-service session records for the affected accounts.</w:t>
      </w:r>
    </w:p>
    <w:p>
      <w:pPr>
        <w:pStyle w:val="ListParagraph"/>
        <w:numPr>
          <w:ilvl w:val="0"/>
          <w:numId w:val="2"/>
        </w:numPr>
        <w:spacing w:after="60" w:line="264"/>
      </w:pPr>
      <w:r>
        <w:rPr>
          <w:rFonts w:ascii="Calibri" w:cs="Calibri" w:eastAsia="Calibri" w:hAnsi="Calibri"/>
          <w:sz w:val="21"/>
          <w:szCs w:val="21"/>
        </w:rPr>
        <w:t xml:space="preserve">Keep a contemporaneous timeline in the incident record: what was known, decided and done, by whom, when.</w:t>
      </w:r>
    </w:p>
    <w:p>
      <w:pPr>
        <w:pStyle w:val="ListParagraph"/>
        <w:numPr>
          <w:ilvl w:val="0"/>
          <w:numId w:val="2"/>
        </w:numPr>
        <w:spacing w:after="60" w:line="264"/>
      </w:pPr>
      <w:r>
        <w:rPr>
          <w:rFonts w:ascii="Calibri" w:cs="Calibri" w:eastAsia="Calibri" w:hAnsi="Calibri"/>
          <w:sz w:val="21"/>
          <w:szCs w:val="21"/>
        </w:rPr>
        <w:t xml:space="preserve">Access to evidence is limited to the ISO, IC and responders; evidence containing personal data is handled under the data-classification standard and destroyed when no longer required.</w:t>
      </w:r>
    </w:p>
    <w:p>
      <w:pPr>
        <w:pStyle w:val="ListParagraph"/>
        <w:numPr>
          <w:ilvl w:val="0"/>
          <w:numId w:val="2"/>
        </w:numPr>
        <w:spacing w:after="60" w:line="264"/>
      </w:pPr>
      <w:r>
        <w:rPr>
          <w:rFonts w:ascii="Calibri" w:cs="Calibri" w:eastAsia="Calibri" w:hAnsi="Calibri"/>
          <w:sz w:val="21"/>
          <w:szCs w:val="21"/>
        </w:rPr>
        <w:t xml:space="preserve">Where legal action is contemplated, the ISO/CEO decide whether counsel is engaged under privilege before evidence is shared outside Amihan.</w:t>
      </w:r>
    </w:p>
    <w:p>
      <w:pPr>
        <w:pStyle w:val="Heading1"/>
        <w:keepNext/>
        <w:spacing w:after="160" w:before="360"/>
      </w:pPr>
      <w:r>
        <w:rPr>
          <w:rFonts w:ascii="Calibri" w:cs="Calibri" w:eastAsia="Calibri" w:hAnsi="Calibri"/>
          <w:b/>
          <w:bCs/>
          <w:color w:val="0F6B45"/>
          <w:sz w:val="30"/>
          <w:szCs w:val="30"/>
        </w:rPr>
        <w:t xml:space="preserve">11. Post-incident review and learning</w:t>
      </w:r>
    </w:p>
    <w:p>
      <w:pPr>
        <w:spacing w:after="120" w:before="0" w:line="276"/>
      </w:pPr>
      <w:r>
        <w:rPr>
          <w:rFonts w:ascii="Calibri" w:cs="Calibri" w:eastAsia="Calibri" w:hAnsi="Calibri"/>
          <w:sz w:val="21"/>
          <w:szCs w:val="21"/>
        </w:rPr>
        <w:t xml:space="preserve">Every High and Critical incident — and any Medium incident the IC selects — gets a blameless post-incident review within five business days of closure. The review establishes cause and effect, what worked and what did not, the cost incurred, and the corrective and preventive actions, each with an owner and a due date tracked to closure. The written review is shared with Amihan leadership and, for incidents that were notified to Smart, with Smart in the form of a post-incident report within ten business days. Recurring themes feed the risk register, the monitoring rules (which are re-tested after every incident) and this procedure.</w:t>
      </w:r>
    </w:p>
    <w:p>
      <w:pPr>
        <w:pStyle w:val="Heading1"/>
        <w:keepNext/>
        <w:spacing w:after="160" w:before="360"/>
      </w:pPr>
      <w:r>
        <w:rPr>
          <w:rFonts w:ascii="Calibri" w:cs="Calibri" w:eastAsia="Calibri" w:hAnsi="Calibri"/>
          <w:b/>
          <w:bCs/>
          <w:color w:val="0F6B45"/>
          <w:sz w:val="30"/>
          <w:szCs w:val="30"/>
        </w:rPr>
        <w:t xml:space="preserve">12. Contact with authorities and external parties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4241"/>
        <w:gridCol w:w="2120"/>
      </w:tblGrid>
      <w:tr>
        <w:trPr>
          <w:tblHeader/>
        </w:trPr>
        <w:tc>
          <w:tcPr>
            <w:tcW w:type="dxa" w:w="3277"/>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Party</w:t>
            </w:r>
          </w:p>
        </w:tc>
        <w:tc>
          <w:tcPr>
            <w:tcW w:type="dxa" w:w="4241"/>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When</w:t>
            </w:r>
          </w:p>
        </w:tc>
        <w:tc>
          <w:tcPr>
            <w:tcW w:type="dxa" w:w="2120"/>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Who contacts</w:t>
            </w:r>
          </w:p>
        </w:tc>
      </w:tr>
      <w:tr>
        <w:trPr>
          <w:cantSplit/>
        </w:trPr>
        <w:tc>
          <w:tcPr>
            <w:tcW w:type="dxa" w:w="327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National Privacy Commission (NPC)</w:t>
            </w:r>
          </w:p>
        </w:tc>
        <w:tc>
          <w:tcPr>
            <w:tcW w:type="dxa" w:w="424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Personal-data breach meeting the notification criteria of NPC Circular 16-03 — within 72 hours of knowledge</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ISO</w:t>
            </w:r>
          </w:p>
        </w:tc>
      </w:tr>
      <w:tr>
        <w:trPr>
          <w:cantSplit/>
        </w:trPr>
        <w:tc>
          <w:tcPr>
            <w:tcW w:type="dxa" w:w="3277"/>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Affected data subjects</w:t>
            </w:r>
          </w:p>
        </w:tc>
        <w:tc>
          <w:tcPr>
            <w:tcW w:type="dxa" w:w="424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Same trigger as NPC — via the channel agreed with Smart</w:t>
            </w:r>
          </w:p>
        </w:tc>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ISO with Partner Liaison and Smart</w:t>
            </w:r>
          </w:p>
        </w:tc>
      </w:tr>
      <w:tr>
        <w:trPr>
          <w:cantSplit/>
        </w:trPr>
        <w:tc>
          <w:tcPr>
            <w:tcW w:type="dxa" w:w="327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Law enforcement (PNP Anti-Cybercrime Group / NBI Cybercrime Division)</w:t>
            </w:r>
          </w:p>
        </w:tc>
        <w:tc>
          <w:tcPr>
            <w:tcW w:type="dxa" w:w="424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Criminal activity confirmed (fraud, unauthorised access, unlawful content) — after the CEO/ISO decision and counsel’s advice</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ISO / CEO</w:t>
            </w:r>
          </w:p>
        </w:tc>
      </w:tr>
      <w:tr>
        <w:trPr>
          <w:cantSplit/>
        </w:trPr>
        <w:tc>
          <w:tcPr>
            <w:tcW w:type="dxa" w:w="3277"/>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AWS Support / AWS Abuse</w:t>
            </w:r>
          </w:p>
        </w:tc>
        <w:tc>
          <w:tcPr>
            <w:tcW w:type="dxa" w:w="424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Account compromise, regional events, or abuse notices</w:t>
            </w:r>
          </w:p>
        </w:tc>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Infra Operations Lead</w:t>
            </w:r>
          </w:p>
        </w:tc>
      </w:tr>
      <w:tr>
        <w:trPr>
          <w:cantSplit/>
        </w:trPr>
        <w:tc>
          <w:tcPr>
            <w:tcW w:type="dxa" w:w="327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CSOG / Operator Billing</w:t>
            </w:r>
          </w:p>
        </w:tc>
        <w:tc>
          <w:tcPr>
            <w:tcW w:type="dxa" w:w="424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Per §9.2</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Partner Liaison</w:t>
            </w:r>
          </w:p>
        </w:tc>
      </w:tr>
      <w:tr>
        <w:trPr>
          <w:cantSplit/>
        </w:trPr>
        <w:tc>
          <w:tcPr>
            <w:tcW w:type="dxa" w:w="3277"/>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Model and service providers (Amazon Bedrock, OpenAI, Sentry, email provider)</w:t>
            </w:r>
          </w:p>
        </w:tc>
        <w:tc>
          <w:tcPr>
            <w:tcW w:type="dxa" w:w="424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Provider-side incidents, data-deletion requests under DPA</w:t>
            </w:r>
          </w:p>
        </w:tc>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ISO / Infra Operations Lead</w:t>
            </w:r>
          </w:p>
        </w:tc>
      </w:tr>
      <w:tr>
        <w:trPr>
          <w:cantSplit/>
        </w:trPr>
        <w:tc>
          <w:tcPr>
            <w:tcW w:type="dxa" w:w="327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Penetration-test provider (CyberQ Group)</w:t>
            </w:r>
          </w:p>
        </w:tc>
        <w:tc>
          <w:tcPr>
            <w:tcW w:type="dxa" w:w="424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Verification of a fix or an emergency assessment</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ISO</w:t>
            </w:r>
          </w:p>
        </w:tc>
      </w:tr>
    </w:tbl>
    <w:p>
      <w:pPr>
        <w:spacing w:after="120" w:before="0" w:line="276"/>
      </w:pPr>
      <w:r>
        <w:rPr>
          <w:rFonts w:ascii="Calibri" w:cs="Calibri" w:eastAsia="Calibri" w:hAnsi="Calibri"/>
          <w:sz w:val="21"/>
          <w:szCs w:val="21"/>
        </w:rPr>
        <w:t xml:space="preserve">The ISO maintains membership of relevant security advisory channels (AWS Security Bulletins, GitHub Advisory Database, vendor status pages, Philippine CERT advisories) to receive early warning of vulnerabilities and attacks affecting AI.Smart.</w:t>
      </w:r>
    </w:p>
    <w:p>
      <w:pPr>
        <w:pStyle w:val="Heading1"/>
        <w:keepNext/>
        <w:spacing w:after="160" w:before="360"/>
      </w:pPr>
      <w:r>
        <w:rPr>
          <w:rFonts w:ascii="Calibri" w:cs="Calibri" w:eastAsia="Calibri" w:hAnsi="Calibri"/>
          <w:b/>
          <w:bCs/>
          <w:color w:val="0F6B45"/>
          <w:sz w:val="30"/>
          <w:szCs w:val="30"/>
        </w:rPr>
        <w:t xml:space="preserve">13. Relationship to business continuity</w:t>
      </w:r>
    </w:p>
    <w:p>
      <w:pPr>
        <w:spacing w:after="120" w:before="0" w:line="276"/>
      </w:pPr>
      <w:r>
        <w:rPr>
          <w:rFonts w:ascii="Calibri" w:cs="Calibri" w:eastAsia="Calibri" w:hAnsi="Calibri"/>
          <w:sz w:val="21"/>
          <w:szCs w:val="21"/>
        </w:rPr>
        <w:t xml:space="preserve">This procedure handles incidents; the Business Continuity and Disaster Recovery plan handles sustained loss of the hosting environment. The two meet at stage 5 (Recover): if a Critical incident cannot be recovered in place — for example, a regional AWS event or an unrecoverable data-store compromise — the IC invokes the BC/DR plan, under which the AI.Smart stack is rebuilt from Infrastructure-as-Code and immutable images, data is restored from encrypted backups, and Smart is kept informed on the §9.2 cadence throughout.</w:t>
      </w:r>
    </w:p>
    <w:p>
      <w:pPr>
        <w:pStyle w:val="Heading1"/>
        <w:keepNext/>
        <w:spacing w:after="160" w:before="360"/>
      </w:pPr>
      <w:r>
        <w:rPr>
          <w:rFonts w:ascii="Calibri" w:cs="Calibri" w:eastAsia="Calibri" w:hAnsi="Calibri"/>
          <w:b/>
          <w:bCs/>
          <w:color w:val="0F6B45"/>
          <w:sz w:val="30"/>
          <w:szCs w:val="30"/>
        </w:rPr>
        <w:t xml:space="preserve">14. Testing, training and readiness</w:t>
      </w:r>
    </w:p>
    <w:p>
      <w:pPr>
        <w:pStyle w:val="ListParagraph"/>
        <w:numPr>
          <w:ilvl w:val="0"/>
          <w:numId w:val="2"/>
        </w:numPr>
        <w:spacing w:after="60" w:line="264"/>
      </w:pPr>
      <w:r>
        <w:rPr>
          <w:rFonts w:ascii="Calibri" w:cs="Calibri" w:eastAsia="Calibri" w:hAnsi="Calibri"/>
          <w:sz w:val="21"/>
          <w:szCs w:val="21"/>
        </w:rPr>
        <w:t xml:space="preserve">Every engineer on the on-call rotation completes incident-response and playbook training before their first shift, and annually thereafter.</w:t>
      </w:r>
    </w:p>
    <w:p>
      <w:pPr>
        <w:pStyle w:val="ListParagraph"/>
        <w:numPr>
          <w:ilvl w:val="0"/>
          <w:numId w:val="2"/>
        </w:numPr>
        <w:spacing w:after="60" w:line="264"/>
      </w:pPr>
      <w:r>
        <w:rPr>
          <w:rFonts w:ascii="Calibri" w:cs="Calibri" w:eastAsia="Calibri" w:hAnsi="Calibri"/>
          <w:sz w:val="21"/>
          <w:szCs w:val="21"/>
        </w:rPr>
        <w:t xml:space="preserve">A tabletop exercise is run at least annually, covering one security scenario and one billing scenario (e.g. 8.1.2 and 8.4.2); Smart is invited to observe or participate.</w:t>
      </w:r>
    </w:p>
    <w:p>
      <w:pPr>
        <w:pStyle w:val="ListParagraph"/>
        <w:numPr>
          <w:ilvl w:val="0"/>
          <w:numId w:val="2"/>
        </w:numPr>
        <w:spacing w:after="60" w:line="264"/>
      </w:pPr>
      <w:r>
        <w:rPr>
          <w:rFonts w:ascii="Calibri" w:cs="Calibri" w:eastAsia="Calibri" w:hAnsi="Calibri"/>
          <w:sz w:val="21"/>
          <w:szCs w:val="21"/>
        </w:rPr>
        <w:t xml:space="preserve">Containment actions in §7.3 are exercised in the smart-dev environment at least quarterly (billing kill switch, rollback by digest, credential rotation, restore from snapshot).</w:t>
      </w:r>
    </w:p>
    <w:p>
      <w:pPr>
        <w:pStyle w:val="ListParagraph"/>
        <w:numPr>
          <w:ilvl w:val="0"/>
          <w:numId w:val="2"/>
        </w:numPr>
        <w:spacing w:after="60" w:line="264"/>
      </w:pPr>
      <w:r>
        <w:rPr>
          <w:rFonts w:ascii="Calibri" w:cs="Calibri" w:eastAsia="Calibri" w:hAnsi="Calibri"/>
          <w:sz w:val="21"/>
          <w:szCs w:val="21"/>
        </w:rPr>
        <w:t xml:space="preserve">The no-SMS billing preflight probe is run after every deployment touching the billing path and before any Smart-side endpoint change.</w:t>
      </w:r>
    </w:p>
    <w:p>
      <w:pPr>
        <w:pStyle w:val="ListParagraph"/>
        <w:numPr>
          <w:ilvl w:val="0"/>
          <w:numId w:val="2"/>
        </w:numPr>
        <w:spacing w:after="60" w:line="264"/>
      </w:pPr>
      <w:r>
        <w:rPr>
          <w:rFonts w:ascii="Calibri" w:cs="Calibri" w:eastAsia="Calibri" w:hAnsi="Calibri"/>
          <w:sz w:val="21"/>
          <w:szCs w:val="21"/>
        </w:rPr>
        <w:t xml:space="preserve">Alert routing and contact details (Appendix C) are verified monthly.</w:t>
      </w:r>
    </w:p>
    <w:p>
      <w:pPr>
        <w:pStyle w:val="Heading1"/>
        <w:keepNext/>
        <w:spacing w:after="160" w:before="360"/>
      </w:pPr>
      <w:r>
        <w:rPr>
          <w:rFonts w:ascii="Calibri" w:cs="Calibri" w:eastAsia="Calibri" w:hAnsi="Calibri"/>
          <w:b/>
          <w:bCs/>
          <w:color w:val="0F6B45"/>
          <w:sz w:val="30"/>
          <w:szCs w:val="30"/>
        </w:rPr>
        <w:t xml:space="preserve">15. Document governance</w:t>
      </w:r>
    </w:p>
    <w:p>
      <w:pPr>
        <w:pStyle w:val="Heading2"/>
        <w:keepNext/>
        <w:spacing w:after="120" w:before="260"/>
      </w:pPr>
      <w:r>
        <w:rPr>
          <w:rFonts w:ascii="Calibri" w:cs="Calibri" w:eastAsia="Calibri" w:hAnsi="Calibri"/>
          <w:b/>
          <w:bCs/>
          <w:color w:val="1B2430"/>
          <w:sz w:val="25"/>
          <w:szCs w:val="25"/>
        </w:rPr>
        <w:t xml:space="preserve">15.1 Classification</w:t>
      </w:r>
    </w:p>
    <w:p>
      <w:pPr>
        <w:spacing w:after="120" w:before="0" w:line="276"/>
      </w:pPr>
      <w:r>
        <w:rPr>
          <w:rFonts w:ascii="Calibri" w:cs="Calibri" w:eastAsia="Calibri" w:hAnsi="Calibri"/>
          <w:sz w:val="21"/>
          <w:szCs w:val="21"/>
        </w:rPr>
        <w:t xml:space="preserve">Partner-Confidential. This document may be shared with Smart Communications under the AI.Smart agreement. It must not be distributed further without Amihan’s written consent. Playbook detail that would weaken a control (for example, the literal phrases used by the AI-safety governance rules) is deliberately excluded.</w:t>
      </w:r>
    </w:p>
    <w:p>
      <w:pPr>
        <w:pStyle w:val="Heading2"/>
        <w:keepNext/>
        <w:spacing w:after="120" w:before="260"/>
      </w:pPr>
      <w:r>
        <w:rPr>
          <w:rFonts w:ascii="Calibri" w:cs="Calibri" w:eastAsia="Calibri" w:hAnsi="Calibri"/>
          <w:b/>
          <w:bCs/>
          <w:color w:val="1B2430"/>
          <w:sz w:val="25"/>
          <w:szCs w:val="25"/>
        </w:rPr>
        <w:t xml:space="preserve">15.2 Non-compliance</w:t>
      </w:r>
    </w:p>
    <w:p>
      <w:pPr>
        <w:spacing w:after="120" w:before="0" w:line="276"/>
      </w:pPr>
      <w:r>
        <w:rPr>
          <w:rFonts w:ascii="Calibri" w:cs="Calibri" w:eastAsia="Calibri" w:hAnsi="Calibri"/>
          <w:sz w:val="21"/>
          <w:szCs w:val="21"/>
        </w:rPr>
        <w:t xml:space="preserve">Compliance with this procedure is verified through incident-record audits, alert-response metrics and post-incident reviews. Any Amihan staff member or contractor found to have failed to report an incident, to have withheld or destroyed evidence, or to have communicated externally without authority may be subject to disciplinary action up to and including termination of employment or contract, depending on the extent, intent and consequences of the violation.</w:t>
      </w:r>
    </w:p>
    <w:p>
      <w:pPr>
        <w:pStyle w:val="Heading2"/>
        <w:keepNext/>
        <w:spacing w:after="120" w:before="260"/>
      </w:pPr>
      <w:r>
        <w:rPr>
          <w:rFonts w:ascii="Calibri" w:cs="Calibri" w:eastAsia="Calibri" w:hAnsi="Calibri"/>
          <w:b/>
          <w:bCs/>
          <w:color w:val="1B2430"/>
          <w:sz w:val="25"/>
          <w:szCs w:val="25"/>
        </w:rPr>
        <w:t xml:space="preserve">15.3 Responsibilities and review</w:t>
      </w:r>
    </w:p>
    <w:p>
      <w:pPr>
        <w:spacing w:after="120" w:before="0" w:line="276"/>
      </w:pPr>
      <w:r>
        <w:rPr>
          <w:rFonts w:ascii="Calibri" w:cs="Calibri" w:eastAsia="Calibri" w:hAnsi="Calibri"/>
          <w:sz w:val="21"/>
          <w:szCs w:val="21"/>
        </w:rPr>
        <w:t xml:space="preserve">The Information Security Officer owns and reviews this procedure; the Chief Technology Officer approves it. Function heads are responsible for implementing it within their areas. The procedure is reviewed annually, after every Critical incident, and whenever a significant change occurs to the service, the partnership, the billing integration or applicable regulation.</w:t>
      </w:r>
    </w:p>
    <w:p>
      <w:r>
        <w:br w:type="page"/>
      </w:r>
    </w:p>
    <w:p>
      <w:pPr>
        <w:pStyle w:val="Heading1"/>
        <w:keepNext/>
        <w:spacing w:after="160" w:before="360"/>
      </w:pPr>
      <w:r>
        <w:rPr>
          <w:rFonts w:ascii="Calibri" w:cs="Calibri" w:eastAsia="Calibri" w:hAnsi="Calibri"/>
          <w:b/>
          <w:bCs/>
          <w:color w:val="0F6B45"/>
          <w:sz w:val="30"/>
          <w:szCs w:val="30"/>
        </w:rPr>
        <w:t xml:space="preserve">Appendix A — Severity quick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61"/>
        <w:gridCol w:w="3277"/>
      </w:tblGrid>
      <w:tr>
        <w:trPr>
          <w:tblHeader/>
        </w:trPr>
        <w:tc>
          <w:tcPr>
            <w:tcW w:type="dxa" w:w="6361"/>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Question</w:t>
            </w:r>
          </w:p>
        </w:tc>
        <w:tc>
          <w:tcPr>
            <w:tcW w:type="dxa" w:w="3277"/>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If yes →</w:t>
            </w:r>
          </w:p>
        </w:tc>
      </w:tr>
      <w:tr>
        <w:trPr>
          <w:cantSplit/>
        </w:trPr>
        <w:tc>
          <w:tcPr>
            <w:tcW w:type="dxa" w:w="636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Has subscriber personal data or content been exposed to an unauthorised party?</w:t>
            </w:r>
          </w:p>
        </w:tc>
        <w:tc>
          <w:tcPr>
            <w:tcW w:type="dxa" w:w="327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Critical (8.1.2)</w:t>
            </w:r>
          </w:p>
        </w:tc>
      </w:tr>
      <w:tr>
        <w:trPr>
          <w:cantSplit/>
        </w:trPr>
        <w:tc>
          <w:tcPr>
            <w:tcW w:type="dxa" w:w="636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Has money been taken from a subscriber without the corresponding credit, or without valid consent?</w:t>
            </w:r>
          </w:p>
        </w:tc>
        <w:tc>
          <w:tcPr>
            <w:tcW w:type="dxa" w:w="3277"/>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Critical if systemic (8.4.1 / 8.4.7)</w:t>
            </w:r>
          </w:p>
        </w:tc>
      </w:tr>
      <w:tr>
        <w:trPr>
          <w:cantSplit/>
        </w:trPr>
        <w:tc>
          <w:tcPr>
            <w:tcW w:type="dxa" w:w="636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 www.ai.smart unavailable to all subscribers?</w:t>
            </w:r>
          </w:p>
        </w:tc>
        <w:tc>
          <w:tcPr>
            <w:tcW w:type="dxa" w:w="327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Critical (8.2.1)</w:t>
            </w:r>
          </w:p>
        </w:tc>
      </w:tr>
      <w:tr>
        <w:trPr>
          <w:cantSplit/>
        </w:trPr>
        <w:tc>
          <w:tcPr>
            <w:tcW w:type="dxa" w:w="636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 a core function (sign-in, chat, upload, top-up) failing for many subscribers?</w:t>
            </w:r>
          </w:p>
        </w:tc>
        <w:tc>
          <w:tcPr>
            <w:tcW w:type="dxa" w:w="3277"/>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w:t>
            </w:r>
          </w:p>
        </w:tc>
      </w:tr>
      <w:tr>
        <w:trPr>
          <w:cantSplit/>
        </w:trPr>
        <w:tc>
          <w:tcPr>
            <w:tcW w:type="dxa" w:w="636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 an attacker active but not yet successful (GuardDuty High, malware indicator, credential misuse)?</w:t>
            </w:r>
          </w:p>
        </w:tc>
        <w:tc>
          <w:tcPr>
            <w:tcW w:type="dxa" w:w="327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High (8.1.1)</w:t>
            </w:r>
          </w:p>
        </w:tc>
      </w:tr>
      <w:tr>
        <w:trPr>
          <w:cantSplit/>
        </w:trPr>
        <w:tc>
          <w:tcPr>
            <w:tcW w:type="dxa" w:w="636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 the sandbox billing provider live on a production deployment with subscribers?</w:t>
            </w:r>
          </w:p>
        </w:tc>
        <w:tc>
          <w:tcPr>
            <w:tcW w:type="dxa" w:w="3277"/>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Critical (8.4.10)</w:t>
            </w:r>
          </w:p>
        </w:tc>
      </w:tr>
      <w:tr>
        <w:trPr>
          <w:cantSplit/>
        </w:trPr>
        <w:tc>
          <w:tcPr>
            <w:tcW w:type="dxa" w:w="636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 there a workaround and no data/money impact?</w:t>
            </w:r>
          </w:p>
        </w:tc>
        <w:tc>
          <w:tcPr>
            <w:tcW w:type="dxa" w:w="327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Medium</w:t>
            </w:r>
          </w:p>
        </w:tc>
      </w:tr>
      <w:tr>
        <w:trPr>
          <w:cantSplit/>
        </w:trPr>
        <w:tc>
          <w:tcPr>
            <w:tcW w:type="dxa" w:w="636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Is it cosmetic, non-production, or a single-user issue with no data/money impact?</w:t>
            </w:r>
          </w:p>
        </w:tc>
        <w:tc>
          <w:tcPr>
            <w:tcW w:type="dxa" w:w="3277"/>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Low</w:t>
            </w:r>
          </w:p>
        </w:tc>
      </w:tr>
    </w:tbl>
    <w:p>
      <w:pPr>
        <w:pStyle w:val="Heading1"/>
        <w:keepNext/>
        <w:spacing w:after="160" w:before="360"/>
      </w:pPr>
      <w:r>
        <w:rPr>
          <w:rFonts w:ascii="Calibri" w:cs="Calibri" w:eastAsia="Calibri" w:hAnsi="Calibri"/>
          <w:b/>
          <w:bCs/>
          <w:color w:val="0F6B45"/>
          <w:sz w:val="30"/>
          <w:szCs w:val="30"/>
        </w:rPr>
        <w:t xml:space="preserve">Appendix B — Smart notification templates</w:t>
      </w:r>
    </w:p>
    <w:p>
      <w:pPr>
        <w:pStyle w:val="Heading3"/>
        <w:keepNext/>
        <w:spacing w:after="80" w:before="200"/>
      </w:pPr>
      <w:r>
        <w:rPr>
          <w:rFonts w:ascii="Calibri" w:cs="Calibri" w:eastAsia="Calibri" w:hAnsi="Calibri"/>
          <w:b/>
          <w:bCs/>
          <w:color w:val="1E9E5A"/>
          <w:sz w:val="22"/>
          <w:szCs w:val="22"/>
        </w:rPr>
        <w:t xml:space="preserve">B.1 Initial notice</w:t>
      </w:r>
    </w:p>
    <w:p>
      <w:pPr>
        <w:spacing w:after="120" w:before="0" w:line="276"/>
      </w:pPr>
      <w:r>
        <w:rPr>
          <w:rFonts w:ascii="Calibri" w:cs="Calibri" w:eastAsia="Calibri" w:hAnsi="Calibri"/>
          <w:i/>
          <w:iCs/>
          <w:sz w:val="21"/>
          <w:szCs w:val="21"/>
        </w:rPr>
        <w:t xml:space="preserve">Subject: [AI.Smart] Incident notice — &lt;short title&gt; — &lt;Severity&gt; — &lt;ref&gt;</w:t>
      </w:r>
    </w:p>
    <w:p>
      <w:pPr>
        <w:spacing w:after="120" w:before="0" w:line="276"/>
      </w:pPr>
      <w:r>
        <w:rPr>
          <w:rFonts w:ascii="Calibri" w:cs="Calibri" w:eastAsia="Calibri" w:hAnsi="Calibri"/>
          <w:sz w:val="21"/>
          <w:szCs w:val="21"/>
        </w:rPr>
        <w:t xml:space="preserve">Smart team, this is an initial notice of an incident affecting AI.Smart. What we know: &lt;one paragraph&gt;. Impact so far: &lt;subscribers/functions affected; whether any subscriber data or charges are involved — state explicitly if none&gt;. Actions taken: &lt;containment steps&gt;. What we are doing next: &lt;next steps and ETA&gt;. What we need from Smart: &lt;“Nothing at this time” or the specific request&gt;. Next update: &lt;time&gt;. Point of contact: &lt;Partner Liaison, phone&gt;.</w:t>
      </w:r>
    </w:p>
    <w:p>
      <w:pPr>
        <w:pStyle w:val="Heading3"/>
        <w:keepNext/>
        <w:spacing w:after="80" w:before="200"/>
      </w:pPr>
      <w:r>
        <w:rPr>
          <w:rFonts w:ascii="Calibri" w:cs="Calibri" w:eastAsia="Calibri" w:hAnsi="Calibri"/>
          <w:b/>
          <w:bCs/>
          <w:color w:val="1E9E5A"/>
          <w:sz w:val="22"/>
          <w:szCs w:val="22"/>
        </w:rPr>
        <w:t xml:space="preserve">B.2 Update</w:t>
      </w:r>
    </w:p>
    <w:p>
      <w:pPr>
        <w:spacing w:after="120" w:before="0" w:line="276"/>
      </w:pPr>
      <w:r>
        <w:rPr>
          <w:rFonts w:ascii="Calibri" w:cs="Calibri" w:eastAsia="Calibri" w:hAnsi="Calibri"/>
          <w:i/>
          <w:iCs/>
          <w:sz w:val="21"/>
          <w:szCs w:val="21"/>
        </w:rPr>
        <w:t xml:space="preserve">Subject: [AI.Smart] Incident update #&lt;n&gt; — &lt;ref&gt;</w:t>
      </w:r>
    </w:p>
    <w:p>
      <w:pPr>
        <w:spacing w:after="120" w:before="0" w:line="276"/>
      </w:pPr>
      <w:r>
        <w:rPr>
          <w:rFonts w:ascii="Calibri" w:cs="Calibri" w:eastAsia="Calibri" w:hAnsi="Calibri"/>
          <w:sz w:val="21"/>
          <w:szCs w:val="21"/>
        </w:rPr>
        <w:t xml:space="preserve">Status: &lt;contained / recovering / resolved&gt;. Since the last update: &lt;facts&gt;. Revised impact: &lt;facts&gt;. Next update: &lt;time&gt;.</w:t>
      </w:r>
    </w:p>
    <w:p>
      <w:pPr>
        <w:pStyle w:val="Heading3"/>
        <w:keepNext/>
        <w:spacing w:after="80" w:before="200"/>
      </w:pPr>
      <w:r>
        <w:rPr>
          <w:rFonts w:ascii="Calibri" w:cs="Calibri" w:eastAsia="Calibri" w:hAnsi="Calibri"/>
          <w:b/>
          <w:bCs/>
          <w:color w:val="1E9E5A"/>
          <w:sz w:val="22"/>
          <w:szCs w:val="22"/>
        </w:rPr>
        <w:t xml:space="preserve">B.3 Resolution notice</w:t>
      </w:r>
    </w:p>
    <w:p>
      <w:pPr>
        <w:spacing w:after="120" w:before="0" w:line="276"/>
      </w:pPr>
      <w:r>
        <w:rPr>
          <w:rFonts w:ascii="Calibri" w:cs="Calibri" w:eastAsia="Calibri" w:hAnsi="Calibri"/>
          <w:i/>
          <w:iCs/>
          <w:sz w:val="21"/>
          <w:szCs w:val="21"/>
        </w:rPr>
        <w:t xml:space="preserve">Subject: [AI.Smart] Incident resolved — &lt;ref&gt;</w:t>
      </w:r>
    </w:p>
    <w:p>
      <w:pPr>
        <w:spacing w:after="120" w:before="0" w:line="276"/>
      </w:pPr>
      <w:r>
        <w:rPr>
          <w:rFonts w:ascii="Calibri" w:cs="Calibri" w:eastAsia="Calibri" w:hAnsi="Calibri"/>
          <w:sz w:val="21"/>
          <w:szCs w:val="21"/>
        </w:rPr>
        <w:t xml:space="preserve">The incident is resolved as of &lt;time&gt;. Cause: &lt;plain-language summary&gt;. Final impact: &lt;subscribers/functions/data/charges&gt;. Remediation completed: &lt;list&gt;. Follow-up actions and dates: &lt;list&gt;. A post-incident report will follow by &lt;date&gt;.</w:t>
      </w:r>
    </w:p>
    <w:p>
      <w:pPr>
        <w:pStyle w:val="Heading1"/>
        <w:keepNext/>
        <w:spacing w:after="160" w:before="360"/>
      </w:pPr>
      <w:r>
        <w:rPr>
          <w:rFonts w:ascii="Calibri" w:cs="Calibri" w:eastAsia="Calibri" w:hAnsi="Calibri"/>
          <w:b/>
          <w:bCs/>
          <w:color w:val="0F6B45"/>
          <w:sz w:val="30"/>
          <w:szCs w:val="30"/>
        </w:rPr>
        <w:t xml:space="preserve">Appendix C — Contacts</w:t>
      </w:r>
    </w:p>
    <w:p>
      <w:pPr>
        <w:spacing w:after="120" w:before="0" w:line="276"/>
      </w:pPr>
      <w:r>
        <w:rPr>
          <w:rFonts w:ascii="Calibri" w:cs="Calibri" w:eastAsia="Calibri" w:hAnsi="Calibri"/>
          <w:i/>
          <w:iCs/>
          <w:color w:val="5C6672"/>
          <w:sz w:val="21"/>
          <w:szCs w:val="21"/>
        </w:rPr>
        <w:t xml:space="preserve">To be completed and verified monthly by the Infra Operations Lead. Phone numbers are held in the on-call system and the shared incident channel, not in circulated copies of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2120"/>
        <w:gridCol w:w="1735"/>
      </w:tblGrid>
      <w:tr>
        <w:trPr>
          <w:tblHeader/>
        </w:trPr>
        <w:tc>
          <w:tcPr>
            <w:tcW w:type="dxa" w:w="2891"/>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Role</w:t>
            </w:r>
          </w:p>
        </w:tc>
        <w:tc>
          <w:tcPr>
            <w:tcW w:type="dxa" w:w="2891"/>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Name</w:t>
            </w:r>
          </w:p>
        </w:tc>
        <w:tc>
          <w:tcPr>
            <w:tcW w:type="dxa" w:w="2120"/>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Organisation</w:t>
            </w:r>
          </w:p>
        </w:tc>
        <w:tc>
          <w:tcPr>
            <w:tcW w:type="dxa" w:w="1735"/>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Channel</w:t>
            </w:r>
          </w:p>
        </w:tc>
      </w:tr>
      <w:tr>
        <w:trPr>
          <w:cantSplit/>
        </w:trPr>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On-Call Engineer (rotation)</w:t>
            </w:r>
          </w:p>
        </w:tc>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Per on-call schedule</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Amihan Global Strategies</w:t>
            </w:r>
          </w:p>
        </w:tc>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On-call paging channel</w:t>
            </w:r>
          </w:p>
        </w:tc>
      </w:tr>
      <w:tr>
        <w:trPr>
          <w:cantSplit/>
        </w:trPr>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Incident Commander / Infra Operations Lead</w:t>
            </w:r>
          </w:p>
        </w:tc>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&lt;name&gt;</w:t>
            </w:r>
          </w:p>
        </w:tc>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Amihan Global Strategies</w:t>
            </w:r>
          </w:p>
        </w:tc>
        <w:tc>
          <w:tcPr>
            <w:tcW w:type="dxa" w:w="173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&lt;email&gt; / &lt;mobile&gt;</w:t>
            </w:r>
          </w:p>
        </w:tc>
      </w:tr>
      <w:tr>
        <w:trPr>
          <w:cantSplit/>
        </w:trPr>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Information Security Officer</w:t>
            </w:r>
          </w:p>
        </w:tc>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&lt;name&gt;</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Amihan Global Strategies</w:t>
            </w:r>
          </w:p>
        </w:tc>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&lt;email&gt; / &lt;mobile&gt;</w:t>
            </w:r>
          </w:p>
        </w:tc>
      </w:tr>
      <w:tr>
        <w:trPr>
          <w:cantSplit/>
        </w:trPr>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Billing &amp; Reconciliation Owner</w:t>
            </w:r>
          </w:p>
        </w:tc>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&lt;name&gt;</w:t>
            </w:r>
          </w:p>
        </w:tc>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Amihan Global Strategies</w:t>
            </w:r>
          </w:p>
        </w:tc>
        <w:tc>
          <w:tcPr>
            <w:tcW w:type="dxa" w:w="173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&lt;email&gt; / &lt;mobile&gt;</w:t>
            </w:r>
          </w:p>
        </w:tc>
      </w:tr>
      <w:tr>
        <w:trPr>
          <w:cantSplit/>
        </w:trPr>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Partner Liaison</w:t>
            </w:r>
          </w:p>
        </w:tc>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Luis Buenaventura, Chief Revenue Officer</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Amihan Global Strategies</w:t>
            </w:r>
          </w:p>
        </w:tc>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&lt;email&gt; / &lt;mobile&gt;</w:t>
            </w:r>
          </w:p>
        </w:tc>
      </w:tr>
      <w:tr>
        <w:trPr>
          <w:cantSplit/>
        </w:trPr>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Chief Technology Officer</w:t>
            </w:r>
          </w:p>
        </w:tc>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Dondi Imperial</w:t>
            </w:r>
          </w:p>
        </w:tc>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Amihan Global Strategies</w:t>
            </w:r>
          </w:p>
        </w:tc>
        <w:tc>
          <w:tcPr>
            <w:tcW w:type="dxa" w:w="173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&lt;email&gt; / &lt;mobile&gt;</w:t>
            </w:r>
          </w:p>
        </w:tc>
      </w:tr>
      <w:tr>
        <w:trPr>
          <w:cantSplit/>
        </w:trPr>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Chief Executive Officer</w:t>
            </w:r>
          </w:p>
        </w:tc>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&lt;name&gt;</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Amihan Global Strategies</w:t>
            </w:r>
          </w:p>
        </w:tc>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&lt;email&gt; / &lt;mobile&gt;</w:t>
            </w:r>
          </w:p>
        </w:tc>
      </w:tr>
      <w:tr>
        <w:trPr>
          <w:cantSplit/>
        </w:trPr>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Business Owner</w:t>
            </w:r>
          </w:p>
        </w:tc>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Domingo Landicho, Content &amp; Business Development</w:t>
            </w:r>
          </w:p>
        </w:tc>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Communications</w:t>
            </w:r>
          </w:p>
        </w:tc>
        <w:tc>
          <w:tcPr>
            <w:tcW w:type="dxa" w:w="173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&lt;email&gt; / &lt;mobile&gt;</w:t>
            </w:r>
          </w:p>
        </w:tc>
      </w:tr>
      <w:tr>
        <w:trPr>
          <w:cantSplit/>
        </w:trPr>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CSOG (security notifications)</w:t>
            </w:r>
          </w:p>
        </w:tc>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&lt;CSOG duty contact&gt;</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Communications</w:t>
            </w:r>
          </w:p>
        </w:tc>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&lt;email&gt; / &lt;hotline&gt;</w:t>
            </w:r>
          </w:p>
        </w:tc>
      </w:tr>
      <w:tr>
        <w:trPr>
          <w:cantSplit/>
        </w:trPr>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Operator Billing / Consent API</w:t>
            </w:r>
          </w:p>
        </w:tc>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&lt;on-boarding contact&gt;</w:t>
            </w:r>
          </w:p>
        </w:tc>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Communications</w:t>
            </w:r>
          </w:p>
        </w:tc>
        <w:tc>
          <w:tcPr>
            <w:tcW w:type="dxa" w:w="173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&lt;email&gt;</w:t>
            </w:r>
          </w:p>
        </w:tc>
      </w:tr>
      <w:tr>
        <w:trPr>
          <w:cantSplit/>
        </w:trPr>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domain owner (ai.smart DNS)</w:t>
            </w:r>
          </w:p>
        </w:tc>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&lt;name&gt;</w:t>
            </w:r>
          </w:p>
        </w:tc>
        <w:tc>
          <w:tcPr>
            <w:tcW w:type="dxa" w:w="21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Smart Communications</w:t>
            </w:r>
          </w:p>
        </w:tc>
        <w:tc>
          <w:tcPr>
            <w:tcW w:type="dxa" w:w="1735"/>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&lt;email&gt;</w:t>
            </w:r>
          </w:p>
        </w:tc>
      </w:tr>
      <w:tr>
        <w:trPr>
          <w:cantSplit/>
        </w:trPr>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Penetration-test provider</w:t>
            </w:r>
          </w:p>
        </w:tc>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CyberQ Group (Philippine office)</w:t>
            </w:r>
          </w:p>
        </w:tc>
        <w:tc>
          <w:tcPr>
            <w:tcW w:type="dxa" w:w="2120"/>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CyberQ Group</w:t>
            </w:r>
          </w:p>
        </w:tc>
        <w:tc>
          <w:tcPr>
            <w:tcW w:type="dxa" w:w="1735"/>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&lt;email&gt;</w:t>
            </w:r>
          </w:p>
        </w:tc>
      </w:tr>
    </w:tbl>
    <w:p>
      <w:pPr>
        <w:pStyle w:val="Heading1"/>
        <w:keepNext/>
        <w:spacing w:after="160" w:before="360"/>
      </w:pPr>
      <w:r>
        <w:rPr>
          <w:rFonts w:ascii="Calibri" w:cs="Calibri" w:eastAsia="Calibri" w:hAnsi="Calibri"/>
          <w:b/>
          <w:bCs/>
          <w:color w:val="0F6B45"/>
          <w:sz w:val="30"/>
          <w:szCs w:val="30"/>
        </w:rPr>
        <w:t xml:space="preserve">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1349"/>
        <w:gridCol w:w="2891"/>
        <w:gridCol w:w="4241"/>
      </w:tblGrid>
      <w:tr>
        <w:trPr>
          <w:tblHeader/>
        </w:trPr>
        <w:tc>
          <w:tcPr>
            <w:tcW w:type="dxa" w:w="1157"/>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Version</w:t>
            </w:r>
          </w:p>
        </w:tc>
        <w:tc>
          <w:tcPr>
            <w:tcW w:type="dxa" w:w="1349"/>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Date</w:t>
            </w:r>
          </w:p>
        </w:tc>
        <w:tc>
          <w:tcPr>
            <w:tcW w:type="dxa" w:w="2891"/>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Author / approver</w:t>
            </w:r>
          </w:p>
        </w:tc>
        <w:tc>
          <w:tcPr>
            <w:tcW w:type="dxa" w:w="4241"/>
            <w:tcBorders>
              <w:top w:val="single" w:color="C9D1D9" w:sz="4"/>
              <w:left w:val="single" w:color="C9D1D9" w:sz="4"/>
              <w:bottom w:val="single" w:color="C9D1D9" w:sz="4"/>
              <w:right w:val="single" w:color="C9D1D9" w:sz="4"/>
            </w:tcBorders>
            <w:shd w:fill="0F6B45" w:color="auto" w:val="clear"/>
            <w:tcMar>
              <w:top w:type="dxa" w:w="60"/>
              <w:left w:type="dxa" w:w="90"/>
              <w:bottom w:type="dxa" w:w="60"/>
              <w:right w:type="dxa" w:w="90"/>
            </w:tcMar>
            <w:vAlign w:val="top"/>
          </w:tcPr>
          <w:p>
            <w:pPr>
              <w:spacing w:after="40" w:line="252"/>
            </w:pPr>
            <w:r>
              <w:rPr>
                <w:rFonts w:ascii="Calibri" w:cs="Calibri" w:eastAsia="Calibri" w:hAnsi="Calibri"/>
                <w:b/>
                <w:bCs/>
                <w:color w:val="FFFFFF"/>
                <w:sz w:val="19"/>
                <w:szCs w:val="19"/>
              </w:rPr>
              <w:t xml:space="preserve">Change</w:t>
            </w:r>
          </w:p>
        </w:tc>
      </w:tr>
      <w:tr>
        <w:trPr>
          <w:cantSplit/>
        </w:trPr>
        <w:tc>
          <w:tcPr>
            <w:tcW w:type="dxa" w:w="1157"/>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1.0</w:t>
            </w:r>
          </w:p>
        </w:tc>
        <w:tc>
          <w:tcPr>
            <w:tcW w:type="dxa" w:w="1349"/>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09 Oct 2025</w:t>
            </w:r>
          </w:p>
        </w:tc>
        <w:tc>
          <w:tcPr>
            <w:tcW w:type="dxa" w:w="289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Approved by Dondi Imperial, CTO</w:t>
            </w:r>
          </w:p>
        </w:tc>
        <w:tc>
          <w:tcPr>
            <w:tcW w:type="dxa" w:w="4241"/>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40" w:line="252"/>
            </w:pPr>
            <w:r>
              <w:rPr>
                <w:rFonts w:ascii="Calibri" w:cs="Calibri" w:eastAsia="Calibri" w:hAnsi="Calibri"/>
                <w:sz w:val="19"/>
                <w:szCs w:val="19"/>
              </w:rPr>
              <w:t xml:space="preserve">New policy version created — Avtica Incident Management Procedure</w:t>
            </w:r>
          </w:p>
        </w:tc>
      </w:tr>
      <w:tr>
        <w:trPr>
          <w:cantSplit/>
        </w:trPr>
        <w:tc>
          <w:tcPr>
            <w:tcW w:type="dxa" w:w="1157"/>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2.0 (draft)</w:t>
            </w:r>
          </w:p>
        </w:tc>
        <w:tc>
          <w:tcPr>
            <w:tcW w:type="dxa" w:w="1349"/>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08 Sep 2026</w:t>
            </w:r>
          </w:p>
        </w:tc>
        <w:tc>
          <w:tcPr>
            <w:tcW w:type="dxa" w:w="289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Amihan Global Strategies — pending CTO approval (Dondi Imperial)</w:t>
            </w:r>
          </w:p>
        </w:tc>
        <w:tc>
          <w:tcPr>
            <w:tcW w:type="dxa" w:w="4241"/>
            <w:tcBorders>
              <w:top w:val="single" w:color="C9D1D9" w:sz="4"/>
              <w:left w:val="single" w:color="C9D1D9" w:sz="4"/>
              <w:bottom w:val="single" w:color="C9D1D9" w:sz="4"/>
              <w:right w:val="single" w:color="C9D1D9" w:sz="4"/>
            </w:tcBorders>
            <w:shd w:fill="F5F7F9" w:color="auto" w:val="clear"/>
            <w:tcMar>
              <w:top w:type="dxa" w:w="60"/>
              <w:left w:type="dxa" w:w="90"/>
              <w:bottom w:type="dxa" w:w="60"/>
              <w:right w:type="dxa" w:w="90"/>
            </w:tcMar>
            <w:vAlign w:val="top"/>
          </w:tcPr>
          <w:p>
            <w:pPr>
              <w:spacing w:after="40" w:line="252"/>
            </w:pPr>
            <w:r>
              <w:rPr>
                <w:rFonts w:ascii="Calibri" w:cs="Calibri" w:eastAsia="Calibri" w:hAnsi="Calibri"/>
                <w:sz w:val="19"/>
                <w:szCs w:val="19"/>
              </w:rPr>
              <w:t xml:space="preserve">Re-issued for AI.Smart: partner-facing scope, roles and Smart communication model; AI.Smart-specific detection sources and severity examples; expanded incident catalogue including availability, identity, Charge-to-Smart billing (RFC-0043/0042), data-protection and AI content-safety playbooks; containment tools; templates and contacts</w:t>
            </w:r>
          </w:p>
        </w:tc>
      </w:tr>
    </w:tbl>
    <w:p>
      <w:pPr>
        <w:spacing w:after="120" w:before="400" w:line="276"/>
        <w:jc w:val="center"/>
      </w:pPr>
      <w:r>
        <w:rPr>
          <w:rFonts w:ascii="Calibri" w:cs="Calibri" w:eastAsia="Calibri" w:hAnsi="Calibri"/>
          <w:i/>
          <w:iCs/>
          <w:color w:val="5C6672"/>
          <w:sz w:val="21"/>
          <w:szCs w:val="21"/>
        </w:rPr>
        <w:t xml:space="preserve">End of the AI.Smart Incident Management Procedure.</w:t>
      </w:r>
    </w:p>
    <w:sectPr>
      <w:headerReference w:type="default" r:id="rId7"/>
      <w:footerReference w:type="default" r:id="rId8"/>
      <w:pgSz w:w="11906" w:h="16838" w:orient="portrait"/>
      <w:pgMar w:top="1300" w:right="1134" w:bottom="11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00"/>
      </w:tabs>
    </w:pPr>
    <w:r>
      <w:rPr>
        <w:rFonts w:ascii="Calibri" w:cs="Calibri" w:eastAsia="Calibri" w:hAnsi="Calibri"/>
        <w:color w:val="5C6672"/>
        <w:sz w:val="16"/>
        <w:szCs w:val="16"/>
      </w:rPr>
      <w:t xml:space="preserve">Partner-Confidential — Amihan Global Strategies for Smart Communications</w:t>
    </w:r>
    <w:r>
      <w:rPr>
        <w:rFonts w:ascii="Calibri" w:cs="Calibri" w:eastAsia="Calibri" w:hAnsi="Calibri"/>
        <w:color w:val="5C6672"/>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9E5A" w:sz="6" w:space="4"/>
      </w:pBdr>
      <w:tabs>
        <w:tab w:val="right" w:pos="9600"/>
      </w:tabs>
      <w:spacing w:after="60"/>
    </w:pPr>
    <w:r>
      <w:drawing>
        <wp:inline distT="0" distB="0" distL="0" distR="0">
          <wp:extent cx="9144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190500"/>
                  </a:xfrm>
                  <a:prstGeom prst="rect">
                    <a:avLst/>
                  </a:prstGeom>
                </pic:spPr>
              </pic:pic>
            </a:graphicData>
          </a:graphic>
        </wp:inline>
      </w:drawing>
    </w:r>
    <w:r>
      <w:rPr>
        <w:rFonts w:ascii="Calibri" w:cs="Calibri" w:eastAsia="Calibri" w:hAnsi="Calibri"/>
        <w:color w:val="5C6672"/>
        <w:sz w:val="17"/>
        <w:szCs w:val="17"/>
      </w:rPr>
      <w:t xml:space="preserve">	Incident Management Procedure · v2.0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03bfb495e827dd641ef43dcda7ddf5c6d358d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603bfb495e827dd641ef43dcda7ddf5c6d358d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AI.Smart — Incident Management Procedure v2.0</dc:title>
  <dc:creator>Amihan Global Strategies</dc:creator>
  <cp:lastModifiedBy>Un-named</cp:lastModifiedBy>
  <cp:revision>1</cp:revision>
  <dcterms:created xsi:type="dcterms:W3CDTF">2026-09-17T08:14:46.005Z</dcterms:created>
  <dcterms:modified xsi:type="dcterms:W3CDTF">2026-09-17T08:14:46.005Z</dcterms:modified>
</cp:coreProperties>
</file>

<file path=docProps/custom.xml><?xml version="1.0" encoding="utf-8"?>
<Properties xmlns="http://schemas.openxmlformats.org/officeDocument/2006/custom-properties" xmlns:vt="http://schemas.openxmlformats.org/officeDocument/2006/docPropsVTypes"/>
</file>