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EOC Telephone Briefing Notes – Hanyu Liu</w:t>
      </w:r>
    </w:p>
    <w:p/>
    <w:p>
      <w:pPr>
        <w:pStyle w:val="Heading2"/>
        <w:jc w:val="left"/>
      </w:pPr>
      <w:r>
        <w:t>🎯 OVERALL STRATEGY</w:t>
      </w:r>
    </w:p>
    <w:p/>
    <w:p>
      <w:pPr>
        <w:jc w:val="left"/>
      </w:pPr>
      <w:r>
        <w:rPr>
          <w:sz w:val="22"/>
        </w:rPr>
        <w:t>You are not a storyteller — you are a structure presenter.</w:t>
      </w:r>
    </w:p>
    <w:p>
      <w:pPr>
        <w:jc w:val="left"/>
      </w:pPr>
      <w:r>
        <w:rPr>
          <w:sz w:val="22"/>
        </w:rPr>
        <w:t>EOC officers are used to hearing personal frustration; your goal is to make them hear policy logic.</w:t>
      </w:r>
    </w:p>
    <w:p/>
    <w:p>
      <w:pPr>
        <w:jc w:val="left"/>
      </w:pPr>
      <w:r>
        <w:rPr>
          <w:sz w:val="22"/>
        </w:rPr>
        <w:t>Three Anchor Lines</w:t>
      </w:r>
    </w:p>
    <w:p>
      <w:pPr>
        <w:jc w:val="left"/>
      </w:pPr>
      <w:r>
        <w:rPr>
          <w:sz w:val="22"/>
        </w:rPr>
        <w:t>1️⃣ “This is about a systemic failure of policy implementation, not an isolated incident.”</w:t>
      </w:r>
    </w:p>
    <w:p>
      <w:pPr>
        <w:jc w:val="left"/>
      </w:pPr>
      <w:r>
        <w:rPr>
          <w:sz w:val="22"/>
        </w:rPr>
        <w:t>2️⃣ “PTA delegated all professional responsibility to families — that is the discrimination.”</w:t>
      </w:r>
    </w:p>
    <w:p>
      <w:pPr>
        <w:jc w:val="left"/>
      </w:pPr>
      <w:r>
        <w:rPr>
          <w:sz w:val="22"/>
        </w:rPr>
        <w:t>3️⃣ “The impact is not personal inconvenience, it’s structural exclusion from safe transport.”</w:t>
      </w:r>
    </w:p>
    <w:p/>
    <w:p>
      <w:pPr>
        <w:pStyle w:val="Heading2"/>
        <w:jc w:val="left"/>
      </w:pPr>
      <w:r>
        <w:t>📞 CALL STRUCTURE (Approx. 25–30 minutes)</w:t>
      </w:r>
    </w:p>
    <w:p/>
    <w:p>
      <w:pPr>
        <w:pStyle w:val="Heading3"/>
        <w:jc w:val="left"/>
      </w:pPr>
      <w:r>
        <w:t>① Opening (2 minutes)</w:t>
      </w:r>
    </w:p>
    <w:p/>
    <w:p>
      <w:pPr>
        <w:jc w:val="left"/>
      </w:pPr>
      <w:r>
        <w:rPr>
          <w:sz w:val="22"/>
        </w:rPr>
        <w:t>She will likely say:</w:t>
      </w:r>
    </w:p>
    <w:p/>
    <w:p>
      <w:pPr>
        <w:jc w:val="left"/>
      </w:pPr>
      <w:r>
        <w:rPr>
          <w:sz w:val="22"/>
        </w:rPr>
        <w:t>“I just wanted to introduce myself and explain the process…”</w:t>
      </w:r>
    </w:p>
    <w:p/>
    <w:p>
      <w:pPr>
        <w:jc w:val="left"/>
      </w:pPr>
      <w:r>
        <w:rPr>
          <w:sz w:val="22"/>
        </w:rPr>
        <w:t>You reply:</w:t>
      </w:r>
    </w:p>
    <w:p/>
    <w:p>
      <w:pPr>
        <w:jc w:val="left"/>
      </w:pPr>
      <w:r>
        <w:rPr>
          <w:sz w:val="22"/>
        </w:rPr>
        <w:t>“Thanks, Amilee. I’ve read the materials you sent — I just want to make sure the systemic nature of this issue is clear from the start, because it’s not about one decision or staff member; it’s really about how the policy itself works in practice.</w:t>
      </w:r>
    </w:p>
    <w:p>
      <w:pPr>
        <w:jc w:val="left"/>
      </w:pPr>
      <w:r>
        <w:rPr>
          <w:sz w:val="22"/>
        </w:rPr>
        <w:t>Just to be clear — my sons are both autistic, and this issue relates to how the PTA’s policy treats disabled students differently at a structural level.”</w:t>
      </w:r>
    </w:p>
    <w:p/>
    <w:p>
      <w:pPr>
        <w:jc w:val="left"/>
      </w:pPr>
      <w:r>
        <w:rPr>
          <w:sz w:val="22"/>
        </w:rPr>
        <w:t>→ Key point: These two lines ensure she writes down ‘systemic issue + policy level’.</w:t>
      </w:r>
    </w:p>
    <w:p/>
    <w:p>
      <w:pPr>
        <w:pStyle w:val="Heading3"/>
        <w:jc w:val="left"/>
      </w:pPr>
      <w:r>
        <w:t>② Facts (5 minutes)</w:t>
      </w:r>
    </w:p>
    <w:p/>
    <w:p>
      <w:pPr>
        <w:jc w:val="left"/>
      </w:pPr>
      <w:r>
        <w:rPr>
          <w:sz w:val="22"/>
        </w:rPr>
        <w:t>Speak calmly, use short sentences. Your goal is for her to take notes.</w:t>
      </w:r>
    </w:p>
    <w:p/>
    <w:p>
      <w:pPr>
        <w:jc w:val="left"/>
      </w:pPr>
      <w:r>
        <w:rPr>
          <w:sz w:val="22"/>
        </w:rPr>
        <w:t>“In early 2022, both of my sons were approved to use the school bus service for students with disabilities. Within just one week, they were suspended for ‘running on the bus.’ Without any trial period or behavioural support, SBS required both children to wear mechanical chest harnesses before they could return.”</w:t>
      </w:r>
    </w:p>
    <w:p/>
    <w:p>
      <w:pPr>
        <w:jc w:val="left"/>
      </w:pPr>
      <w:r>
        <w:rPr>
          <w:sz w:val="22"/>
        </w:rPr>
        <w:t>“The harness approval process took eight to ten months. During that time, they had no access to school transport. When the harnesses finally arrived, there was — no manual, no therapist assessment, and no plan for review or gradual removal.”</w:t>
      </w:r>
    </w:p>
    <w:p/>
    <w:p>
      <w:pPr>
        <w:jc w:val="left"/>
      </w:pPr>
      <w:r>
        <w:rPr>
          <w:sz w:val="22"/>
        </w:rPr>
        <w:t>“Under the PTA’s Student Transport Assistance Policy 2020, Section 6.5 says any control device must be reviewed at least every three months. In practice, no review happened for nearly three years.”</w:t>
      </w:r>
    </w:p>
    <w:p/>
    <w:p>
      <w:pPr>
        <w:jc w:val="left"/>
      </w:pPr>
      <w:r>
        <w:rPr>
          <w:sz w:val="22"/>
        </w:rPr>
        <w:t>“Then in July 2024, PTA amended the policy. The new Section 7.5 now requires a ‘qualified prescriber,’ but it also says parents are responsible for initiating assessments and providing plans. That basically rewrites their own duty into a parental obligation.”</w:t>
      </w:r>
    </w:p>
    <w:p/>
    <w:p>
      <w:pPr>
        <w:jc w:val="left"/>
      </w:pPr>
      <w:r>
        <w:rPr>
          <w:sz w:val="22"/>
        </w:rPr>
        <w:t>“So: from 2022 to 2024 they ignored their review rule, and in 2024 they changed the rule to match that non-compliance.”</w:t>
      </w:r>
    </w:p>
    <w:p/>
    <w:p>
      <w:pPr>
        <w:jc w:val="left"/>
      </w:pPr>
      <w:r>
        <w:rPr>
          <w:sz w:val="22"/>
        </w:rPr>
        <w:t>“When I raised concerns, PTA wrote that ‘parents are responsible for initiating therapist assessments and fade-out plans.’ That means there’s no professional oversight — only parental compliance. That’s why I describe this as a systemic failure, not a family misunderstanding.”</w:t>
      </w:r>
    </w:p>
    <w:p/>
    <w:p>
      <w:pPr>
        <w:jc w:val="left"/>
      </w:pPr>
      <w:r>
        <w:rPr>
          <w:sz w:val="22"/>
        </w:rPr>
        <w:t>→ If she interrupts asking, “which part of the policy?”, reply:</w:t>
      </w:r>
    </w:p>
    <w:p/>
    <w:p>
      <w:pPr>
        <w:jc w:val="left"/>
      </w:pPr>
      <w:r>
        <w:rPr>
          <w:sz w:val="22"/>
        </w:rPr>
        <w:t>“Section 6.5 in the 2020 version, then Section 7.5 in the 2024 amendment.”</w:t>
      </w:r>
    </w:p>
    <w:p/>
    <w:p>
      <w:pPr>
        <w:pStyle w:val="Heading3"/>
        <w:jc w:val="left"/>
      </w:pPr>
      <w:r>
        <w:t>③ Nature of Discrimination (8 minutes)</w:t>
      </w:r>
    </w:p>
    <w:p/>
    <w:p>
      <w:pPr>
        <w:jc w:val="left"/>
      </w:pPr>
      <w:r>
        <w:rPr>
          <w:sz w:val="22"/>
        </w:rPr>
        <w:t>“It’s primarily indirect impairment discrimination, because the policy structure itself shifts all clinical and financial responsibility to families — that’s an unreasonable burden.</w:t>
      </w:r>
    </w:p>
    <w:p>
      <w:pPr>
        <w:jc w:val="left"/>
      </w:pPr>
      <w:r>
        <w:rPr>
          <w:sz w:val="22"/>
        </w:rPr>
        <w:t>It’s also direct discrimination, because disabled children were restrained without professional oversight — something that would never happen to non-disabled peers.”</w:t>
      </w:r>
    </w:p>
    <w:p/>
    <w:p>
      <w:pPr>
        <w:jc w:val="left"/>
      </w:pPr>
      <w:r>
        <w:rPr>
          <w:sz w:val="22"/>
        </w:rPr>
        <w:t>→ Speak slowly; emphasize ‘policy structure / unreasonable burden’.</w:t>
      </w:r>
    </w:p>
    <w:p/>
    <w:p>
      <w:pPr>
        <w:pStyle w:val="Heading3"/>
        <w:jc w:val="left"/>
      </w:pPr>
      <w:r>
        <w:t>④ Chain of Responsibility (8 minutes)</w:t>
      </w:r>
    </w:p>
    <w:p/>
    <w:p>
      <w:pPr>
        <w:jc w:val="left"/>
      </w:pPr>
      <w:r>
        <w:rPr>
          <w:sz w:val="22"/>
        </w:rPr>
        <w:t>“Yes, I’ve gone through other agencies. Ombudsman WA referred it back to PTA without investigation, then re-filed the case. AHRC refused because the EOC already had it. So effectively, the oversight chain for restrictive practices in public transport doesn’t exist.”</w:t>
      </w:r>
    </w:p>
    <w:p/>
    <w:p>
      <w:pPr>
        <w:jc w:val="left"/>
      </w:pPr>
      <w:r>
        <w:rPr>
          <w:sz w:val="22"/>
        </w:rPr>
        <w:t>“PTA, Ombudsman, NDIS and the Human Rights system form a closed loop where each refers to the other and none actually takes responsibility. The absence of an accessible remedy is itself a form of discrimination.”</w:t>
      </w:r>
    </w:p>
    <w:p/>
    <w:p>
      <w:pPr>
        <w:jc w:val="left"/>
      </w:pPr>
      <w:r>
        <w:rPr>
          <w:sz w:val="22"/>
        </w:rPr>
        <w:t>→ If she goes silent, don’t fill the gap. Let the silence sit; she’s taking notes.</w:t>
      </w:r>
    </w:p>
    <w:p/>
    <w:p>
      <w:pPr>
        <w:pStyle w:val="Heading3"/>
        <w:jc w:val="left"/>
      </w:pPr>
      <w:r>
        <w:t>⑤ “What outcome are you seeking?”</w:t>
      </w:r>
    </w:p>
    <w:p/>
    <w:p>
      <w:pPr>
        <w:jc w:val="left"/>
      </w:pPr>
      <w:r>
        <w:rPr>
          <w:sz w:val="22"/>
        </w:rPr>
        <w:t>“I’m not seeking compensation. I’m seeking accountability and practical correction. I’m open to conciliation if it leads to structural outcomes, not symbolic gestures.</w:t>
      </w:r>
    </w:p>
    <w:p>
      <w:pPr>
        <w:jc w:val="left"/>
      </w:pPr>
      <w:r>
        <w:rPr>
          <w:sz w:val="22"/>
        </w:rPr>
        <w:t>The realistic outcomes would be:</w:t>
      </w:r>
    </w:p>
    <w:p>
      <w:pPr>
        <w:jc w:val="left"/>
      </w:pPr>
      <w:r>
        <w:rPr>
          <w:sz w:val="22"/>
        </w:rPr>
        <w:t>– a therapist-designed fade-out plan for Edmund, and</w:t>
      </w:r>
    </w:p>
    <w:p>
      <w:pPr>
        <w:jc w:val="left"/>
      </w:pPr>
      <w:r>
        <w:rPr>
          <w:sz w:val="22"/>
        </w:rPr>
        <w:t>– a PTA policy review so this doesn’t happen to other families.”</w:t>
      </w:r>
    </w:p>
    <w:p/>
    <w:p>
      <w:pPr>
        <w:jc w:val="left"/>
      </w:pPr>
      <w:r>
        <w:rPr>
          <w:sz w:val="22"/>
        </w:rPr>
        <w:t>“These are reasonable within their existing obligations — I’m not asking for anything outside policy or law.”</w:t>
      </w:r>
    </w:p>
    <w:p/>
    <w:p>
      <w:pPr>
        <w:pStyle w:val="Heading3"/>
        <w:jc w:val="left"/>
      </w:pPr>
      <w:r>
        <w:t>⑥ “How has this affected you or your family?”</w:t>
      </w:r>
    </w:p>
    <w:p/>
    <w:p>
      <w:pPr>
        <w:jc w:val="left"/>
      </w:pPr>
      <w:r>
        <w:rPr>
          <w:sz w:val="22"/>
        </w:rPr>
        <w:t>“It’s been three years of trying to do the system’s job ourselves — paying for therapists, writing plans, coordinating across agencies that all say it’s someone else’s responsibility. It’s exhausting, and meanwhile Edmund lost years of potential progress because there was no professional plan to help him transition safely.”</w:t>
      </w:r>
    </w:p>
    <w:p/>
    <w:p>
      <w:pPr>
        <w:jc w:val="left"/>
      </w:pPr>
      <w:r>
        <w:rPr>
          <w:sz w:val="22"/>
        </w:rPr>
        <w:t>→ Keep it short, factual, calm. This helps her tick ‘impact established’.</w:t>
      </w:r>
    </w:p>
    <w:p/>
    <w:p>
      <w:pPr>
        <w:pStyle w:val="Heading3"/>
        <w:jc w:val="left"/>
      </w:pPr>
      <w:r>
        <w:t>⑦ Closing (3 minutes)</w:t>
      </w:r>
    </w:p>
    <w:p/>
    <w:p>
      <w:pPr>
        <w:jc w:val="left"/>
      </w:pPr>
      <w:r>
        <w:rPr>
          <w:sz w:val="22"/>
        </w:rPr>
        <w:t>“I understand the Commission focuses on conciliation, but I hope the record reflects that this complaint involves structural policy discrimination, not a personal misunderstanding.”</w:t>
      </w:r>
    </w:p>
    <w:p/>
    <w:p>
      <w:pPr>
        <w:jc w:val="left"/>
      </w:pPr>
      <w:r>
        <w:rPr>
          <w:sz w:val="22"/>
        </w:rPr>
        <w:t>“I’ll send a short written summary after the call, just so the record is accurate. And could you please let me know once PTA provides its written response? I’d like to review it in detail.”</w:t>
      </w:r>
    </w:p>
    <w:p/>
    <w:p>
      <w:pPr>
        <w:pStyle w:val="Heading2"/>
        <w:jc w:val="left"/>
      </w:pPr>
      <w:r>
        <w:t>🧭 Follow-up Email (Within 24 hours)</w:t>
      </w:r>
    </w:p>
    <w:p/>
    <w:p>
      <w:pPr>
        <w:pStyle w:val="Heading2"/>
        <w:jc w:val="left"/>
      </w:pPr>
      <w:r>
        <w:t>Subject: Summary of Discussion – EOC 1317/2025</w:t>
      </w:r>
    </w:p>
    <w:p/>
    <w:p>
      <w:pPr>
        <w:jc w:val="left"/>
      </w:pPr>
      <w:r>
        <w:rPr>
          <w:sz w:val="22"/>
        </w:rPr>
        <w:t>Dear Amilee,</w:t>
      </w:r>
    </w:p>
    <w:p/>
    <w:p>
      <w:pPr>
        <w:jc w:val="left"/>
      </w:pPr>
      <w:r>
        <w:rPr>
          <w:sz w:val="22"/>
        </w:rPr>
        <w:t>Thank you for taking the time to speak with me today.</w:t>
      </w:r>
    </w:p>
    <w:p>
      <w:pPr>
        <w:jc w:val="left"/>
      </w:pPr>
      <w:r>
        <w:rPr>
          <w:sz w:val="22"/>
        </w:rPr>
        <w:t>As discussed, my complaint concerns:</w:t>
      </w:r>
    </w:p>
    <w:p>
      <w:pPr>
        <w:jc w:val="left"/>
      </w:pPr>
      <w:r>
        <w:rPr>
          <w:sz w:val="22"/>
        </w:rPr>
        <w:t>The Public Transport Authority’s failure to ensure professional oversight and periodic review of mechanical restraint (harness) use for my son, Edmund, between 2022–2025;</w:t>
      </w:r>
    </w:p>
    <w:p>
      <w:pPr>
        <w:jc w:val="left"/>
      </w:pPr>
      <w:r>
        <w:rPr>
          <w:sz w:val="22"/>
        </w:rPr>
        <w:t>The delegation of all professional and financial responsibility to families, resulting in unequal access to safe transport for children with disabilities; and</w:t>
      </w:r>
    </w:p>
    <w:p>
      <w:pPr>
        <w:jc w:val="left"/>
      </w:pPr>
      <w:r>
        <w:rPr>
          <w:sz w:val="22"/>
        </w:rPr>
        <w:t>The broader absence of any effective oversight mechanism for restrictive practices within WA’s public transport system.</w:t>
      </w:r>
    </w:p>
    <w:p/>
    <w:p>
      <w:pPr>
        <w:jc w:val="left"/>
      </w:pPr>
      <w:r>
        <w:rPr>
          <w:sz w:val="22"/>
        </w:rPr>
        <w:t>I appreciate your clarification of the Commission’s process and look forward to reviewing PTA’s written response when it becomes available.</w:t>
      </w:r>
    </w:p>
    <w:p/>
    <w:p>
      <w:pPr>
        <w:jc w:val="left"/>
      </w:pPr>
      <w:r>
        <w:rPr>
          <w:sz w:val="22"/>
        </w:rPr>
        <w:t>Kind regards,</w:t>
      </w:r>
    </w:p>
    <w:p>
      <w:pPr>
        <w:jc w:val="left"/>
      </w:pPr>
      <w:r>
        <w:rPr>
          <w:sz w:val="22"/>
        </w:rPr>
        <w:t>Hanyu Liu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